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AB9" w:rsidRPr="00D756D3" w:rsidRDefault="00E152E1">
      <w:pPr>
        <w:pStyle w:val="011"/>
        <w:rPr>
          <w:rFonts w:cs="Arial"/>
          <w:bCs/>
        </w:rPr>
      </w:pPr>
      <w:r w:rsidRPr="00D756D3">
        <w:rPr>
          <w:rFonts w:cs="Arial"/>
          <w:bCs/>
        </w:rPr>
        <w:t xml:space="preserve">Annual </w:t>
      </w:r>
      <w:r w:rsidR="003E3AB9" w:rsidRPr="00D756D3">
        <w:rPr>
          <w:rFonts w:cs="Arial"/>
          <w:bCs/>
        </w:rPr>
        <w:t>REPORT</w:t>
      </w:r>
      <w:r w:rsidR="003A5625">
        <w:rPr>
          <w:rFonts w:cs="Arial"/>
          <w:bCs/>
        </w:rPr>
        <w:t xml:space="preserve"> </w:t>
      </w:r>
    </w:p>
    <w:p w:rsidR="0074611C" w:rsidRDefault="0074611C">
      <w:pPr>
        <w:pStyle w:val="014"/>
        <w:rPr>
          <w:rFonts w:cs="Arial"/>
        </w:rPr>
      </w:pPr>
    </w:p>
    <w:p w:rsidR="003E3AB9" w:rsidRPr="00EE5F09" w:rsidRDefault="009273BB">
      <w:pPr>
        <w:pStyle w:val="014"/>
        <w:rPr>
          <w:rFonts w:cs="Arial"/>
          <w:lang w:val="en-US"/>
        </w:rPr>
      </w:pPr>
      <w:r>
        <w:rPr>
          <w:rFonts w:cs="Arial"/>
        </w:rPr>
        <w:t xml:space="preserve">SYNGENTA </w:t>
      </w:r>
      <w:r w:rsidR="00F65B64">
        <w:rPr>
          <w:rFonts w:cs="Arial"/>
        </w:rPr>
        <w:t>FINANCE</w:t>
      </w:r>
      <w:r>
        <w:rPr>
          <w:rFonts w:cs="Arial"/>
        </w:rPr>
        <w:t xml:space="preserve"> N.V.</w:t>
      </w:r>
    </w:p>
    <w:p w:rsidR="003E3AB9" w:rsidRPr="000F5CCC" w:rsidRDefault="003E3AB9">
      <w:pPr>
        <w:pStyle w:val="014"/>
        <w:rPr>
          <w:rFonts w:cs="Arial"/>
          <w:lang w:val="nl-NL"/>
        </w:rPr>
      </w:pPr>
      <w:fldSimple w:instr=" DOCPROPERTY &quot;eyWoonplaats&quot;  \* MERGEFORMAT ">
        <w:r w:rsidR="00E152E1" w:rsidRPr="000F5CCC">
          <w:rPr>
            <w:rFonts w:cs="Arial"/>
            <w:lang w:val="nl-NL"/>
          </w:rPr>
          <w:t>amsterdam</w:t>
        </w:r>
      </w:fldSimple>
    </w:p>
    <w:p w:rsidR="00E87244" w:rsidRDefault="00E87244" w:rsidP="00E87244">
      <w:pPr>
        <w:pStyle w:val="016"/>
        <w:tabs>
          <w:tab w:val="left" w:pos="7740"/>
        </w:tabs>
        <w:ind w:right="1583"/>
        <w:rPr>
          <w:rFonts w:cs="Arial"/>
        </w:rPr>
      </w:pPr>
      <w:r w:rsidRPr="00D756D3">
        <w:rPr>
          <w:rFonts w:cs="Arial"/>
        </w:rPr>
        <w:t xml:space="preserve">on the financial statements </w:t>
      </w:r>
      <w:r w:rsidR="002806AA">
        <w:rPr>
          <w:rFonts w:cs="Arial"/>
        </w:rPr>
        <w:t>201</w:t>
      </w:r>
      <w:r w:rsidR="007A158D">
        <w:rPr>
          <w:rFonts w:cs="Arial"/>
        </w:rPr>
        <w:t>1</w:t>
      </w:r>
    </w:p>
    <w:p w:rsidR="00F5601D" w:rsidRDefault="00F5601D" w:rsidP="00F5601D"/>
    <w:p w:rsidR="00F5601D" w:rsidRDefault="00F5601D" w:rsidP="00F5601D"/>
    <w:p w:rsidR="00F5601D" w:rsidRPr="00F5601D" w:rsidRDefault="00F5601D" w:rsidP="00F5601D">
      <w:pPr>
        <w:jc w:val="center"/>
        <w:rPr>
          <w:sz w:val="44"/>
          <w:szCs w:val="44"/>
        </w:rPr>
        <w:sectPr w:rsidR="00F5601D" w:rsidRPr="00F5601D" w:rsidSect="00280409">
          <w:footerReference w:type="default" r:id="rId8"/>
          <w:footerReference w:type="first" r:id="rId9"/>
          <w:pgSz w:w="11907" w:h="16840" w:code="9"/>
          <w:pgMar w:top="2591" w:right="1247" w:bottom="1814" w:left="1247" w:header="941" w:footer="720" w:gutter="0"/>
          <w:pgNumType w:start="1"/>
          <w:cols w:space="0"/>
          <w:titlePg/>
          <w:docGrid w:linePitch="326"/>
        </w:sectPr>
      </w:pPr>
    </w:p>
    <w:p w:rsidR="003E3AB9" w:rsidRPr="00D756D3" w:rsidRDefault="003E3AB9">
      <w:pPr>
        <w:pStyle w:val="021"/>
        <w:rPr>
          <w:rFonts w:ascii="Arial" w:hAnsi="Arial" w:cs="Arial"/>
          <w:bCs/>
        </w:rPr>
      </w:pPr>
      <w:r w:rsidRPr="00D756D3">
        <w:rPr>
          <w:rFonts w:ascii="Arial" w:hAnsi="Arial" w:cs="Arial"/>
          <w:bCs/>
        </w:rPr>
        <w:lastRenderedPageBreak/>
        <w:t>table of CONTENTS</w:t>
      </w:r>
    </w:p>
    <w:p w:rsidR="00F3407B" w:rsidRDefault="00F3407B">
      <w:pPr>
        <w:pStyle w:val="026"/>
        <w:rPr>
          <w:rFonts w:cs="Arial"/>
        </w:rPr>
      </w:pPr>
      <w:r>
        <w:rPr>
          <w:rFonts w:cs="Arial"/>
        </w:rPr>
        <w:t>Directors’ report</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3</w:t>
      </w:r>
    </w:p>
    <w:p w:rsidR="00F3407B" w:rsidRDefault="00F3407B">
      <w:pPr>
        <w:pStyle w:val="026"/>
        <w:rPr>
          <w:rFonts w:cs="Arial"/>
        </w:rPr>
      </w:pPr>
      <w:r>
        <w:rPr>
          <w:rFonts w:cs="Arial"/>
        </w:rPr>
        <w:t>Financial statements</w:t>
      </w:r>
      <w:r>
        <w:rPr>
          <w:rFonts w:cs="Arial"/>
        </w:rPr>
        <w:tab/>
      </w:r>
      <w:r>
        <w:rPr>
          <w:rFonts w:cs="Arial"/>
        </w:rPr>
        <w:tab/>
      </w:r>
      <w:r>
        <w:rPr>
          <w:rFonts w:cs="Arial"/>
        </w:rPr>
        <w:tab/>
      </w:r>
      <w:r>
        <w:rPr>
          <w:rFonts w:cs="Arial"/>
        </w:rPr>
        <w:tab/>
      </w:r>
    </w:p>
    <w:p w:rsidR="000F5CCC" w:rsidRDefault="00F3407B" w:rsidP="00F3407B">
      <w:pPr>
        <w:pStyle w:val="026"/>
        <w:ind w:firstLine="0"/>
        <w:rPr>
          <w:rFonts w:cs="Arial"/>
        </w:rPr>
      </w:pPr>
      <w:r>
        <w:rPr>
          <w:rFonts w:cs="Arial"/>
        </w:rPr>
        <w:t>Balance sheet</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6F73F7">
        <w:rPr>
          <w:rFonts w:cs="Arial"/>
        </w:rPr>
        <w:t>5</w:t>
      </w:r>
    </w:p>
    <w:p w:rsidR="00F3407B" w:rsidRDefault="006F73F7" w:rsidP="00F3407B">
      <w:pPr>
        <w:pStyle w:val="026"/>
        <w:ind w:firstLine="0"/>
        <w:rPr>
          <w:rFonts w:cs="Arial"/>
        </w:rPr>
      </w:pPr>
      <w:r>
        <w:rPr>
          <w:rFonts w:cs="Arial"/>
        </w:rPr>
        <w:t xml:space="preserve">Profit </w:t>
      </w:r>
      <w:r w:rsidR="00A90771">
        <w:rPr>
          <w:rFonts w:cs="Arial"/>
        </w:rPr>
        <w:t>and</w:t>
      </w:r>
      <w:r>
        <w:rPr>
          <w:rFonts w:cs="Arial"/>
        </w:rPr>
        <w:t xml:space="preserve"> loss account</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7</w:t>
      </w:r>
    </w:p>
    <w:p w:rsidR="00F3407B" w:rsidRDefault="006F73F7" w:rsidP="00F3407B">
      <w:pPr>
        <w:pStyle w:val="026"/>
        <w:ind w:firstLine="0"/>
        <w:rPr>
          <w:rFonts w:cs="Arial"/>
        </w:rPr>
      </w:pPr>
      <w:r>
        <w:rPr>
          <w:rFonts w:cs="Arial"/>
        </w:rPr>
        <w:t>Cash flow statement</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8</w:t>
      </w:r>
    </w:p>
    <w:p w:rsidR="00F3407B" w:rsidRDefault="006F73F7" w:rsidP="009A1910">
      <w:pPr>
        <w:pStyle w:val="026"/>
        <w:ind w:firstLine="0"/>
      </w:pPr>
      <w:r>
        <w:t>Accounting policies</w:t>
      </w:r>
      <w:r>
        <w:tab/>
      </w:r>
      <w:r>
        <w:tab/>
      </w:r>
      <w:r>
        <w:tab/>
      </w:r>
      <w:r>
        <w:tab/>
      </w:r>
      <w:r>
        <w:tab/>
      </w:r>
      <w:r>
        <w:tab/>
      </w:r>
      <w:r>
        <w:tab/>
      </w:r>
      <w:r>
        <w:tab/>
      </w:r>
      <w:r>
        <w:tab/>
        <w:t>9</w:t>
      </w:r>
    </w:p>
    <w:p w:rsidR="00F3407B" w:rsidRDefault="00F3407B" w:rsidP="009A1910">
      <w:pPr>
        <w:pStyle w:val="026"/>
        <w:ind w:firstLine="0"/>
      </w:pPr>
      <w:r>
        <w:t>Notes to th</w:t>
      </w:r>
      <w:r w:rsidR="006F73F7">
        <w:t>e financial statements</w:t>
      </w:r>
      <w:r w:rsidR="006F73F7">
        <w:tab/>
      </w:r>
      <w:r w:rsidR="006F73F7">
        <w:tab/>
      </w:r>
      <w:r w:rsidR="006F73F7">
        <w:tab/>
      </w:r>
      <w:r w:rsidR="006F73F7">
        <w:tab/>
      </w:r>
      <w:r w:rsidR="006F73F7">
        <w:tab/>
      </w:r>
      <w:r w:rsidR="006F73F7">
        <w:tab/>
      </w:r>
      <w:r w:rsidR="006F73F7">
        <w:tab/>
      </w:r>
      <w:r w:rsidR="006F73F7">
        <w:tab/>
        <w:t>12</w:t>
      </w:r>
    </w:p>
    <w:p w:rsidR="00F3407B" w:rsidRDefault="00A50C46" w:rsidP="00F3407B">
      <w:pPr>
        <w:pStyle w:val="026"/>
      </w:pPr>
      <w:r>
        <w:t>Other information</w:t>
      </w:r>
      <w:r>
        <w:tab/>
      </w:r>
      <w:r>
        <w:tab/>
      </w:r>
      <w:r>
        <w:tab/>
      </w:r>
      <w:r>
        <w:tab/>
      </w:r>
      <w:r>
        <w:tab/>
      </w:r>
      <w:r>
        <w:tab/>
      </w:r>
      <w:r>
        <w:tab/>
      </w:r>
      <w:r>
        <w:tab/>
      </w:r>
      <w:r>
        <w:tab/>
      </w:r>
      <w:r>
        <w:tab/>
        <w:t>21</w:t>
      </w:r>
    </w:p>
    <w:p w:rsidR="00CD736F" w:rsidRDefault="00CD736F" w:rsidP="009A1910">
      <w:pPr>
        <w:pStyle w:val="026"/>
        <w:ind w:firstLine="0"/>
      </w:pPr>
      <w:r>
        <w:t>Other information</w:t>
      </w:r>
      <w:r>
        <w:tab/>
      </w:r>
      <w:r>
        <w:tab/>
      </w:r>
      <w:r>
        <w:tab/>
      </w:r>
      <w:r>
        <w:tab/>
      </w:r>
      <w:r>
        <w:tab/>
      </w:r>
      <w:r>
        <w:tab/>
      </w:r>
      <w:r>
        <w:tab/>
      </w:r>
      <w:r>
        <w:tab/>
      </w:r>
      <w:r>
        <w:tab/>
      </w:r>
      <w:r>
        <w:tab/>
        <w:t>21</w:t>
      </w:r>
    </w:p>
    <w:p w:rsidR="00F3407B" w:rsidRPr="00F3407B" w:rsidRDefault="005B5A8E" w:rsidP="009A1910">
      <w:pPr>
        <w:pStyle w:val="026"/>
        <w:ind w:firstLine="0"/>
        <w:rPr>
          <w:rFonts w:cs="Arial"/>
        </w:rPr>
      </w:pPr>
      <w:r>
        <w:t>Independent a</w:t>
      </w:r>
      <w:r w:rsidR="00F3407B" w:rsidRPr="00C9420B">
        <w:t>uditor</w:t>
      </w:r>
      <w:r w:rsidR="009A1910" w:rsidRPr="00C9420B">
        <w:t>’</w:t>
      </w:r>
      <w:r w:rsidR="00A50C46">
        <w:t>s report</w:t>
      </w:r>
      <w:r w:rsidR="00A50C46">
        <w:tab/>
      </w:r>
      <w:r w:rsidR="00A50C46">
        <w:tab/>
      </w:r>
      <w:r w:rsidR="00A50C46">
        <w:tab/>
      </w:r>
      <w:r w:rsidR="00A50C46">
        <w:tab/>
      </w:r>
      <w:r w:rsidR="00A50C46">
        <w:tab/>
      </w:r>
      <w:r w:rsidR="00A50C46">
        <w:tab/>
      </w:r>
      <w:r w:rsidR="00A50C46">
        <w:tab/>
      </w:r>
      <w:r w:rsidR="00A50C46">
        <w:tab/>
        <w:t>22</w:t>
      </w:r>
    </w:p>
    <w:p w:rsidR="00F3407B" w:rsidRDefault="00F3407B">
      <w:pPr>
        <w:pStyle w:val="026"/>
        <w:rPr>
          <w:rFonts w:cs="Arial"/>
        </w:rPr>
      </w:pPr>
    </w:p>
    <w:p w:rsidR="000F5CCC" w:rsidRDefault="000F5CCC">
      <w:pPr>
        <w:pStyle w:val="026"/>
        <w:rPr>
          <w:rFonts w:cs="Arial"/>
        </w:rPr>
      </w:pPr>
    </w:p>
    <w:p w:rsidR="003E3AB9" w:rsidRPr="00D756D3" w:rsidRDefault="003E3AB9">
      <w:pPr>
        <w:pStyle w:val="TOC2"/>
        <w:rPr>
          <w:rFonts w:ascii="Arial" w:hAnsi="Arial" w:cs="Arial"/>
        </w:rPr>
      </w:pPr>
    </w:p>
    <w:p w:rsidR="003E3AB9" w:rsidRPr="00D756D3" w:rsidRDefault="003E3AB9" w:rsidP="00431517">
      <w:pPr>
        <w:pStyle w:val="Style000"/>
        <w:rPr>
          <w:rFonts w:cs="Arial"/>
        </w:rPr>
      </w:pPr>
    </w:p>
    <w:p w:rsidR="003E3AB9" w:rsidRPr="00D756D3" w:rsidRDefault="003E3AB9" w:rsidP="00431517">
      <w:pPr>
        <w:pStyle w:val="Style000"/>
        <w:rPr>
          <w:rFonts w:cs="Arial"/>
        </w:rPr>
      </w:pPr>
    </w:p>
    <w:p w:rsidR="000F5CCC" w:rsidRPr="009049AB" w:rsidRDefault="000F5CCC" w:rsidP="000F5CCC">
      <w:pPr>
        <w:pStyle w:val="081"/>
      </w:pPr>
      <w:bookmarkStart w:id="0" w:name="_Toc166662862"/>
      <w:bookmarkStart w:id="1" w:name="_Toc170721824"/>
      <w:bookmarkStart w:id="2" w:name="_Toc170726638"/>
      <w:bookmarkStart w:id="3" w:name="_Toc171138763"/>
      <w:bookmarkStart w:id="4" w:name="_Toc166662856"/>
      <w:bookmarkStart w:id="5" w:name="_Toc170721818"/>
      <w:bookmarkStart w:id="6" w:name="_Toc170726632"/>
      <w:bookmarkStart w:id="7" w:name="_Toc171138757"/>
      <w:r>
        <w:br w:type="page"/>
      </w:r>
      <w:r w:rsidRPr="009049AB">
        <w:lastRenderedPageBreak/>
        <w:t>Directors’ Report</w:t>
      </w:r>
    </w:p>
    <w:p w:rsidR="00783D31" w:rsidRPr="009049AB" w:rsidRDefault="00783D31" w:rsidP="00783D31">
      <w:pPr>
        <w:rPr>
          <w:rFonts w:ascii="Arial" w:hAnsi="Arial" w:cs="Arial"/>
          <w:b/>
          <w:sz w:val="20"/>
        </w:rPr>
      </w:pPr>
      <w:r w:rsidRPr="009049AB">
        <w:rPr>
          <w:rFonts w:ascii="Arial" w:hAnsi="Arial" w:cs="Arial"/>
          <w:b/>
          <w:sz w:val="20"/>
        </w:rPr>
        <w:t>General</w:t>
      </w:r>
    </w:p>
    <w:p w:rsidR="00783D31" w:rsidRPr="009049AB" w:rsidRDefault="00783D31" w:rsidP="00783D31">
      <w:pPr>
        <w:pStyle w:val="StyleStyle000"/>
        <w:rPr>
          <w:rFonts w:cs="Arial"/>
        </w:rPr>
      </w:pPr>
      <w:r w:rsidRPr="009049AB">
        <w:t xml:space="preserve">Syngenta Finance N.V. </w:t>
      </w:r>
      <w:r w:rsidR="00C23D89" w:rsidRPr="009049AB">
        <w:t xml:space="preserve">(hereafter the “Company”) </w:t>
      </w:r>
      <w:r w:rsidRPr="009049AB">
        <w:t xml:space="preserve">was incorporated on 20 March </w:t>
      </w:r>
      <w:r w:rsidR="00C94BD4" w:rsidRPr="009049AB">
        <w:t>2007</w:t>
      </w:r>
      <w:r w:rsidRPr="009049AB">
        <w:t xml:space="preserve">. Its principal activities </w:t>
      </w:r>
      <w:r w:rsidRPr="009049AB">
        <w:rPr>
          <w:rFonts w:cs="Arial"/>
        </w:rPr>
        <w:t>are to</w:t>
      </w:r>
      <w:r w:rsidR="00157096" w:rsidRPr="009049AB">
        <w:t xml:space="preserve"> borrow, lend and raise funds</w:t>
      </w:r>
      <w:r w:rsidR="00157096" w:rsidRPr="009049AB">
        <w:rPr>
          <w:rFonts w:cs="Arial"/>
        </w:rPr>
        <w:t xml:space="preserve"> in order </w:t>
      </w:r>
      <w:r w:rsidRPr="009049AB">
        <w:rPr>
          <w:rFonts w:cs="Arial"/>
        </w:rPr>
        <w:t xml:space="preserve">to finance Syngenta group companies. The </w:t>
      </w:r>
      <w:r w:rsidR="00C23D89" w:rsidRPr="009049AB">
        <w:rPr>
          <w:rFonts w:cs="Arial"/>
        </w:rPr>
        <w:t>C</w:t>
      </w:r>
      <w:r w:rsidRPr="009049AB">
        <w:rPr>
          <w:rFonts w:cs="Arial"/>
        </w:rPr>
        <w:t xml:space="preserve">ompany's ultimate holding company is Syngenta </w:t>
      </w:r>
      <w:r w:rsidR="00F00529" w:rsidRPr="009049AB">
        <w:rPr>
          <w:rFonts w:cs="Arial"/>
        </w:rPr>
        <w:t>AG</w:t>
      </w:r>
      <w:r w:rsidRPr="009049AB">
        <w:rPr>
          <w:rFonts w:cs="Arial"/>
        </w:rPr>
        <w:t>, Switzerland.</w:t>
      </w:r>
    </w:p>
    <w:p w:rsidR="00783D31" w:rsidRPr="009049AB" w:rsidRDefault="00783D31" w:rsidP="00783D31">
      <w:pPr>
        <w:pStyle w:val="StyleStyle000"/>
      </w:pPr>
    </w:p>
    <w:p w:rsidR="006F4E68" w:rsidRPr="009049AB" w:rsidRDefault="006F4E68" w:rsidP="006F4E68">
      <w:pPr>
        <w:pStyle w:val="StyleStyle000"/>
      </w:pPr>
      <w:r w:rsidRPr="009049AB">
        <w:rPr>
          <w:rFonts w:cs="Arial"/>
        </w:rPr>
        <w:t xml:space="preserve">The functional currency of the </w:t>
      </w:r>
      <w:r w:rsidR="00C23D89" w:rsidRPr="009049AB">
        <w:rPr>
          <w:rFonts w:cs="Arial"/>
        </w:rPr>
        <w:t>C</w:t>
      </w:r>
      <w:r w:rsidRPr="009049AB">
        <w:rPr>
          <w:rFonts w:cs="Arial"/>
        </w:rPr>
        <w:t>ompany is Euro (“EUR”). The presentation currency is United States Dollar (“USD”), as a result the financial statements are presented in USD.</w:t>
      </w:r>
    </w:p>
    <w:p w:rsidR="00783D31" w:rsidRPr="009049AB" w:rsidRDefault="00783D31" w:rsidP="00783D31">
      <w:pPr>
        <w:pStyle w:val="StyleStyle000"/>
      </w:pPr>
    </w:p>
    <w:p w:rsidR="00783D31" w:rsidRPr="009049AB" w:rsidRDefault="00783D31" w:rsidP="00783D31">
      <w:pPr>
        <w:pStyle w:val="StyleStyle000"/>
      </w:pPr>
      <w:r w:rsidRPr="009049AB">
        <w:t>Services are fully depend</w:t>
      </w:r>
      <w:r w:rsidR="00817CC2" w:rsidRPr="009049AB">
        <w:t>a</w:t>
      </w:r>
      <w:r w:rsidRPr="009049AB">
        <w:t>nt on developments within the Syngenta group. No substantial change of services is foreseen.</w:t>
      </w:r>
    </w:p>
    <w:p w:rsidR="00783D31" w:rsidRPr="009049AB" w:rsidRDefault="00783D31" w:rsidP="00783D31">
      <w:pPr>
        <w:pStyle w:val="StyleStyle000"/>
      </w:pPr>
    </w:p>
    <w:p w:rsidR="00783D31" w:rsidRPr="009049AB" w:rsidRDefault="00783D31" w:rsidP="00783D31">
      <w:pPr>
        <w:rPr>
          <w:rFonts w:ascii="Arial" w:hAnsi="Arial" w:cs="Arial"/>
          <w:b/>
          <w:sz w:val="20"/>
        </w:rPr>
      </w:pPr>
      <w:r w:rsidRPr="009049AB">
        <w:rPr>
          <w:rFonts w:ascii="Arial" w:hAnsi="Arial" w:cs="Arial"/>
          <w:b/>
          <w:sz w:val="20"/>
        </w:rPr>
        <w:t>Financial</w:t>
      </w:r>
    </w:p>
    <w:p w:rsidR="00783D31" w:rsidRPr="009049AB" w:rsidRDefault="00783D31" w:rsidP="00783D31">
      <w:pPr>
        <w:pStyle w:val="StyleStyle000"/>
      </w:pPr>
      <w:r w:rsidRPr="009049AB">
        <w:t xml:space="preserve">The year </w:t>
      </w:r>
      <w:r w:rsidR="00C94BD4" w:rsidRPr="009049AB">
        <w:t>20</w:t>
      </w:r>
      <w:r w:rsidR="007A158D" w:rsidRPr="009049AB">
        <w:t>11</w:t>
      </w:r>
      <w:r w:rsidRPr="009049AB">
        <w:t xml:space="preserve"> was a </w:t>
      </w:r>
      <w:r w:rsidR="00C94BD4" w:rsidRPr="009049AB">
        <w:t>profitable y</w:t>
      </w:r>
      <w:r w:rsidRPr="009049AB">
        <w:t xml:space="preserve">ear for Syngenta </w:t>
      </w:r>
      <w:r w:rsidR="00B70AAF" w:rsidRPr="009049AB">
        <w:t>Finance</w:t>
      </w:r>
      <w:r w:rsidR="007B3EC2">
        <w:t xml:space="preserve"> N.V.</w:t>
      </w:r>
      <w:r w:rsidRPr="009049AB">
        <w:t xml:space="preserve"> </w:t>
      </w:r>
      <w:r w:rsidR="00BD2986" w:rsidRPr="009049AB">
        <w:t>T</w:t>
      </w:r>
      <w:r w:rsidRPr="009049AB">
        <w:t xml:space="preserve">he solvability and liquidity position of the Company are </w:t>
      </w:r>
      <w:r w:rsidR="00157096" w:rsidRPr="009049AB">
        <w:t>sufficient</w:t>
      </w:r>
      <w:r w:rsidRPr="009049AB">
        <w:t xml:space="preserve">. Syngenta </w:t>
      </w:r>
      <w:r w:rsidR="00B70AAF" w:rsidRPr="009049AB">
        <w:t>Finance</w:t>
      </w:r>
      <w:r w:rsidRPr="009049AB">
        <w:t xml:space="preserve"> N.V. did not pay any dividend to its shareholder.</w:t>
      </w:r>
    </w:p>
    <w:p w:rsidR="00783D31" w:rsidRPr="009049AB" w:rsidRDefault="00783D31" w:rsidP="00783D31">
      <w:pPr>
        <w:pStyle w:val="StyleStyle000"/>
      </w:pPr>
    </w:p>
    <w:p w:rsidR="00783D31" w:rsidRPr="009049AB" w:rsidRDefault="00783D31" w:rsidP="00783D31">
      <w:pPr>
        <w:pStyle w:val="StyleStyle000"/>
      </w:pPr>
      <w:r w:rsidRPr="009049AB">
        <w:t>Risk</w:t>
      </w:r>
      <w:r w:rsidR="00C23D89" w:rsidRPr="009049AB">
        <w:t>s</w:t>
      </w:r>
      <w:r w:rsidRPr="009049AB">
        <w:t xml:space="preserve"> regarding the </w:t>
      </w:r>
      <w:r w:rsidR="00C23D89" w:rsidRPr="009049AB">
        <w:t>C</w:t>
      </w:r>
      <w:r w:rsidRPr="009049AB">
        <w:t xml:space="preserve">ompany’s interest income and profitability are mainly driven </w:t>
      </w:r>
      <w:r w:rsidR="00BD2986" w:rsidRPr="009049AB">
        <w:t xml:space="preserve">by </w:t>
      </w:r>
      <w:r w:rsidRPr="009049AB">
        <w:t xml:space="preserve">fluctuations in foreign currency and interest rates. The </w:t>
      </w:r>
      <w:r w:rsidR="00C23D89" w:rsidRPr="009049AB">
        <w:t>C</w:t>
      </w:r>
      <w:r w:rsidRPr="009049AB">
        <w:t xml:space="preserve">ompany has lent all foreign currency risk and interest rate risk on to group companies with mirroring conditions, leaving no exposure at </w:t>
      </w:r>
      <w:r w:rsidR="009E499E" w:rsidRPr="009049AB">
        <w:t>the C</w:t>
      </w:r>
      <w:r w:rsidRPr="009049AB">
        <w:t>ompany level.</w:t>
      </w:r>
    </w:p>
    <w:p w:rsidR="00783D31" w:rsidRPr="009049AB" w:rsidRDefault="00783D31" w:rsidP="00783D31">
      <w:pPr>
        <w:pStyle w:val="StyleStyle000"/>
      </w:pPr>
    </w:p>
    <w:p w:rsidR="00783D31" w:rsidRPr="009049AB" w:rsidRDefault="00783D31" w:rsidP="00783D31">
      <w:pPr>
        <w:pStyle w:val="StyleStyle000"/>
      </w:pPr>
      <w:r w:rsidRPr="009049AB">
        <w:t xml:space="preserve">In </w:t>
      </w:r>
      <w:r w:rsidR="007A158D" w:rsidRPr="009049AB">
        <w:t>2011</w:t>
      </w:r>
      <w:r w:rsidRPr="009049AB">
        <w:t xml:space="preserve"> the interest income of Syngenta </w:t>
      </w:r>
      <w:r w:rsidR="00B70AAF" w:rsidRPr="009049AB">
        <w:t>Finance</w:t>
      </w:r>
      <w:r w:rsidRPr="009049AB">
        <w:t xml:space="preserve"> N.V. amounted to </w:t>
      </w:r>
      <w:r w:rsidRPr="0073598C">
        <w:t xml:space="preserve">USD </w:t>
      </w:r>
      <w:r w:rsidR="00B66422" w:rsidRPr="0073598C">
        <w:t>116</w:t>
      </w:r>
      <w:r w:rsidR="002806AA" w:rsidRPr="0073598C">
        <w:t>,</w:t>
      </w:r>
      <w:r w:rsidR="006C4AF3" w:rsidRPr="0073598C">
        <w:t>821</w:t>
      </w:r>
      <w:r w:rsidR="006C3B7A" w:rsidRPr="0073598C">
        <w:t>,000</w:t>
      </w:r>
      <w:r w:rsidR="00B70AAF" w:rsidRPr="009049AB">
        <w:t xml:space="preserve"> (</w:t>
      </w:r>
      <w:r w:rsidR="007A158D" w:rsidRPr="009049AB">
        <w:t>2010</w:t>
      </w:r>
      <w:r w:rsidR="00B70AAF" w:rsidRPr="009049AB">
        <w:t xml:space="preserve">: </w:t>
      </w:r>
      <w:r w:rsidR="008A3C20" w:rsidRPr="009049AB">
        <w:t xml:space="preserve">USD </w:t>
      </w:r>
      <w:r w:rsidR="007A158D" w:rsidRPr="009049AB">
        <w:t>135,646,000</w:t>
      </w:r>
      <w:r w:rsidR="00B70AAF" w:rsidRPr="009049AB">
        <w:t>)</w:t>
      </w:r>
      <w:r w:rsidRPr="009049AB">
        <w:t xml:space="preserve">. The gross interest margin in </w:t>
      </w:r>
      <w:r w:rsidR="007A158D" w:rsidRPr="009049AB">
        <w:t>2011</w:t>
      </w:r>
      <w:r w:rsidR="00B70AAF" w:rsidRPr="009049AB">
        <w:t xml:space="preserve"> </w:t>
      </w:r>
      <w:r w:rsidR="007A158D" w:rsidRPr="009049AB">
        <w:t xml:space="preserve">was USD </w:t>
      </w:r>
      <w:r w:rsidR="002806AA" w:rsidRPr="009049AB">
        <w:t>7</w:t>
      </w:r>
      <w:r w:rsidR="007A158D" w:rsidRPr="009049AB">
        <w:t>38</w:t>
      </w:r>
      <w:r w:rsidR="00B70AAF" w:rsidRPr="009049AB">
        <w:t>,000</w:t>
      </w:r>
      <w:r w:rsidRPr="009049AB">
        <w:t xml:space="preserve"> (</w:t>
      </w:r>
      <w:r w:rsidR="007A158D" w:rsidRPr="009049AB">
        <w:t>2010</w:t>
      </w:r>
      <w:r w:rsidRPr="009049AB">
        <w:t xml:space="preserve">: </w:t>
      </w:r>
      <w:r w:rsidR="008A3C20" w:rsidRPr="009049AB">
        <w:t xml:space="preserve">USD </w:t>
      </w:r>
      <w:r w:rsidR="007A158D" w:rsidRPr="009049AB">
        <w:t>2,759,000</w:t>
      </w:r>
      <w:r w:rsidRPr="009049AB">
        <w:t>).</w:t>
      </w:r>
      <w:r w:rsidR="007A46A9" w:rsidRPr="009049AB">
        <w:t xml:space="preserve"> </w:t>
      </w:r>
      <w:r w:rsidRPr="009049AB">
        <w:t xml:space="preserve">The </w:t>
      </w:r>
      <w:r w:rsidR="002806AA" w:rsidRPr="009049AB">
        <w:t>profit</w:t>
      </w:r>
      <w:r w:rsidRPr="009049AB">
        <w:t xml:space="preserve"> before tax </w:t>
      </w:r>
      <w:r w:rsidR="007A158D" w:rsidRPr="009049AB">
        <w:t>decreased</w:t>
      </w:r>
      <w:r w:rsidRPr="009049AB">
        <w:t xml:space="preserve"> from </w:t>
      </w:r>
      <w:r w:rsidR="00E40B5C" w:rsidRPr="009049AB">
        <w:t xml:space="preserve">USD </w:t>
      </w:r>
      <w:r w:rsidR="007A158D" w:rsidRPr="009049AB">
        <w:t xml:space="preserve">3,090,000 </w:t>
      </w:r>
      <w:r w:rsidRPr="009049AB">
        <w:t xml:space="preserve">in </w:t>
      </w:r>
      <w:r w:rsidR="007A158D" w:rsidRPr="009049AB">
        <w:t>2010</w:t>
      </w:r>
      <w:r w:rsidR="002806AA" w:rsidRPr="009049AB">
        <w:t xml:space="preserve"> to</w:t>
      </w:r>
      <w:r w:rsidR="00B70AAF" w:rsidRPr="009049AB">
        <w:t xml:space="preserve"> </w:t>
      </w:r>
      <w:r w:rsidR="00285F21" w:rsidRPr="009049AB">
        <w:t xml:space="preserve">USD </w:t>
      </w:r>
      <w:r w:rsidR="007A158D" w:rsidRPr="009049AB">
        <w:t>1,083</w:t>
      </w:r>
      <w:r w:rsidR="00B70AAF" w:rsidRPr="009049AB">
        <w:t>,000</w:t>
      </w:r>
      <w:r w:rsidRPr="009049AB">
        <w:t xml:space="preserve"> in </w:t>
      </w:r>
      <w:r w:rsidR="002806AA" w:rsidRPr="009049AB">
        <w:t>201</w:t>
      </w:r>
      <w:r w:rsidR="007A158D" w:rsidRPr="009049AB">
        <w:t>1</w:t>
      </w:r>
      <w:r w:rsidRPr="009049AB">
        <w:t xml:space="preserve">. </w:t>
      </w:r>
    </w:p>
    <w:p w:rsidR="00783D31" w:rsidRPr="009049AB" w:rsidRDefault="00783D31" w:rsidP="00783D31">
      <w:pPr>
        <w:rPr>
          <w:rFonts w:ascii="Arial" w:hAnsi="Arial"/>
          <w:sz w:val="20"/>
        </w:rPr>
      </w:pPr>
    </w:p>
    <w:p w:rsidR="006F4E68" w:rsidRPr="009049AB" w:rsidRDefault="006F4E68" w:rsidP="006F4E68">
      <w:pPr>
        <w:pStyle w:val="StyleStyle000"/>
      </w:pPr>
      <w:r w:rsidRPr="009049AB">
        <w:t xml:space="preserve">To the General Meeting of Shareholders </w:t>
      </w:r>
      <w:r w:rsidR="001730EB" w:rsidRPr="009049AB">
        <w:t xml:space="preserve">it </w:t>
      </w:r>
      <w:r w:rsidRPr="009049AB">
        <w:t xml:space="preserve">will be proposed to </w:t>
      </w:r>
      <w:r w:rsidR="00BD2986" w:rsidRPr="009049AB">
        <w:t>add the profit</w:t>
      </w:r>
      <w:r w:rsidRPr="009049AB">
        <w:t xml:space="preserve"> of </w:t>
      </w:r>
      <w:r w:rsidR="0022617F" w:rsidRPr="009049AB">
        <w:t>2011</w:t>
      </w:r>
      <w:r w:rsidRPr="009049AB">
        <w:t xml:space="preserve"> to the retained earnings.</w:t>
      </w:r>
    </w:p>
    <w:p w:rsidR="00783D31" w:rsidRPr="009049AB" w:rsidRDefault="00783D31" w:rsidP="00783D31">
      <w:pPr>
        <w:pStyle w:val="StyleStyle000"/>
      </w:pPr>
    </w:p>
    <w:p w:rsidR="00783D31" w:rsidRPr="004064BF" w:rsidRDefault="00783D31" w:rsidP="00783D31">
      <w:pPr>
        <w:rPr>
          <w:rFonts w:ascii="Arial" w:hAnsi="Arial" w:cs="Arial"/>
          <w:b/>
          <w:sz w:val="20"/>
        </w:rPr>
      </w:pPr>
      <w:r w:rsidRPr="009049AB">
        <w:rPr>
          <w:rFonts w:ascii="Arial" w:hAnsi="Arial" w:cs="Arial"/>
          <w:b/>
          <w:sz w:val="20"/>
        </w:rPr>
        <w:t>Personnel</w:t>
      </w:r>
    </w:p>
    <w:p w:rsidR="00783D31" w:rsidRDefault="00B70AAF" w:rsidP="00783D31">
      <w:pPr>
        <w:pStyle w:val="StyleStyle000"/>
      </w:pPr>
      <w:r>
        <w:t xml:space="preserve">There are no employees in service of the </w:t>
      </w:r>
      <w:r w:rsidR="00C23D89">
        <w:t>C</w:t>
      </w:r>
      <w:r>
        <w:t>ompany.</w:t>
      </w:r>
      <w:r w:rsidR="00783D31">
        <w:t xml:space="preserve"> </w:t>
      </w:r>
      <w:r w:rsidR="00250B0C">
        <w:t xml:space="preserve">The expectation is </w:t>
      </w:r>
      <w:r w:rsidR="00157096">
        <w:t xml:space="preserve">that </w:t>
      </w:r>
      <w:r w:rsidR="00250B0C">
        <w:t xml:space="preserve">this will </w:t>
      </w:r>
      <w:r w:rsidR="00157096">
        <w:t>not c</w:t>
      </w:r>
      <w:r w:rsidR="00C22616">
        <w:t>hange</w:t>
      </w:r>
      <w:r w:rsidR="00250B0C">
        <w:t xml:space="preserve"> in 20</w:t>
      </w:r>
      <w:r w:rsidR="006A33DE">
        <w:t>1</w:t>
      </w:r>
      <w:r w:rsidR="00E57DC8">
        <w:t>2</w:t>
      </w:r>
      <w:r w:rsidR="00250B0C">
        <w:t xml:space="preserve">. </w:t>
      </w:r>
      <w:r w:rsidR="00783D31">
        <w:t xml:space="preserve">Treasury and financing services are rendered from group companies. </w:t>
      </w:r>
    </w:p>
    <w:p w:rsidR="00783D31" w:rsidRDefault="00783D31" w:rsidP="00783D31">
      <w:pPr>
        <w:pStyle w:val="StyleStyle000"/>
      </w:pPr>
    </w:p>
    <w:p w:rsidR="00783D31" w:rsidRDefault="00157096" w:rsidP="00783D31">
      <w:r>
        <w:rPr>
          <w:rFonts w:ascii="Arial" w:hAnsi="Arial" w:cs="Arial"/>
          <w:b/>
          <w:sz w:val="20"/>
        </w:rPr>
        <w:br w:type="page"/>
      </w:r>
      <w:r w:rsidR="00783D31" w:rsidRPr="009049AB">
        <w:rPr>
          <w:rFonts w:ascii="Arial" w:hAnsi="Arial" w:cs="Arial"/>
          <w:b/>
          <w:sz w:val="20"/>
        </w:rPr>
        <w:lastRenderedPageBreak/>
        <w:t>Prospects for 20</w:t>
      </w:r>
      <w:r w:rsidR="00CD3A4C" w:rsidRPr="009049AB">
        <w:rPr>
          <w:rFonts w:ascii="Arial" w:hAnsi="Arial" w:cs="Arial"/>
          <w:b/>
          <w:sz w:val="20"/>
        </w:rPr>
        <w:t>1</w:t>
      </w:r>
      <w:r w:rsidR="006B76C0" w:rsidRPr="009049AB">
        <w:rPr>
          <w:rFonts w:ascii="Arial" w:hAnsi="Arial" w:cs="Arial"/>
          <w:b/>
          <w:sz w:val="20"/>
        </w:rPr>
        <w:t>2</w:t>
      </w:r>
    </w:p>
    <w:p w:rsidR="00783D31" w:rsidRDefault="00783D31" w:rsidP="00783D31">
      <w:pPr>
        <w:pStyle w:val="StyleStyle000"/>
      </w:pPr>
    </w:p>
    <w:p w:rsidR="00783D31" w:rsidRPr="004064BF" w:rsidRDefault="00783D31" w:rsidP="00783D31">
      <w:pPr>
        <w:pStyle w:val="StyleStyle000"/>
        <w:rPr>
          <w:u w:val="single"/>
        </w:rPr>
      </w:pPr>
      <w:r w:rsidRPr="004064BF">
        <w:rPr>
          <w:u w:val="single"/>
        </w:rPr>
        <w:t>Investments</w:t>
      </w:r>
    </w:p>
    <w:p w:rsidR="00783D31" w:rsidRPr="004064BF" w:rsidRDefault="00783D31" w:rsidP="00783D31">
      <w:pPr>
        <w:pStyle w:val="StyleStyle000"/>
        <w:rPr>
          <w:lang w:val="en-US"/>
        </w:rPr>
      </w:pPr>
      <w:r>
        <w:t xml:space="preserve">The </w:t>
      </w:r>
      <w:r w:rsidR="00C23D89">
        <w:t>C</w:t>
      </w:r>
      <w:r>
        <w:t xml:space="preserve">ompany will continue its activities for financing Syngenta group companies. The </w:t>
      </w:r>
      <w:r w:rsidR="006B76C0">
        <w:t>level of investments during 2012</w:t>
      </w:r>
      <w:r w:rsidR="00EF416A">
        <w:t xml:space="preserve"> is fully dependant on developments within the Syngenta group.</w:t>
      </w:r>
    </w:p>
    <w:p w:rsidR="003A5625" w:rsidRDefault="003A5625" w:rsidP="003A5625">
      <w:pPr>
        <w:rPr>
          <w:rFonts w:ascii="Arial" w:hAnsi="Arial" w:cs="Arial"/>
          <w:sz w:val="20"/>
          <w:lang w:val="en-US"/>
        </w:rPr>
      </w:pPr>
    </w:p>
    <w:p w:rsidR="005D19A9" w:rsidRPr="0041494F" w:rsidRDefault="005D19A9" w:rsidP="005D19A9">
      <w:pPr>
        <w:rPr>
          <w:rFonts w:ascii="Arial" w:hAnsi="Arial" w:cs="Arial"/>
          <w:b/>
          <w:sz w:val="20"/>
        </w:rPr>
      </w:pPr>
      <w:r w:rsidRPr="0041494F">
        <w:rPr>
          <w:rFonts w:ascii="Arial" w:hAnsi="Arial" w:cs="Arial"/>
          <w:b/>
          <w:sz w:val="20"/>
        </w:rPr>
        <w:t>Management statement</w:t>
      </w:r>
    </w:p>
    <w:p w:rsidR="005D19A9" w:rsidRDefault="005D19A9" w:rsidP="005D19A9">
      <w:pPr>
        <w:rPr>
          <w:rFonts w:ascii="Arial" w:hAnsi="Arial" w:cs="Arial"/>
          <w:sz w:val="20"/>
          <w:lang w:val="en-US"/>
        </w:rPr>
      </w:pPr>
    </w:p>
    <w:p w:rsidR="005D19A9" w:rsidRDefault="005D19A9" w:rsidP="005D19A9">
      <w:pPr>
        <w:rPr>
          <w:rFonts w:ascii="Arial" w:hAnsi="Arial" w:cs="Arial"/>
          <w:sz w:val="20"/>
          <w:lang w:val="en-US"/>
        </w:rPr>
      </w:pPr>
      <w:r w:rsidRPr="00A277B3">
        <w:rPr>
          <w:rFonts w:ascii="Arial" w:hAnsi="Arial" w:cs="Arial"/>
          <w:sz w:val="20"/>
          <w:lang w:val="en-US"/>
        </w:rPr>
        <w:t xml:space="preserve">Management declares that, to the best of their knowledge, the annual </w:t>
      </w:r>
      <w:r>
        <w:rPr>
          <w:rFonts w:ascii="Arial" w:hAnsi="Arial" w:cs="Arial"/>
          <w:sz w:val="20"/>
          <w:lang w:val="en-US"/>
        </w:rPr>
        <w:t xml:space="preserve">accounts </w:t>
      </w:r>
      <w:r w:rsidRPr="00A277B3">
        <w:rPr>
          <w:rFonts w:ascii="Arial" w:hAnsi="Arial" w:cs="Arial"/>
          <w:sz w:val="20"/>
          <w:lang w:val="en-US"/>
        </w:rPr>
        <w:t xml:space="preserve">give a true and fair view of the assets, liabilities, financial position and profit or loss of Syngenta Finance </w:t>
      </w:r>
      <w:r>
        <w:rPr>
          <w:rFonts w:ascii="Arial" w:hAnsi="Arial" w:cs="Arial"/>
          <w:sz w:val="20"/>
          <w:lang w:val="en-US"/>
        </w:rPr>
        <w:t>N.V.</w:t>
      </w:r>
      <w:r w:rsidRPr="00A277B3">
        <w:rPr>
          <w:rFonts w:ascii="Arial" w:hAnsi="Arial" w:cs="Arial"/>
          <w:sz w:val="20"/>
          <w:lang w:val="en-US"/>
        </w:rPr>
        <w:t xml:space="preserve"> </w:t>
      </w:r>
      <w:r>
        <w:rPr>
          <w:rFonts w:ascii="Arial" w:hAnsi="Arial" w:cs="Arial"/>
          <w:sz w:val="20"/>
          <w:lang w:val="en-US"/>
        </w:rPr>
        <w:t>T</w:t>
      </w:r>
      <w:r w:rsidRPr="00A277B3">
        <w:rPr>
          <w:rFonts w:ascii="Arial" w:hAnsi="Arial" w:cs="Arial"/>
          <w:sz w:val="20"/>
          <w:lang w:val="en-US"/>
        </w:rPr>
        <w:t xml:space="preserve">he annual report gives a true and fair view of the financial position as per the balance sheet date and the developments and performance of Syngenta Finance </w:t>
      </w:r>
      <w:r>
        <w:rPr>
          <w:rFonts w:ascii="Arial" w:hAnsi="Arial" w:cs="Arial"/>
          <w:sz w:val="20"/>
          <w:lang w:val="en-US"/>
        </w:rPr>
        <w:t>N.V.</w:t>
      </w:r>
      <w:r w:rsidRPr="00A277B3">
        <w:rPr>
          <w:rFonts w:ascii="Arial" w:hAnsi="Arial" w:cs="Arial"/>
          <w:sz w:val="20"/>
          <w:lang w:val="en-US"/>
        </w:rPr>
        <w:t xml:space="preserve"> during the financial year and that the principal risks Syngenta Finance </w:t>
      </w:r>
      <w:r>
        <w:rPr>
          <w:rFonts w:ascii="Arial" w:hAnsi="Arial" w:cs="Arial"/>
          <w:sz w:val="20"/>
          <w:lang w:val="en-US"/>
        </w:rPr>
        <w:t>N.V.</w:t>
      </w:r>
      <w:r w:rsidRPr="00A277B3">
        <w:rPr>
          <w:rFonts w:ascii="Arial" w:hAnsi="Arial" w:cs="Arial"/>
          <w:sz w:val="20"/>
          <w:lang w:val="en-US"/>
        </w:rPr>
        <w:t xml:space="preserve"> faces are described in the annual report.</w:t>
      </w:r>
    </w:p>
    <w:p w:rsidR="00756CD7" w:rsidRPr="00783D31" w:rsidRDefault="00756CD7" w:rsidP="003A5625">
      <w:pPr>
        <w:rPr>
          <w:rFonts w:ascii="Arial" w:hAnsi="Arial" w:cs="Arial"/>
          <w:sz w:val="20"/>
          <w:lang w:val="en-US"/>
        </w:rPr>
      </w:pPr>
    </w:p>
    <w:p w:rsidR="003A5625" w:rsidRPr="00D823F9" w:rsidRDefault="003A5625" w:rsidP="003A5625">
      <w:pPr>
        <w:rPr>
          <w:rFonts w:ascii="Arial" w:hAnsi="Arial" w:cs="Arial"/>
          <w:sz w:val="20"/>
        </w:rPr>
      </w:pPr>
      <w:r w:rsidRPr="00EF3FC4">
        <w:rPr>
          <w:rFonts w:ascii="Arial" w:hAnsi="Arial" w:cs="Arial"/>
          <w:sz w:val="20"/>
        </w:rPr>
        <w:t>Am</w:t>
      </w:r>
      <w:r w:rsidR="00700C24" w:rsidRPr="00EF3FC4">
        <w:rPr>
          <w:rFonts w:ascii="Arial" w:hAnsi="Arial" w:cs="Arial"/>
          <w:sz w:val="20"/>
        </w:rPr>
        <w:t>sterdam,</w:t>
      </w:r>
      <w:r w:rsidRPr="00EF3FC4">
        <w:rPr>
          <w:rFonts w:ascii="Arial" w:hAnsi="Arial" w:cs="Arial"/>
          <w:sz w:val="20"/>
        </w:rPr>
        <w:t xml:space="preserve"> </w:t>
      </w:r>
      <w:r w:rsidR="006C4AF3" w:rsidRPr="00EF3FC4">
        <w:rPr>
          <w:rFonts w:ascii="Arial" w:hAnsi="Arial" w:cs="Arial"/>
          <w:sz w:val="20"/>
        </w:rPr>
        <w:t xml:space="preserve">23 </w:t>
      </w:r>
      <w:r w:rsidR="00CD3A4C" w:rsidRPr="00EF3FC4">
        <w:rPr>
          <w:rFonts w:ascii="Arial" w:hAnsi="Arial" w:cs="Arial"/>
          <w:sz w:val="20"/>
        </w:rPr>
        <w:t>April</w:t>
      </w:r>
      <w:r w:rsidR="00700C24" w:rsidRPr="00EF3FC4">
        <w:rPr>
          <w:rFonts w:ascii="Arial" w:hAnsi="Arial" w:cs="Arial"/>
          <w:sz w:val="20"/>
        </w:rPr>
        <w:t xml:space="preserve"> </w:t>
      </w:r>
      <w:r w:rsidRPr="00EF3FC4">
        <w:rPr>
          <w:rFonts w:ascii="Arial" w:hAnsi="Arial" w:cs="Arial"/>
          <w:sz w:val="20"/>
        </w:rPr>
        <w:t>20</w:t>
      </w:r>
      <w:r w:rsidR="00CD3A4C" w:rsidRPr="00EF3FC4">
        <w:rPr>
          <w:rFonts w:ascii="Arial" w:hAnsi="Arial" w:cs="Arial"/>
          <w:sz w:val="20"/>
        </w:rPr>
        <w:t>1</w:t>
      </w:r>
      <w:r w:rsidR="006B76C0" w:rsidRPr="00EF3FC4">
        <w:rPr>
          <w:rFonts w:ascii="Arial" w:hAnsi="Arial" w:cs="Arial"/>
          <w:sz w:val="20"/>
        </w:rPr>
        <w:t>2</w:t>
      </w:r>
    </w:p>
    <w:p w:rsidR="003A5625" w:rsidRDefault="003A5625" w:rsidP="003A5625">
      <w:pPr>
        <w:rPr>
          <w:rFonts w:ascii="Arial" w:hAnsi="Arial" w:cs="Arial"/>
          <w:sz w:val="20"/>
        </w:rPr>
      </w:pPr>
    </w:p>
    <w:p w:rsidR="0045628D" w:rsidRDefault="0045628D" w:rsidP="0045628D">
      <w:pPr>
        <w:rPr>
          <w:rFonts w:ascii="Arial" w:hAnsi="Arial" w:cs="Arial"/>
          <w:sz w:val="20"/>
        </w:rPr>
      </w:pPr>
      <w:r w:rsidRPr="00D823F9">
        <w:rPr>
          <w:rFonts w:ascii="Arial" w:hAnsi="Arial" w:cs="Arial"/>
          <w:sz w:val="20"/>
        </w:rPr>
        <w:t>The Board of Managing Directors:</w:t>
      </w:r>
    </w:p>
    <w:p w:rsidR="0045628D" w:rsidRDefault="0045628D" w:rsidP="0045628D">
      <w:pPr>
        <w:rPr>
          <w:rFonts w:ascii="Arial" w:hAnsi="Arial" w:cs="Arial"/>
          <w:sz w:val="20"/>
        </w:rPr>
      </w:pPr>
    </w:p>
    <w:p w:rsidR="0045628D" w:rsidRPr="00802F60" w:rsidRDefault="0045628D" w:rsidP="0045628D">
      <w:pPr>
        <w:rPr>
          <w:rFonts w:ascii="Arial" w:hAnsi="Arial" w:cs="Arial"/>
          <w:sz w:val="20"/>
          <w:lang w:val="en-US"/>
        </w:rPr>
      </w:pPr>
    </w:p>
    <w:p w:rsidR="00DB3D17" w:rsidRDefault="00DB3D17" w:rsidP="0045628D">
      <w:pPr>
        <w:rPr>
          <w:rFonts w:ascii="Arial" w:hAnsi="Arial" w:cs="Arial"/>
          <w:sz w:val="20"/>
          <w:lang w:val="nl-NL"/>
        </w:rPr>
      </w:pPr>
    </w:p>
    <w:p w:rsidR="00DB3D17" w:rsidRDefault="00DB3D17" w:rsidP="0045628D">
      <w:pPr>
        <w:rPr>
          <w:rFonts w:ascii="Arial" w:hAnsi="Arial" w:cs="Arial"/>
          <w:sz w:val="20"/>
          <w:lang w:val="nl-NL"/>
        </w:rPr>
      </w:pPr>
    </w:p>
    <w:p w:rsidR="00CD3A4C" w:rsidRPr="00ED37F3" w:rsidRDefault="00CD3A4C" w:rsidP="0045628D">
      <w:pPr>
        <w:rPr>
          <w:rFonts w:ascii="Arial" w:hAnsi="Arial" w:cs="Arial"/>
          <w:sz w:val="20"/>
          <w:lang w:val="nl-NL"/>
        </w:rPr>
      </w:pPr>
      <w:r w:rsidRPr="00ED37F3">
        <w:rPr>
          <w:rFonts w:ascii="Arial" w:hAnsi="Arial" w:cs="Arial"/>
          <w:sz w:val="20"/>
          <w:lang w:val="nl-NL"/>
        </w:rPr>
        <w:t xml:space="preserve">P.C. Schreiner </w:t>
      </w:r>
      <w:r w:rsidR="00DB3D17" w:rsidRPr="00ED37F3">
        <w:rPr>
          <w:rFonts w:ascii="Arial" w:hAnsi="Arial" w:cs="Arial"/>
          <w:sz w:val="20"/>
          <w:lang w:val="nl-NL"/>
        </w:rPr>
        <w:tab/>
      </w:r>
      <w:r w:rsidR="00DB3D17" w:rsidRPr="00ED37F3">
        <w:rPr>
          <w:rFonts w:ascii="Arial" w:hAnsi="Arial" w:cs="Arial"/>
          <w:sz w:val="20"/>
          <w:lang w:val="nl-NL"/>
        </w:rPr>
        <w:tab/>
      </w:r>
      <w:r w:rsidR="00DB3D17" w:rsidRPr="00ED37F3">
        <w:rPr>
          <w:rFonts w:ascii="Arial" w:hAnsi="Arial" w:cs="Arial"/>
          <w:sz w:val="20"/>
          <w:lang w:val="nl-NL"/>
        </w:rPr>
        <w:tab/>
      </w:r>
      <w:r w:rsidR="00DB3D17" w:rsidRPr="00ED37F3">
        <w:rPr>
          <w:rFonts w:ascii="Arial" w:hAnsi="Arial" w:cs="Arial"/>
          <w:sz w:val="20"/>
          <w:lang w:val="nl-NL"/>
        </w:rPr>
        <w:tab/>
      </w:r>
      <w:r w:rsidR="00DB3D17" w:rsidRPr="00ED37F3">
        <w:rPr>
          <w:rFonts w:ascii="Arial" w:hAnsi="Arial" w:cs="Arial"/>
          <w:sz w:val="20"/>
          <w:lang w:val="nl-NL"/>
        </w:rPr>
        <w:tab/>
      </w:r>
      <w:r w:rsidR="00DB3D17" w:rsidRPr="00ED37F3">
        <w:rPr>
          <w:rFonts w:ascii="Arial" w:hAnsi="Arial" w:cs="Arial"/>
          <w:sz w:val="20"/>
          <w:lang w:val="nl-NL"/>
        </w:rPr>
        <w:tab/>
      </w:r>
      <w:r w:rsidRPr="00ED37F3">
        <w:rPr>
          <w:rFonts w:ascii="Arial" w:hAnsi="Arial" w:cs="Arial"/>
          <w:sz w:val="20"/>
          <w:lang w:val="nl-NL"/>
        </w:rPr>
        <w:t>D.W. Michaelis</w:t>
      </w:r>
      <w:r w:rsidRPr="00ED37F3">
        <w:rPr>
          <w:rFonts w:ascii="Arial" w:hAnsi="Arial" w:cs="Arial"/>
          <w:sz w:val="20"/>
          <w:lang w:val="nl-NL"/>
        </w:rPr>
        <w:tab/>
      </w:r>
    </w:p>
    <w:p w:rsidR="00CD3A4C" w:rsidRPr="00ED37F3" w:rsidRDefault="00CD3A4C" w:rsidP="0045628D">
      <w:pPr>
        <w:rPr>
          <w:rFonts w:ascii="Arial" w:hAnsi="Arial" w:cs="Arial"/>
          <w:sz w:val="20"/>
          <w:lang w:val="nl-NL"/>
        </w:rPr>
      </w:pPr>
    </w:p>
    <w:p w:rsidR="00CD3A4C" w:rsidRPr="00ED37F3" w:rsidRDefault="00CD3A4C" w:rsidP="0045628D">
      <w:pPr>
        <w:rPr>
          <w:rFonts w:ascii="Arial" w:hAnsi="Arial" w:cs="Arial"/>
          <w:sz w:val="20"/>
          <w:lang w:val="nl-NL"/>
        </w:rPr>
      </w:pPr>
    </w:p>
    <w:p w:rsidR="00CD3A4C" w:rsidRPr="00ED37F3" w:rsidRDefault="00CD3A4C" w:rsidP="0045628D">
      <w:pPr>
        <w:rPr>
          <w:rFonts w:ascii="Arial" w:hAnsi="Arial" w:cs="Arial"/>
          <w:sz w:val="20"/>
          <w:lang w:val="nl-NL"/>
        </w:rPr>
      </w:pPr>
    </w:p>
    <w:p w:rsidR="00DB3D17" w:rsidRPr="00ED37F3" w:rsidRDefault="00DB3D17" w:rsidP="0045628D">
      <w:pPr>
        <w:rPr>
          <w:rFonts w:ascii="Arial" w:hAnsi="Arial" w:cs="Arial"/>
          <w:sz w:val="20"/>
          <w:lang w:val="nl-NL"/>
        </w:rPr>
      </w:pPr>
    </w:p>
    <w:p w:rsidR="0045628D" w:rsidRPr="00ED37F3" w:rsidRDefault="00CD3A4C" w:rsidP="0045628D">
      <w:pPr>
        <w:rPr>
          <w:rFonts w:ascii="Arial" w:hAnsi="Arial" w:cs="Arial"/>
          <w:sz w:val="20"/>
          <w:lang w:val="nl-NL"/>
        </w:rPr>
      </w:pPr>
      <w:r w:rsidRPr="00ED37F3">
        <w:rPr>
          <w:rFonts w:ascii="Arial" w:hAnsi="Arial" w:cs="Arial"/>
          <w:sz w:val="20"/>
          <w:lang w:val="nl-NL"/>
        </w:rPr>
        <w:t xml:space="preserve">R.P. Peletier </w:t>
      </w:r>
      <w:r w:rsidR="00DB3D17" w:rsidRPr="00ED37F3">
        <w:rPr>
          <w:rFonts w:ascii="Arial" w:hAnsi="Arial" w:cs="Arial"/>
          <w:sz w:val="20"/>
          <w:lang w:val="nl-NL"/>
        </w:rPr>
        <w:tab/>
      </w:r>
      <w:r w:rsidR="00DB3D17" w:rsidRPr="00ED37F3">
        <w:rPr>
          <w:rFonts w:ascii="Arial" w:hAnsi="Arial" w:cs="Arial"/>
          <w:sz w:val="20"/>
          <w:lang w:val="nl-NL"/>
        </w:rPr>
        <w:tab/>
      </w:r>
      <w:r w:rsidR="00DB3D17" w:rsidRPr="00ED37F3">
        <w:rPr>
          <w:rFonts w:ascii="Arial" w:hAnsi="Arial" w:cs="Arial"/>
          <w:sz w:val="20"/>
          <w:lang w:val="nl-NL"/>
        </w:rPr>
        <w:tab/>
      </w:r>
      <w:r w:rsidR="00DB3D17" w:rsidRPr="00ED37F3">
        <w:rPr>
          <w:rFonts w:ascii="Arial" w:hAnsi="Arial" w:cs="Arial"/>
          <w:sz w:val="20"/>
          <w:lang w:val="nl-NL"/>
        </w:rPr>
        <w:tab/>
      </w:r>
      <w:r w:rsidR="00DB3D17" w:rsidRPr="00ED37F3">
        <w:rPr>
          <w:rFonts w:ascii="Arial" w:hAnsi="Arial" w:cs="Arial"/>
          <w:sz w:val="20"/>
          <w:lang w:val="nl-NL"/>
        </w:rPr>
        <w:tab/>
      </w:r>
      <w:r w:rsidR="00DB3D17" w:rsidRPr="00ED37F3">
        <w:rPr>
          <w:rFonts w:ascii="Arial" w:hAnsi="Arial" w:cs="Arial"/>
          <w:sz w:val="20"/>
          <w:lang w:val="nl-NL"/>
        </w:rPr>
        <w:tab/>
      </w:r>
      <w:r w:rsidR="0045628D" w:rsidRPr="00ED37F3">
        <w:rPr>
          <w:rFonts w:ascii="Arial" w:hAnsi="Arial" w:cs="Arial"/>
          <w:sz w:val="20"/>
          <w:lang w:val="nl-NL"/>
        </w:rPr>
        <w:t>P. Karemaker</w:t>
      </w:r>
    </w:p>
    <w:p w:rsidR="0045628D" w:rsidRPr="00ED37F3" w:rsidRDefault="0045628D" w:rsidP="0045628D">
      <w:pPr>
        <w:rPr>
          <w:rFonts w:ascii="Arial" w:hAnsi="Arial" w:cs="Arial"/>
          <w:sz w:val="20"/>
          <w:lang w:val="nl-NL"/>
        </w:rPr>
      </w:pPr>
    </w:p>
    <w:p w:rsidR="00DB3D17" w:rsidRPr="00ED37F3" w:rsidRDefault="00DB3D17" w:rsidP="0045628D">
      <w:pPr>
        <w:rPr>
          <w:rFonts w:ascii="Arial" w:hAnsi="Arial" w:cs="Arial"/>
          <w:sz w:val="20"/>
          <w:lang w:val="nl-NL"/>
        </w:rPr>
      </w:pPr>
    </w:p>
    <w:p w:rsidR="0045628D" w:rsidRPr="00ED37F3" w:rsidRDefault="0045628D" w:rsidP="0045628D">
      <w:pPr>
        <w:rPr>
          <w:rFonts w:ascii="Arial" w:hAnsi="Arial" w:cs="Arial"/>
          <w:sz w:val="20"/>
          <w:lang w:val="nl-NL"/>
        </w:rPr>
      </w:pPr>
    </w:p>
    <w:p w:rsidR="007A46A9" w:rsidRPr="00ED37F3" w:rsidRDefault="007A46A9" w:rsidP="0045628D">
      <w:pPr>
        <w:rPr>
          <w:rFonts w:ascii="Arial" w:hAnsi="Arial" w:cs="Arial"/>
          <w:sz w:val="20"/>
          <w:lang w:val="nl-NL"/>
        </w:rPr>
      </w:pPr>
    </w:p>
    <w:p w:rsidR="0045628D" w:rsidRPr="00547338" w:rsidRDefault="006D6A2E" w:rsidP="0045628D">
      <w:pPr>
        <w:rPr>
          <w:rFonts w:ascii="Arial" w:hAnsi="Arial" w:cs="Arial"/>
          <w:sz w:val="20"/>
          <w:lang w:val="nl-NL"/>
        </w:rPr>
      </w:pPr>
      <w:r w:rsidRPr="00547338">
        <w:rPr>
          <w:rFonts w:ascii="Arial" w:hAnsi="Arial" w:cs="Arial"/>
          <w:sz w:val="20"/>
          <w:lang w:val="nl-NL"/>
        </w:rPr>
        <w:t>E. Perrotta</w:t>
      </w:r>
      <w:r w:rsidR="00DB3D17" w:rsidRPr="00547338">
        <w:rPr>
          <w:rFonts w:ascii="Arial" w:hAnsi="Arial" w:cs="Arial"/>
          <w:sz w:val="20"/>
          <w:lang w:val="nl-NL"/>
        </w:rPr>
        <w:tab/>
      </w:r>
      <w:r w:rsidR="00DB3D17" w:rsidRPr="00547338">
        <w:rPr>
          <w:rFonts w:ascii="Arial" w:hAnsi="Arial" w:cs="Arial"/>
          <w:sz w:val="20"/>
          <w:lang w:val="nl-NL"/>
        </w:rPr>
        <w:tab/>
      </w:r>
      <w:r w:rsidR="00DB3D17" w:rsidRPr="00547338">
        <w:rPr>
          <w:rFonts w:ascii="Arial" w:hAnsi="Arial" w:cs="Arial"/>
          <w:sz w:val="20"/>
          <w:lang w:val="nl-NL"/>
        </w:rPr>
        <w:tab/>
      </w:r>
      <w:r w:rsidR="00DB3D17" w:rsidRPr="00547338">
        <w:rPr>
          <w:rFonts w:ascii="Arial" w:hAnsi="Arial" w:cs="Arial"/>
          <w:sz w:val="20"/>
          <w:lang w:val="nl-NL"/>
        </w:rPr>
        <w:tab/>
      </w:r>
      <w:r w:rsidR="00DB3D17" w:rsidRPr="00547338">
        <w:rPr>
          <w:rFonts w:ascii="Arial" w:hAnsi="Arial" w:cs="Arial"/>
          <w:sz w:val="20"/>
          <w:lang w:val="nl-NL"/>
        </w:rPr>
        <w:tab/>
      </w:r>
      <w:r w:rsidR="00DB3D17" w:rsidRPr="00547338">
        <w:rPr>
          <w:rFonts w:ascii="Arial" w:hAnsi="Arial" w:cs="Arial"/>
          <w:sz w:val="20"/>
          <w:lang w:val="nl-NL"/>
        </w:rPr>
        <w:tab/>
        <w:t>N. Zürcher</w:t>
      </w:r>
    </w:p>
    <w:p w:rsidR="0045628D" w:rsidRPr="00547338" w:rsidRDefault="0045628D" w:rsidP="0045628D">
      <w:pPr>
        <w:rPr>
          <w:rFonts w:ascii="Arial" w:hAnsi="Arial" w:cs="Arial"/>
          <w:sz w:val="20"/>
          <w:lang w:val="nl-NL"/>
        </w:rPr>
      </w:pPr>
    </w:p>
    <w:p w:rsidR="00DB3D17" w:rsidRPr="00547338" w:rsidRDefault="00DB3D17" w:rsidP="0045628D">
      <w:pPr>
        <w:rPr>
          <w:rFonts w:ascii="Arial" w:hAnsi="Arial" w:cs="Arial"/>
          <w:sz w:val="20"/>
          <w:lang w:val="nl-NL"/>
        </w:rPr>
      </w:pPr>
    </w:p>
    <w:p w:rsidR="0045628D" w:rsidRPr="00547338" w:rsidRDefault="0045628D" w:rsidP="0045628D">
      <w:pPr>
        <w:rPr>
          <w:rFonts w:ascii="Arial" w:hAnsi="Arial" w:cs="Arial"/>
          <w:sz w:val="20"/>
          <w:lang w:val="nl-NL"/>
        </w:rPr>
      </w:pPr>
    </w:p>
    <w:p w:rsidR="00DB3D17" w:rsidRPr="00547338" w:rsidRDefault="00DB3D17" w:rsidP="0045628D">
      <w:pPr>
        <w:rPr>
          <w:rFonts w:ascii="Arial" w:hAnsi="Arial" w:cs="Arial"/>
          <w:sz w:val="20"/>
          <w:lang w:val="nl-NL"/>
        </w:rPr>
      </w:pPr>
    </w:p>
    <w:p w:rsidR="003A5625" w:rsidRPr="00D823F9" w:rsidRDefault="00D63DD5" w:rsidP="003A5625">
      <w:pPr>
        <w:rPr>
          <w:rFonts w:ascii="Arial" w:hAnsi="Arial" w:cs="Arial"/>
          <w:sz w:val="20"/>
          <w:lang w:val="de-DE"/>
        </w:rPr>
      </w:pPr>
      <w:r w:rsidRPr="00547338">
        <w:rPr>
          <w:rFonts w:ascii="Arial" w:hAnsi="Arial" w:cs="Arial"/>
          <w:sz w:val="20"/>
          <w:lang w:val="nl-NL"/>
        </w:rPr>
        <w:t xml:space="preserve">D.C.M. Achterberg </w:t>
      </w:r>
      <w:r w:rsidRPr="00547338">
        <w:rPr>
          <w:rFonts w:ascii="Arial" w:hAnsi="Arial" w:cs="Arial"/>
          <w:sz w:val="20"/>
          <w:lang w:val="nl-NL"/>
        </w:rPr>
        <w:tab/>
      </w:r>
      <w:r w:rsidRPr="00547338">
        <w:rPr>
          <w:rFonts w:ascii="Arial" w:hAnsi="Arial" w:cs="Arial"/>
          <w:sz w:val="20"/>
          <w:lang w:val="nl-NL"/>
        </w:rPr>
        <w:tab/>
      </w:r>
      <w:r w:rsidRPr="00547338">
        <w:rPr>
          <w:rFonts w:ascii="Arial" w:hAnsi="Arial" w:cs="Arial"/>
          <w:sz w:val="20"/>
          <w:lang w:val="nl-NL"/>
        </w:rPr>
        <w:tab/>
      </w:r>
      <w:r w:rsidRPr="00547338">
        <w:rPr>
          <w:rFonts w:ascii="Arial" w:hAnsi="Arial" w:cs="Arial"/>
          <w:sz w:val="20"/>
          <w:lang w:val="nl-NL"/>
        </w:rPr>
        <w:tab/>
      </w:r>
      <w:r w:rsidRPr="00547338">
        <w:rPr>
          <w:rFonts w:ascii="Arial" w:hAnsi="Arial" w:cs="Arial"/>
          <w:sz w:val="20"/>
          <w:lang w:val="nl-NL"/>
        </w:rPr>
        <w:tab/>
        <w:t>K. Geels</w:t>
      </w:r>
      <w:r w:rsidR="00CD3A4C">
        <w:rPr>
          <w:rFonts w:ascii="Arial" w:hAnsi="Arial" w:cs="Arial"/>
          <w:sz w:val="20"/>
          <w:lang w:val="de-DE"/>
        </w:rPr>
        <w:tab/>
      </w:r>
      <w:r w:rsidR="00CD3A4C">
        <w:rPr>
          <w:rFonts w:ascii="Arial" w:hAnsi="Arial" w:cs="Arial"/>
          <w:sz w:val="20"/>
          <w:lang w:val="de-DE"/>
        </w:rPr>
        <w:tab/>
      </w:r>
      <w:r w:rsidR="00CD3A4C">
        <w:rPr>
          <w:rFonts w:ascii="Arial" w:hAnsi="Arial" w:cs="Arial"/>
          <w:sz w:val="20"/>
          <w:lang w:val="de-DE"/>
        </w:rPr>
        <w:tab/>
      </w:r>
      <w:r w:rsidR="00CD3A4C">
        <w:rPr>
          <w:rFonts w:ascii="Arial" w:hAnsi="Arial" w:cs="Arial"/>
          <w:sz w:val="20"/>
          <w:lang w:val="de-DE"/>
        </w:rPr>
        <w:tab/>
      </w:r>
      <w:r w:rsidR="00CD3A4C">
        <w:rPr>
          <w:rFonts w:ascii="Arial" w:hAnsi="Arial" w:cs="Arial"/>
          <w:sz w:val="20"/>
          <w:lang w:val="de-DE"/>
        </w:rPr>
        <w:tab/>
      </w:r>
      <w:r w:rsidR="00CD3A4C">
        <w:rPr>
          <w:rFonts w:ascii="Arial" w:hAnsi="Arial" w:cs="Arial"/>
          <w:sz w:val="20"/>
          <w:lang w:val="de-DE"/>
        </w:rPr>
        <w:tab/>
      </w:r>
      <w:r w:rsidR="00CD3A4C">
        <w:rPr>
          <w:rFonts w:ascii="Arial" w:hAnsi="Arial" w:cs="Arial"/>
          <w:sz w:val="20"/>
          <w:lang w:val="de-DE"/>
        </w:rPr>
        <w:tab/>
      </w:r>
    </w:p>
    <w:p w:rsidR="003A5625" w:rsidRDefault="003A5625" w:rsidP="003A5625">
      <w:pPr>
        <w:rPr>
          <w:rFonts w:ascii="Arial" w:hAnsi="Arial" w:cs="Arial"/>
          <w:sz w:val="20"/>
          <w:lang w:val="de-DE"/>
        </w:rPr>
      </w:pPr>
    </w:p>
    <w:p w:rsidR="000F5CCC" w:rsidRPr="00D756D3" w:rsidRDefault="000F5CCC" w:rsidP="000F5CCC">
      <w:pPr>
        <w:pStyle w:val="070"/>
        <w:rPr>
          <w:rFonts w:cs="Arial"/>
          <w:bCs/>
        </w:rPr>
      </w:pPr>
      <w:r w:rsidRPr="00547338">
        <w:rPr>
          <w:rFonts w:cs="Arial"/>
          <w:bCs/>
          <w:lang w:val="nl-NL"/>
        </w:rPr>
        <w:br w:type="page"/>
      </w:r>
      <w:r w:rsidRPr="00D756D3">
        <w:rPr>
          <w:rFonts w:cs="Arial"/>
          <w:bCs/>
        </w:rPr>
        <w:lastRenderedPageBreak/>
        <w:t xml:space="preserve">balance sheet as at 31 december </w:t>
      </w:r>
      <w:r w:rsidR="006B76C0" w:rsidRPr="00420853">
        <w:rPr>
          <w:rFonts w:cs="Arial"/>
          <w:bCs/>
        </w:rPr>
        <w:t>2011</w:t>
      </w:r>
      <w:r w:rsidR="00304EF6" w:rsidRPr="00420853">
        <w:rPr>
          <w:rFonts w:cs="Arial"/>
          <w:bCs/>
        </w:rPr>
        <w:t xml:space="preserve"> </w:t>
      </w:r>
    </w:p>
    <w:p w:rsidR="000F5CCC" w:rsidRDefault="000F5CCC" w:rsidP="000F5CCC">
      <w:pPr>
        <w:pStyle w:val="Style000"/>
        <w:rPr>
          <w:rFonts w:cs="Arial"/>
        </w:rPr>
      </w:pPr>
    </w:p>
    <w:p w:rsidR="000F5CCC" w:rsidRDefault="000F5CCC" w:rsidP="000F5CCC">
      <w:pPr>
        <w:pStyle w:val="Style000"/>
        <w:rPr>
          <w:rFonts w:cs="Arial"/>
        </w:rPr>
      </w:pPr>
      <w:r w:rsidRPr="00D756D3">
        <w:rPr>
          <w:rFonts w:cs="Arial"/>
        </w:rPr>
        <w:t>before appropriation of profit</w:t>
      </w:r>
    </w:p>
    <w:p w:rsidR="00420853" w:rsidRDefault="00420853" w:rsidP="000F5CCC">
      <w:pPr>
        <w:pStyle w:val="Style000"/>
        <w:rPr>
          <w:rFonts w:cs="Arial"/>
        </w:rPr>
      </w:pPr>
    </w:p>
    <w:tbl>
      <w:tblPr>
        <w:tblW w:w="9390" w:type="dxa"/>
        <w:tblInd w:w="103" w:type="dxa"/>
        <w:tblLook w:val="04A0"/>
      </w:tblPr>
      <w:tblGrid>
        <w:gridCol w:w="3389"/>
        <w:gridCol w:w="692"/>
        <w:gridCol w:w="369"/>
        <w:gridCol w:w="1094"/>
        <w:gridCol w:w="1226"/>
        <w:gridCol w:w="274"/>
        <w:gridCol w:w="1169"/>
        <w:gridCol w:w="1190"/>
      </w:tblGrid>
      <w:tr w:rsidR="00420853" w:rsidRPr="00420853" w:rsidTr="00420853">
        <w:trPr>
          <w:trHeight w:val="301"/>
        </w:trPr>
        <w:tc>
          <w:tcPr>
            <w:tcW w:w="3389" w:type="dxa"/>
            <w:tcBorders>
              <w:top w:val="single" w:sz="4" w:space="0" w:color="auto"/>
              <w:left w:val="single" w:sz="4" w:space="0" w:color="auto"/>
              <w:bottom w:val="single" w:sz="4" w:space="0" w:color="auto"/>
              <w:right w:val="nil"/>
            </w:tcBorders>
            <w:shd w:val="clear" w:color="auto" w:fill="auto"/>
            <w:noWrap/>
            <w:vAlign w:val="bottom"/>
            <w:hideMark/>
          </w:tcPr>
          <w:p w:rsidR="00420853" w:rsidRPr="00420853" w:rsidRDefault="00420853" w:rsidP="00420853">
            <w:pPr>
              <w:overflowPunct/>
              <w:autoSpaceDE/>
              <w:autoSpaceDN/>
              <w:adjustRightInd/>
              <w:spacing w:line="240" w:lineRule="auto"/>
              <w:textAlignment w:val="auto"/>
              <w:rPr>
                <w:rFonts w:ascii="Calibri" w:hAnsi="Calibri" w:cs="Calibri"/>
                <w:i/>
                <w:iCs/>
                <w:color w:val="000000"/>
                <w:sz w:val="22"/>
                <w:szCs w:val="22"/>
                <w:lang w:val="en-US"/>
              </w:rPr>
            </w:pPr>
            <w:r w:rsidRPr="00420853">
              <w:rPr>
                <w:rFonts w:ascii="Calibri" w:hAnsi="Calibri" w:cs="Calibri"/>
                <w:i/>
                <w:iCs/>
                <w:color w:val="000000"/>
                <w:sz w:val="22"/>
                <w:szCs w:val="22"/>
                <w:lang w:val="en-US"/>
              </w:rPr>
              <w:t> </w:t>
            </w:r>
          </w:p>
        </w:tc>
        <w:tc>
          <w:tcPr>
            <w:tcW w:w="692" w:type="dxa"/>
            <w:tcBorders>
              <w:top w:val="single" w:sz="4" w:space="0" w:color="auto"/>
              <w:left w:val="nil"/>
              <w:bottom w:val="single" w:sz="4" w:space="0" w:color="auto"/>
              <w:right w:val="nil"/>
            </w:tcBorders>
            <w:shd w:val="clear" w:color="auto" w:fill="auto"/>
            <w:noWrap/>
            <w:vAlign w:val="bottom"/>
            <w:hideMark/>
          </w:tcPr>
          <w:p w:rsidR="00420853" w:rsidRPr="00420853" w:rsidRDefault="00420853" w:rsidP="00420853">
            <w:pPr>
              <w:overflowPunct/>
              <w:autoSpaceDE/>
              <w:autoSpaceDN/>
              <w:adjustRightInd/>
              <w:spacing w:line="240" w:lineRule="auto"/>
              <w:jc w:val="center"/>
              <w:textAlignment w:val="auto"/>
              <w:rPr>
                <w:rFonts w:ascii="Calibri" w:hAnsi="Calibri" w:cs="Calibri"/>
                <w:color w:val="000000"/>
                <w:sz w:val="22"/>
                <w:szCs w:val="22"/>
                <w:lang w:val="en-US"/>
              </w:rPr>
            </w:pPr>
            <w:r w:rsidRPr="00420853">
              <w:rPr>
                <w:rFonts w:ascii="Calibri" w:hAnsi="Calibri" w:cs="Calibri"/>
                <w:color w:val="000000"/>
                <w:sz w:val="22"/>
                <w:szCs w:val="22"/>
                <w:lang w:val="en-US"/>
              </w:rPr>
              <w:t>Note</w:t>
            </w:r>
          </w:p>
        </w:tc>
        <w:tc>
          <w:tcPr>
            <w:tcW w:w="369" w:type="dxa"/>
            <w:tcBorders>
              <w:top w:val="single" w:sz="4" w:space="0" w:color="auto"/>
              <w:left w:val="nil"/>
              <w:bottom w:val="nil"/>
              <w:right w:val="nil"/>
            </w:tcBorders>
            <w:shd w:val="clear" w:color="auto" w:fill="auto"/>
            <w:noWrap/>
            <w:vAlign w:val="bottom"/>
            <w:hideMark/>
          </w:tcPr>
          <w:p w:rsidR="00420853" w:rsidRPr="00420853" w:rsidRDefault="00420853" w:rsidP="00420853">
            <w:pPr>
              <w:overflowPunct/>
              <w:autoSpaceDE/>
              <w:autoSpaceDN/>
              <w:adjustRightInd/>
              <w:spacing w:line="240" w:lineRule="auto"/>
              <w:jc w:val="center"/>
              <w:textAlignment w:val="auto"/>
              <w:rPr>
                <w:rFonts w:ascii="Calibri" w:hAnsi="Calibri" w:cs="Calibri"/>
                <w:color w:val="000000"/>
                <w:sz w:val="22"/>
                <w:szCs w:val="22"/>
                <w:lang w:val="en-US"/>
              </w:rPr>
            </w:pPr>
            <w:r w:rsidRPr="00420853">
              <w:rPr>
                <w:rFonts w:ascii="Calibri" w:hAnsi="Calibri" w:cs="Calibri"/>
                <w:color w:val="000000"/>
                <w:sz w:val="22"/>
                <w:szCs w:val="22"/>
                <w:lang w:val="en-US"/>
              </w:rPr>
              <w:t> </w:t>
            </w:r>
          </w:p>
        </w:tc>
        <w:tc>
          <w:tcPr>
            <w:tcW w:w="2307" w:type="dxa"/>
            <w:gridSpan w:val="2"/>
            <w:tcBorders>
              <w:top w:val="single" w:sz="4" w:space="0" w:color="auto"/>
              <w:left w:val="nil"/>
              <w:bottom w:val="single" w:sz="4" w:space="0" w:color="auto"/>
              <w:right w:val="nil"/>
            </w:tcBorders>
            <w:shd w:val="clear" w:color="auto" w:fill="auto"/>
            <w:vAlign w:val="bottom"/>
            <w:hideMark/>
          </w:tcPr>
          <w:p w:rsidR="00420853" w:rsidRPr="00420853" w:rsidRDefault="00420853" w:rsidP="00420853">
            <w:pPr>
              <w:overflowPunct/>
              <w:autoSpaceDE/>
              <w:autoSpaceDN/>
              <w:adjustRightInd/>
              <w:spacing w:line="240" w:lineRule="auto"/>
              <w:jc w:val="center"/>
              <w:textAlignment w:val="auto"/>
              <w:rPr>
                <w:rFonts w:ascii="Calibri" w:hAnsi="Calibri" w:cs="Calibri"/>
                <w:color w:val="000000"/>
                <w:sz w:val="22"/>
                <w:szCs w:val="22"/>
                <w:lang w:val="en-US"/>
              </w:rPr>
            </w:pPr>
            <w:r w:rsidRPr="00420853">
              <w:rPr>
                <w:rFonts w:ascii="Calibri" w:hAnsi="Calibri" w:cs="Calibri"/>
                <w:color w:val="000000"/>
                <w:sz w:val="22"/>
                <w:szCs w:val="22"/>
                <w:lang w:val="en-US"/>
              </w:rPr>
              <w:t>2011</w:t>
            </w:r>
          </w:p>
        </w:tc>
        <w:tc>
          <w:tcPr>
            <w:tcW w:w="274" w:type="dxa"/>
            <w:tcBorders>
              <w:top w:val="single" w:sz="4" w:space="0" w:color="auto"/>
              <w:left w:val="nil"/>
              <w:bottom w:val="nil"/>
              <w:right w:val="nil"/>
            </w:tcBorders>
            <w:shd w:val="clear" w:color="auto" w:fill="auto"/>
            <w:noWrap/>
            <w:vAlign w:val="bottom"/>
            <w:hideMark/>
          </w:tcPr>
          <w:p w:rsidR="00420853" w:rsidRPr="00420853" w:rsidRDefault="00420853" w:rsidP="00420853">
            <w:pPr>
              <w:overflowPunct/>
              <w:autoSpaceDE/>
              <w:autoSpaceDN/>
              <w:adjustRightInd/>
              <w:spacing w:line="240" w:lineRule="auto"/>
              <w:textAlignment w:val="auto"/>
              <w:rPr>
                <w:rFonts w:ascii="Calibri" w:hAnsi="Calibri" w:cs="Calibri"/>
                <w:color w:val="000000"/>
                <w:sz w:val="22"/>
                <w:szCs w:val="22"/>
                <w:lang w:val="en-US"/>
              </w:rPr>
            </w:pPr>
            <w:r w:rsidRPr="00420853">
              <w:rPr>
                <w:rFonts w:ascii="Calibri" w:hAnsi="Calibri" w:cs="Calibri"/>
                <w:color w:val="000000"/>
                <w:sz w:val="22"/>
                <w:szCs w:val="22"/>
                <w:lang w:val="en-US"/>
              </w:rPr>
              <w:t> </w:t>
            </w:r>
          </w:p>
        </w:tc>
        <w:tc>
          <w:tcPr>
            <w:tcW w:w="2359" w:type="dxa"/>
            <w:gridSpan w:val="2"/>
            <w:tcBorders>
              <w:top w:val="single" w:sz="4" w:space="0" w:color="auto"/>
              <w:left w:val="nil"/>
              <w:bottom w:val="single" w:sz="4" w:space="0" w:color="auto"/>
              <w:right w:val="single" w:sz="4" w:space="0" w:color="000000"/>
            </w:tcBorders>
            <w:shd w:val="clear" w:color="auto" w:fill="auto"/>
            <w:vAlign w:val="bottom"/>
            <w:hideMark/>
          </w:tcPr>
          <w:p w:rsidR="00420853" w:rsidRPr="00420853" w:rsidRDefault="00420853" w:rsidP="00420853">
            <w:pPr>
              <w:overflowPunct/>
              <w:autoSpaceDE/>
              <w:autoSpaceDN/>
              <w:adjustRightInd/>
              <w:spacing w:line="240" w:lineRule="auto"/>
              <w:jc w:val="center"/>
              <w:textAlignment w:val="auto"/>
              <w:rPr>
                <w:rFonts w:ascii="Calibri" w:hAnsi="Calibri" w:cs="Calibri"/>
                <w:sz w:val="22"/>
                <w:szCs w:val="22"/>
                <w:lang w:val="en-US"/>
              </w:rPr>
            </w:pPr>
            <w:r w:rsidRPr="00420853">
              <w:rPr>
                <w:rFonts w:ascii="Calibri" w:hAnsi="Calibri" w:cs="Calibri"/>
                <w:sz w:val="22"/>
                <w:szCs w:val="22"/>
                <w:lang w:val="en-US"/>
              </w:rPr>
              <w:t>2010</w:t>
            </w:r>
          </w:p>
        </w:tc>
      </w:tr>
      <w:tr w:rsidR="00420853" w:rsidRPr="00420853" w:rsidTr="00420853">
        <w:trPr>
          <w:trHeight w:val="301"/>
        </w:trPr>
        <w:tc>
          <w:tcPr>
            <w:tcW w:w="3389" w:type="dxa"/>
            <w:tcBorders>
              <w:top w:val="nil"/>
              <w:left w:val="single" w:sz="4" w:space="0" w:color="auto"/>
              <w:bottom w:val="nil"/>
              <w:right w:val="nil"/>
            </w:tcBorders>
            <w:shd w:val="clear" w:color="auto" w:fill="auto"/>
            <w:hideMark/>
          </w:tcPr>
          <w:p w:rsidR="00420853" w:rsidRPr="00420853" w:rsidRDefault="00420853" w:rsidP="00420853">
            <w:pPr>
              <w:overflowPunct/>
              <w:autoSpaceDE/>
              <w:autoSpaceDN/>
              <w:adjustRightInd/>
              <w:spacing w:line="240" w:lineRule="auto"/>
              <w:textAlignment w:val="auto"/>
              <w:rPr>
                <w:rFonts w:ascii="Calibri" w:hAnsi="Calibri" w:cs="Calibri"/>
                <w:color w:val="000000"/>
                <w:sz w:val="22"/>
                <w:szCs w:val="22"/>
                <w:lang w:val="en-US"/>
              </w:rPr>
            </w:pPr>
            <w:r w:rsidRPr="00420853">
              <w:rPr>
                <w:rFonts w:ascii="Calibri" w:hAnsi="Calibri" w:cs="Calibri"/>
                <w:color w:val="000000"/>
                <w:sz w:val="22"/>
                <w:szCs w:val="22"/>
                <w:lang w:val="en-US"/>
              </w:rPr>
              <w:t>(in thousands of USD)</w:t>
            </w:r>
          </w:p>
        </w:tc>
        <w:tc>
          <w:tcPr>
            <w:tcW w:w="692" w:type="dxa"/>
            <w:tcBorders>
              <w:top w:val="nil"/>
              <w:left w:val="nil"/>
              <w:bottom w:val="nil"/>
              <w:right w:val="nil"/>
            </w:tcBorders>
            <w:shd w:val="clear" w:color="auto" w:fill="auto"/>
            <w:hideMark/>
          </w:tcPr>
          <w:p w:rsidR="00420853" w:rsidRPr="00420853" w:rsidRDefault="00420853" w:rsidP="00420853">
            <w:pPr>
              <w:overflowPunct/>
              <w:autoSpaceDE/>
              <w:autoSpaceDN/>
              <w:adjustRightInd/>
              <w:spacing w:line="240" w:lineRule="auto"/>
              <w:textAlignment w:val="auto"/>
              <w:rPr>
                <w:rFonts w:ascii="Calibri" w:hAnsi="Calibri" w:cs="Calibri"/>
                <w:color w:val="000000"/>
                <w:sz w:val="22"/>
                <w:szCs w:val="22"/>
                <w:lang w:val="en-US"/>
              </w:rPr>
            </w:pPr>
          </w:p>
        </w:tc>
        <w:tc>
          <w:tcPr>
            <w:tcW w:w="369" w:type="dxa"/>
            <w:tcBorders>
              <w:top w:val="nil"/>
              <w:left w:val="nil"/>
              <w:bottom w:val="nil"/>
              <w:right w:val="nil"/>
            </w:tcBorders>
            <w:shd w:val="clear" w:color="auto" w:fill="auto"/>
            <w:hideMark/>
          </w:tcPr>
          <w:p w:rsidR="00420853" w:rsidRPr="00420853" w:rsidRDefault="00420853" w:rsidP="00420853">
            <w:pPr>
              <w:overflowPunct/>
              <w:autoSpaceDE/>
              <w:autoSpaceDN/>
              <w:adjustRightInd/>
              <w:spacing w:line="240" w:lineRule="auto"/>
              <w:ind w:firstLineChars="100" w:firstLine="220"/>
              <w:jc w:val="right"/>
              <w:textAlignment w:val="auto"/>
              <w:rPr>
                <w:rFonts w:ascii="Calibri" w:hAnsi="Calibri" w:cs="Calibri"/>
                <w:color w:val="000000"/>
                <w:sz w:val="22"/>
                <w:szCs w:val="22"/>
                <w:lang w:val="en-US"/>
              </w:rPr>
            </w:pPr>
          </w:p>
        </w:tc>
        <w:tc>
          <w:tcPr>
            <w:tcW w:w="1081" w:type="dxa"/>
            <w:tcBorders>
              <w:top w:val="nil"/>
              <w:left w:val="nil"/>
              <w:bottom w:val="nil"/>
              <w:right w:val="nil"/>
            </w:tcBorders>
            <w:shd w:val="clear" w:color="auto" w:fill="auto"/>
            <w:hideMark/>
          </w:tcPr>
          <w:p w:rsidR="00420853" w:rsidRPr="00420853" w:rsidRDefault="00420853" w:rsidP="00420853">
            <w:pPr>
              <w:overflowPunct/>
              <w:autoSpaceDE/>
              <w:autoSpaceDN/>
              <w:adjustRightInd/>
              <w:spacing w:line="240" w:lineRule="auto"/>
              <w:ind w:firstLineChars="100" w:firstLine="220"/>
              <w:jc w:val="right"/>
              <w:textAlignment w:val="auto"/>
              <w:rPr>
                <w:rFonts w:ascii="Calibri" w:hAnsi="Calibri" w:cs="Calibri"/>
                <w:color w:val="000000"/>
                <w:sz w:val="22"/>
                <w:szCs w:val="22"/>
                <w:lang w:val="en-US"/>
              </w:rPr>
            </w:pPr>
          </w:p>
        </w:tc>
        <w:tc>
          <w:tcPr>
            <w:tcW w:w="1226" w:type="dxa"/>
            <w:tcBorders>
              <w:top w:val="nil"/>
              <w:left w:val="nil"/>
              <w:bottom w:val="nil"/>
              <w:right w:val="nil"/>
            </w:tcBorders>
            <w:shd w:val="clear" w:color="auto" w:fill="auto"/>
            <w:hideMark/>
          </w:tcPr>
          <w:p w:rsidR="00420853" w:rsidRPr="00420853" w:rsidRDefault="00420853" w:rsidP="00420853">
            <w:pPr>
              <w:overflowPunct/>
              <w:autoSpaceDE/>
              <w:autoSpaceDN/>
              <w:adjustRightInd/>
              <w:spacing w:line="240" w:lineRule="auto"/>
              <w:ind w:firstLineChars="100" w:firstLine="220"/>
              <w:jc w:val="right"/>
              <w:textAlignment w:val="auto"/>
              <w:rPr>
                <w:rFonts w:ascii="Calibri" w:hAnsi="Calibri" w:cs="Calibri"/>
                <w:color w:val="000000"/>
                <w:sz w:val="22"/>
                <w:szCs w:val="22"/>
                <w:lang w:val="en-US"/>
              </w:rPr>
            </w:pPr>
          </w:p>
        </w:tc>
        <w:tc>
          <w:tcPr>
            <w:tcW w:w="274" w:type="dxa"/>
            <w:tcBorders>
              <w:top w:val="nil"/>
              <w:left w:val="nil"/>
              <w:bottom w:val="nil"/>
              <w:right w:val="nil"/>
            </w:tcBorders>
            <w:shd w:val="clear" w:color="auto" w:fill="auto"/>
            <w:noWrap/>
            <w:vAlign w:val="bottom"/>
            <w:hideMark/>
          </w:tcPr>
          <w:p w:rsidR="00420853" w:rsidRPr="00420853" w:rsidRDefault="00420853" w:rsidP="00420853">
            <w:pPr>
              <w:overflowPunct/>
              <w:autoSpaceDE/>
              <w:autoSpaceDN/>
              <w:adjustRightInd/>
              <w:spacing w:line="240" w:lineRule="auto"/>
              <w:textAlignment w:val="auto"/>
              <w:rPr>
                <w:rFonts w:ascii="Calibri" w:hAnsi="Calibri" w:cs="Calibri"/>
                <w:color w:val="000000"/>
                <w:sz w:val="22"/>
                <w:szCs w:val="22"/>
                <w:lang w:val="en-US"/>
              </w:rPr>
            </w:pPr>
          </w:p>
        </w:tc>
        <w:tc>
          <w:tcPr>
            <w:tcW w:w="1169" w:type="dxa"/>
            <w:tcBorders>
              <w:top w:val="nil"/>
              <w:left w:val="nil"/>
              <w:bottom w:val="nil"/>
              <w:right w:val="nil"/>
            </w:tcBorders>
            <w:shd w:val="clear" w:color="auto" w:fill="auto"/>
            <w:hideMark/>
          </w:tcPr>
          <w:p w:rsidR="00420853" w:rsidRPr="00420853" w:rsidRDefault="00420853" w:rsidP="00420853">
            <w:pPr>
              <w:overflowPunct/>
              <w:autoSpaceDE/>
              <w:autoSpaceDN/>
              <w:adjustRightInd/>
              <w:spacing w:line="240" w:lineRule="auto"/>
              <w:ind w:firstLineChars="100" w:firstLine="220"/>
              <w:jc w:val="right"/>
              <w:textAlignment w:val="auto"/>
              <w:rPr>
                <w:rFonts w:ascii="Calibri" w:hAnsi="Calibri" w:cs="Calibri"/>
                <w:color w:val="8064A2"/>
                <w:sz w:val="22"/>
                <w:szCs w:val="22"/>
                <w:lang w:val="en-US"/>
              </w:rPr>
            </w:pPr>
          </w:p>
        </w:tc>
        <w:tc>
          <w:tcPr>
            <w:tcW w:w="1190" w:type="dxa"/>
            <w:tcBorders>
              <w:top w:val="nil"/>
              <w:left w:val="nil"/>
              <w:bottom w:val="nil"/>
              <w:right w:val="single" w:sz="4" w:space="0" w:color="auto"/>
            </w:tcBorders>
            <w:shd w:val="clear" w:color="auto" w:fill="auto"/>
            <w:hideMark/>
          </w:tcPr>
          <w:p w:rsidR="00420853" w:rsidRPr="00420853" w:rsidRDefault="00420853" w:rsidP="00420853">
            <w:pPr>
              <w:overflowPunct/>
              <w:autoSpaceDE/>
              <w:autoSpaceDN/>
              <w:adjustRightInd/>
              <w:spacing w:line="240" w:lineRule="auto"/>
              <w:ind w:firstLineChars="100" w:firstLine="220"/>
              <w:jc w:val="right"/>
              <w:textAlignment w:val="auto"/>
              <w:rPr>
                <w:rFonts w:ascii="Calibri" w:hAnsi="Calibri" w:cs="Calibri"/>
                <w:color w:val="8064A2"/>
                <w:sz w:val="22"/>
                <w:szCs w:val="22"/>
                <w:lang w:val="en-US"/>
              </w:rPr>
            </w:pPr>
            <w:r w:rsidRPr="00420853">
              <w:rPr>
                <w:rFonts w:ascii="Calibri" w:hAnsi="Calibri" w:cs="Calibri"/>
                <w:color w:val="8064A2"/>
                <w:sz w:val="22"/>
                <w:szCs w:val="22"/>
                <w:lang w:val="en-US"/>
              </w:rPr>
              <w:t> </w:t>
            </w:r>
          </w:p>
        </w:tc>
      </w:tr>
      <w:tr w:rsidR="00420853" w:rsidRPr="00420853" w:rsidTr="00420853">
        <w:trPr>
          <w:trHeight w:val="301"/>
        </w:trPr>
        <w:tc>
          <w:tcPr>
            <w:tcW w:w="3389" w:type="dxa"/>
            <w:tcBorders>
              <w:top w:val="nil"/>
              <w:left w:val="single" w:sz="4" w:space="0" w:color="auto"/>
              <w:bottom w:val="nil"/>
              <w:right w:val="nil"/>
            </w:tcBorders>
            <w:shd w:val="clear" w:color="auto" w:fill="auto"/>
            <w:hideMark/>
          </w:tcPr>
          <w:p w:rsidR="00420853" w:rsidRPr="00420853" w:rsidRDefault="00420853" w:rsidP="00420853">
            <w:pPr>
              <w:overflowPunct/>
              <w:autoSpaceDE/>
              <w:autoSpaceDN/>
              <w:adjustRightInd/>
              <w:spacing w:line="240" w:lineRule="auto"/>
              <w:textAlignment w:val="auto"/>
              <w:rPr>
                <w:rFonts w:ascii="Calibri" w:hAnsi="Calibri" w:cs="Calibri"/>
                <w:color w:val="000000"/>
                <w:sz w:val="22"/>
                <w:szCs w:val="22"/>
                <w:lang w:val="en-US"/>
              </w:rPr>
            </w:pPr>
            <w:r w:rsidRPr="00420853">
              <w:rPr>
                <w:rFonts w:ascii="Calibri" w:hAnsi="Calibri" w:cs="Calibri"/>
                <w:color w:val="000000"/>
                <w:sz w:val="22"/>
                <w:szCs w:val="22"/>
                <w:lang w:val="en-US"/>
              </w:rPr>
              <w:t> </w:t>
            </w:r>
          </w:p>
        </w:tc>
        <w:tc>
          <w:tcPr>
            <w:tcW w:w="692" w:type="dxa"/>
            <w:tcBorders>
              <w:top w:val="nil"/>
              <w:left w:val="nil"/>
              <w:bottom w:val="nil"/>
              <w:right w:val="nil"/>
            </w:tcBorders>
            <w:shd w:val="clear" w:color="auto" w:fill="auto"/>
            <w:hideMark/>
          </w:tcPr>
          <w:p w:rsidR="00420853" w:rsidRPr="00420853" w:rsidRDefault="00420853" w:rsidP="00420853">
            <w:pPr>
              <w:overflowPunct/>
              <w:autoSpaceDE/>
              <w:autoSpaceDN/>
              <w:adjustRightInd/>
              <w:spacing w:line="240" w:lineRule="auto"/>
              <w:textAlignment w:val="auto"/>
              <w:rPr>
                <w:rFonts w:ascii="Calibri" w:hAnsi="Calibri" w:cs="Calibri"/>
                <w:color w:val="000000"/>
                <w:sz w:val="22"/>
                <w:szCs w:val="22"/>
                <w:lang w:val="en-US"/>
              </w:rPr>
            </w:pPr>
          </w:p>
        </w:tc>
        <w:tc>
          <w:tcPr>
            <w:tcW w:w="369" w:type="dxa"/>
            <w:tcBorders>
              <w:top w:val="nil"/>
              <w:left w:val="nil"/>
              <w:bottom w:val="nil"/>
              <w:right w:val="nil"/>
            </w:tcBorders>
            <w:shd w:val="clear" w:color="auto" w:fill="auto"/>
            <w:hideMark/>
          </w:tcPr>
          <w:p w:rsidR="00420853" w:rsidRPr="00420853" w:rsidRDefault="00420853" w:rsidP="00420853">
            <w:pPr>
              <w:overflowPunct/>
              <w:autoSpaceDE/>
              <w:autoSpaceDN/>
              <w:adjustRightInd/>
              <w:spacing w:line="240" w:lineRule="auto"/>
              <w:ind w:firstLineChars="100" w:firstLine="220"/>
              <w:jc w:val="right"/>
              <w:textAlignment w:val="auto"/>
              <w:rPr>
                <w:rFonts w:ascii="Calibri" w:hAnsi="Calibri" w:cs="Calibri"/>
                <w:color w:val="000000"/>
                <w:sz w:val="22"/>
                <w:szCs w:val="22"/>
                <w:lang w:val="en-US"/>
              </w:rPr>
            </w:pPr>
          </w:p>
        </w:tc>
        <w:tc>
          <w:tcPr>
            <w:tcW w:w="1081" w:type="dxa"/>
            <w:tcBorders>
              <w:top w:val="nil"/>
              <w:left w:val="nil"/>
              <w:bottom w:val="nil"/>
              <w:right w:val="nil"/>
            </w:tcBorders>
            <w:shd w:val="clear" w:color="auto" w:fill="auto"/>
            <w:hideMark/>
          </w:tcPr>
          <w:p w:rsidR="00420853" w:rsidRPr="00420853" w:rsidRDefault="00420853" w:rsidP="00420853">
            <w:pPr>
              <w:overflowPunct/>
              <w:autoSpaceDE/>
              <w:autoSpaceDN/>
              <w:adjustRightInd/>
              <w:spacing w:line="240" w:lineRule="auto"/>
              <w:ind w:firstLineChars="100" w:firstLine="220"/>
              <w:jc w:val="right"/>
              <w:textAlignment w:val="auto"/>
              <w:rPr>
                <w:rFonts w:ascii="Calibri" w:hAnsi="Calibri" w:cs="Calibri"/>
                <w:color w:val="000000"/>
                <w:sz w:val="22"/>
                <w:szCs w:val="22"/>
                <w:lang w:val="en-US"/>
              </w:rPr>
            </w:pPr>
          </w:p>
        </w:tc>
        <w:tc>
          <w:tcPr>
            <w:tcW w:w="1226" w:type="dxa"/>
            <w:tcBorders>
              <w:top w:val="nil"/>
              <w:left w:val="nil"/>
              <w:bottom w:val="nil"/>
              <w:right w:val="nil"/>
            </w:tcBorders>
            <w:shd w:val="clear" w:color="auto" w:fill="auto"/>
            <w:hideMark/>
          </w:tcPr>
          <w:p w:rsidR="00420853" w:rsidRPr="00420853" w:rsidRDefault="00420853" w:rsidP="00420853">
            <w:pPr>
              <w:overflowPunct/>
              <w:autoSpaceDE/>
              <w:autoSpaceDN/>
              <w:adjustRightInd/>
              <w:spacing w:line="240" w:lineRule="auto"/>
              <w:ind w:firstLineChars="100" w:firstLine="220"/>
              <w:jc w:val="right"/>
              <w:textAlignment w:val="auto"/>
              <w:rPr>
                <w:rFonts w:ascii="Calibri" w:hAnsi="Calibri" w:cs="Calibri"/>
                <w:color w:val="000000"/>
                <w:sz w:val="22"/>
                <w:szCs w:val="22"/>
                <w:lang w:val="en-US"/>
              </w:rPr>
            </w:pPr>
          </w:p>
        </w:tc>
        <w:tc>
          <w:tcPr>
            <w:tcW w:w="274" w:type="dxa"/>
            <w:tcBorders>
              <w:top w:val="nil"/>
              <w:left w:val="nil"/>
              <w:bottom w:val="nil"/>
              <w:right w:val="nil"/>
            </w:tcBorders>
            <w:shd w:val="clear" w:color="auto" w:fill="auto"/>
            <w:noWrap/>
            <w:vAlign w:val="bottom"/>
            <w:hideMark/>
          </w:tcPr>
          <w:p w:rsidR="00420853" w:rsidRPr="00420853" w:rsidRDefault="00420853" w:rsidP="00420853">
            <w:pPr>
              <w:overflowPunct/>
              <w:autoSpaceDE/>
              <w:autoSpaceDN/>
              <w:adjustRightInd/>
              <w:spacing w:line="240" w:lineRule="auto"/>
              <w:textAlignment w:val="auto"/>
              <w:rPr>
                <w:rFonts w:ascii="Calibri" w:hAnsi="Calibri" w:cs="Calibri"/>
                <w:color w:val="000000"/>
                <w:sz w:val="22"/>
                <w:szCs w:val="22"/>
                <w:lang w:val="en-US"/>
              </w:rPr>
            </w:pPr>
          </w:p>
        </w:tc>
        <w:tc>
          <w:tcPr>
            <w:tcW w:w="1169" w:type="dxa"/>
            <w:tcBorders>
              <w:top w:val="nil"/>
              <w:left w:val="nil"/>
              <w:bottom w:val="nil"/>
              <w:right w:val="nil"/>
            </w:tcBorders>
            <w:shd w:val="clear" w:color="auto" w:fill="auto"/>
            <w:hideMark/>
          </w:tcPr>
          <w:p w:rsidR="00420853" w:rsidRPr="00420853" w:rsidRDefault="00420853" w:rsidP="00420853">
            <w:pPr>
              <w:overflowPunct/>
              <w:autoSpaceDE/>
              <w:autoSpaceDN/>
              <w:adjustRightInd/>
              <w:spacing w:line="240" w:lineRule="auto"/>
              <w:ind w:firstLineChars="100" w:firstLine="220"/>
              <w:jc w:val="right"/>
              <w:textAlignment w:val="auto"/>
              <w:rPr>
                <w:rFonts w:ascii="Calibri" w:hAnsi="Calibri" w:cs="Calibri"/>
                <w:color w:val="8064A2"/>
                <w:sz w:val="22"/>
                <w:szCs w:val="22"/>
                <w:lang w:val="en-US"/>
              </w:rPr>
            </w:pPr>
          </w:p>
        </w:tc>
        <w:tc>
          <w:tcPr>
            <w:tcW w:w="1190" w:type="dxa"/>
            <w:tcBorders>
              <w:top w:val="nil"/>
              <w:left w:val="nil"/>
              <w:bottom w:val="nil"/>
              <w:right w:val="single" w:sz="4" w:space="0" w:color="auto"/>
            </w:tcBorders>
            <w:shd w:val="clear" w:color="auto" w:fill="auto"/>
            <w:hideMark/>
          </w:tcPr>
          <w:p w:rsidR="00420853" w:rsidRPr="00420853" w:rsidRDefault="00420853" w:rsidP="00420853">
            <w:pPr>
              <w:overflowPunct/>
              <w:autoSpaceDE/>
              <w:autoSpaceDN/>
              <w:adjustRightInd/>
              <w:spacing w:line="240" w:lineRule="auto"/>
              <w:ind w:firstLineChars="100" w:firstLine="220"/>
              <w:jc w:val="right"/>
              <w:textAlignment w:val="auto"/>
              <w:rPr>
                <w:rFonts w:ascii="Calibri" w:hAnsi="Calibri" w:cs="Calibri"/>
                <w:color w:val="8064A2"/>
                <w:sz w:val="22"/>
                <w:szCs w:val="22"/>
                <w:lang w:val="en-US"/>
              </w:rPr>
            </w:pPr>
            <w:r w:rsidRPr="00420853">
              <w:rPr>
                <w:rFonts w:ascii="Calibri" w:hAnsi="Calibri" w:cs="Calibri"/>
                <w:color w:val="8064A2"/>
                <w:sz w:val="22"/>
                <w:szCs w:val="22"/>
                <w:lang w:val="en-US"/>
              </w:rPr>
              <w:t> </w:t>
            </w:r>
          </w:p>
        </w:tc>
      </w:tr>
      <w:tr w:rsidR="00420853" w:rsidRPr="00420853" w:rsidTr="00420853">
        <w:trPr>
          <w:trHeight w:val="301"/>
        </w:trPr>
        <w:tc>
          <w:tcPr>
            <w:tcW w:w="3389" w:type="dxa"/>
            <w:tcBorders>
              <w:top w:val="nil"/>
              <w:left w:val="single" w:sz="4" w:space="0" w:color="auto"/>
              <w:bottom w:val="nil"/>
              <w:right w:val="nil"/>
            </w:tcBorders>
            <w:shd w:val="clear" w:color="auto" w:fill="auto"/>
            <w:hideMark/>
          </w:tcPr>
          <w:p w:rsidR="00420853" w:rsidRPr="00420853" w:rsidRDefault="00420853" w:rsidP="00420853">
            <w:pPr>
              <w:overflowPunct/>
              <w:autoSpaceDE/>
              <w:autoSpaceDN/>
              <w:adjustRightInd/>
              <w:spacing w:line="240" w:lineRule="auto"/>
              <w:textAlignment w:val="auto"/>
              <w:rPr>
                <w:rFonts w:ascii="Calibri" w:hAnsi="Calibri" w:cs="Calibri"/>
                <w:b/>
                <w:bCs/>
                <w:color w:val="000000"/>
                <w:sz w:val="22"/>
                <w:szCs w:val="22"/>
                <w:lang w:val="en-US"/>
              </w:rPr>
            </w:pPr>
            <w:r w:rsidRPr="00420853">
              <w:rPr>
                <w:rFonts w:ascii="Calibri" w:hAnsi="Calibri" w:cs="Calibri"/>
                <w:b/>
                <w:bCs/>
                <w:color w:val="000000"/>
                <w:sz w:val="22"/>
                <w:szCs w:val="22"/>
                <w:lang w:val="en-US"/>
              </w:rPr>
              <w:t>Fixed assets</w:t>
            </w:r>
          </w:p>
        </w:tc>
        <w:tc>
          <w:tcPr>
            <w:tcW w:w="692" w:type="dxa"/>
            <w:tcBorders>
              <w:top w:val="nil"/>
              <w:left w:val="nil"/>
              <w:bottom w:val="nil"/>
              <w:right w:val="nil"/>
            </w:tcBorders>
            <w:shd w:val="clear" w:color="auto" w:fill="auto"/>
            <w:hideMark/>
          </w:tcPr>
          <w:p w:rsidR="00420853" w:rsidRPr="00420853" w:rsidRDefault="00420853" w:rsidP="00420853">
            <w:pPr>
              <w:overflowPunct/>
              <w:autoSpaceDE/>
              <w:autoSpaceDN/>
              <w:adjustRightInd/>
              <w:spacing w:line="240" w:lineRule="auto"/>
              <w:textAlignment w:val="auto"/>
              <w:rPr>
                <w:rFonts w:ascii="Calibri" w:hAnsi="Calibri" w:cs="Calibri"/>
                <w:b/>
                <w:bCs/>
                <w:color w:val="000000"/>
                <w:sz w:val="22"/>
                <w:szCs w:val="22"/>
                <w:lang w:val="en-US"/>
              </w:rPr>
            </w:pPr>
          </w:p>
        </w:tc>
        <w:tc>
          <w:tcPr>
            <w:tcW w:w="369" w:type="dxa"/>
            <w:tcBorders>
              <w:top w:val="nil"/>
              <w:left w:val="nil"/>
              <w:bottom w:val="nil"/>
              <w:right w:val="nil"/>
            </w:tcBorders>
            <w:shd w:val="clear" w:color="auto" w:fill="auto"/>
            <w:hideMark/>
          </w:tcPr>
          <w:p w:rsidR="00420853" w:rsidRPr="00420853" w:rsidRDefault="00420853" w:rsidP="00420853">
            <w:pPr>
              <w:overflowPunct/>
              <w:autoSpaceDE/>
              <w:autoSpaceDN/>
              <w:adjustRightInd/>
              <w:spacing w:line="240" w:lineRule="auto"/>
              <w:ind w:firstLineChars="100" w:firstLine="221"/>
              <w:jc w:val="right"/>
              <w:textAlignment w:val="auto"/>
              <w:rPr>
                <w:rFonts w:ascii="Calibri" w:hAnsi="Calibri" w:cs="Calibri"/>
                <w:b/>
                <w:bCs/>
                <w:color w:val="000000"/>
                <w:sz w:val="22"/>
                <w:szCs w:val="22"/>
                <w:lang w:val="en-US"/>
              </w:rPr>
            </w:pPr>
          </w:p>
        </w:tc>
        <w:tc>
          <w:tcPr>
            <w:tcW w:w="1081" w:type="dxa"/>
            <w:tcBorders>
              <w:top w:val="nil"/>
              <w:left w:val="nil"/>
              <w:bottom w:val="nil"/>
              <w:right w:val="nil"/>
            </w:tcBorders>
            <w:shd w:val="clear" w:color="auto" w:fill="auto"/>
            <w:hideMark/>
          </w:tcPr>
          <w:p w:rsidR="00420853" w:rsidRPr="00420853" w:rsidRDefault="00420853" w:rsidP="00420853">
            <w:pPr>
              <w:overflowPunct/>
              <w:autoSpaceDE/>
              <w:autoSpaceDN/>
              <w:adjustRightInd/>
              <w:spacing w:line="240" w:lineRule="auto"/>
              <w:ind w:firstLineChars="100" w:firstLine="221"/>
              <w:jc w:val="right"/>
              <w:textAlignment w:val="auto"/>
              <w:rPr>
                <w:rFonts w:ascii="Calibri" w:hAnsi="Calibri" w:cs="Calibri"/>
                <w:b/>
                <w:bCs/>
                <w:color w:val="000000"/>
                <w:sz w:val="22"/>
                <w:szCs w:val="22"/>
                <w:lang w:val="en-US"/>
              </w:rPr>
            </w:pPr>
          </w:p>
        </w:tc>
        <w:tc>
          <w:tcPr>
            <w:tcW w:w="1226" w:type="dxa"/>
            <w:tcBorders>
              <w:top w:val="nil"/>
              <w:left w:val="nil"/>
              <w:bottom w:val="nil"/>
              <w:right w:val="nil"/>
            </w:tcBorders>
            <w:shd w:val="clear" w:color="auto" w:fill="auto"/>
            <w:hideMark/>
          </w:tcPr>
          <w:p w:rsidR="00420853" w:rsidRPr="00420853" w:rsidRDefault="00420853" w:rsidP="00420853">
            <w:pPr>
              <w:overflowPunct/>
              <w:autoSpaceDE/>
              <w:autoSpaceDN/>
              <w:adjustRightInd/>
              <w:spacing w:line="240" w:lineRule="auto"/>
              <w:ind w:firstLineChars="100" w:firstLine="221"/>
              <w:jc w:val="right"/>
              <w:textAlignment w:val="auto"/>
              <w:rPr>
                <w:rFonts w:ascii="Calibri" w:hAnsi="Calibri" w:cs="Calibri"/>
                <w:b/>
                <w:bCs/>
                <w:color w:val="000000"/>
                <w:sz w:val="22"/>
                <w:szCs w:val="22"/>
                <w:lang w:val="en-US"/>
              </w:rPr>
            </w:pPr>
          </w:p>
        </w:tc>
        <w:tc>
          <w:tcPr>
            <w:tcW w:w="274" w:type="dxa"/>
            <w:tcBorders>
              <w:top w:val="nil"/>
              <w:left w:val="nil"/>
              <w:bottom w:val="nil"/>
              <w:right w:val="nil"/>
            </w:tcBorders>
            <w:shd w:val="clear" w:color="auto" w:fill="auto"/>
            <w:noWrap/>
            <w:vAlign w:val="bottom"/>
            <w:hideMark/>
          </w:tcPr>
          <w:p w:rsidR="00420853" w:rsidRPr="00420853" w:rsidRDefault="00420853" w:rsidP="00420853">
            <w:pPr>
              <w:overflowPunct/>
              <w:autoSpaceDE/>
              <w:autoSpaceDN/>
              <w:adjustRightInd/>
              <w:spacing w:line="240" w:lineRule="auto"/>
              <w:textAlignment w:val="auto"/>
              <w:rPr>
                <w:rFonts w:ascii="Calibri" w:hAnsi="Calibri" w:cs="Calibri"/>
                <w:color w:val="000000"/>
                <w:sz w:val="22"/>
                <w:szCs w:val="22"/>
                <w:lang w:val="en-US"/>
              </w:rPr>
            </w:pPr>
          </w:p>
        </w:tc>
        <w:tc>
          <w:tcPr>
            <w:tcW w:w="1169" w:type="dxa"/>
            <w:tcBorders>
              <w:top w:val="nil"/>
              <w:left w:val="nil"/>
              <w:bottom w:val="nil"/>
              <w:right w:val="nil"/>
            </w:tcBorders>
            <w:shd w:val="clear" w:color="auto" w:fill="auto"/>
            <w:hideMark/>
          </w:tcPr>
          <w:p w:rsidR="00420853" w:rsidRPr="00420853" w:rsidRDefault="00420853" w:rsidP="00420853">
            <w:pPr>
              <w:overflowPunct/>
              <w:autoSpaceDE/>
              <w:autoSpaceDN/>
              <w:adjustRightInd/>
              <w:spacing w:line="240" w:lineRule="auto"/>
              <w:ind w:firstLineChars="100" w:firstLine="221"/>
              <w:jc w:val="right"/>
              <w:textAlignment w:val="auto"/>
              <w:rPr>
                <w:rFonts w:ascii="Calibri" w:hAnsi="Calibri" w:cs="Calibri"/>
                <w:b/>
                <w:bCs/>
                <w:color w:val="8064A2"/>
                <w:sz w:val="22"/>
                <w:szCs w:val="22"/>
                <w:lang w:val="en-US"/>
              </w:rPr>
            </w:pPr>
          </w:p>
        </w:tc>
        <w:tc>
          <w:tcPr>
            <w:tcW w:w="1190" w:type="dxa"/>
            <w:tcBorders>
              <w:top w:val="nil"/>
              <w:left w:val="nil"/>
              <w:bottom w:val="nil"/>
              <w:right w:val="single" w:sz="4" w:space="0" w:color="auto"/>
            </w:tcBorders>
            <w:shd w:val="clear" w:color="auto" w:fill="auto"/>
            <w:hideMark/>
          </w:tcPr>
          <w:p w:rsidR="00420853" w:rsidRPr="00420853" w:rsidRDefault="00420853" w:rsidP="00420853">
            <w:pPr>
              <w:overflowPunct/>
              <w:autoSpaceDE/>
              <w:autoSpaceDN/>
              <w:adjustRightInd/>
              <w:spacing w:line="240" w:lineRule="auto"/>
              <w:ind w:firstLineChars="100" w:firstLine="221"/>
              <w:jc w:val="right"/>
              <w:textAlignment w:val="auto"/>
              <w:rPr>
                <w:rFonts w:ascii="Calibri" w:hAnsi="Calibri" w:cs="Calibri"/>
                <w:b/>
                <w:bCs/>
                <w:color w:val="8064A2"/>
                <w:sz w:val="22"/>
                <w:szCs w:val="22"/>
                <w:lang w:val="en-US"/>
              </w:rPr>
            </w:pPr>
            <w:r w:rsidRPr="00420853">
              <w:rPr>
                <w:rFonts w:ascii="Calibri" w:hAnsi="Calibri" w:cs="Calibri"/>
                <w:b/>
                <w:bCs/>
                <w:color w:val="8064A2"/>
                <w:sz w:val="22"/>
                <w:szCs w:val="22"/>
                <w:lang w:val="en-US"/>
              </w:rPr>
              <w:t> </w:t>
            </w:r>
          </w:p>
        </w:tc>
      </w:tr>
      <w:tr w:rsidR="00420853" w:rsidRPr="00420853" w:rsidTr="00420853">
        <w:trPr>
          <w:trHeight w:val="301"/>
        </w:trPr>
        <w:tc>
          <w:tcPr>
            <w:tcW w:w="3389" w:type="dxa"/>
            <w:tcBorders>
              <w:top w:val="nil"/>
              <w:left w:val="single" w:sz="4" w:space="0" w:color="auto"/>
              <w:bottom w:val="nil"/>
              <w:right w:val="nil"/>
            </w:tcBorders>
            <w:shd w:val="clear" w:color="auto" w:fill="auto"/>
            <w:hideMark/>
          </w:tcPr>
          <w:p w:rsidR="00420853" w:rsidRPr="00420853" w:rsidRDefault="00420853" w:rsidP="00420853">
            <w:pPr>
              <w:overflowPunct/>
              <w:autoSpaceDE/>
              <w:autoSpaceDN/>
              <w:adjustRightInd/>
              <w:spacing w:line="240" w:lineRule="auto"/>
              <w:textAlignment w:val="auto"/>
              <w:rPr>
                <w:rFonts w:ascii="Calibri" w:hAnsi="Calibri" w:cs="Calibri"/>
                <w:color w:val="000000"/>
                <w:sz w:val="22"/>
                <w:szCs w:val="22"/>
                <w:lang w:val="en-US"/>
              </w:rPr>
            </w:pPr>
            <w:r w:rsidRPr="00420853">
              <w:rPr>
                <w:rFonts w:ascii="Calibri" w:hAnsi="Calibri" w:cs="Calibri"/>
                <w:color w:val="000000"/>
                <w:sz w:val="22"/>
                <w:szCs w:val="22"/>
                <w:lang w:val="en-US"/>
              </w:rPr>
              <w:t>Financial fixed assets</w:t>
            </w:r>
          </w:p>
        </w:tc>
        <w:tc>
          <w:tcPr>
            <w:tcW w:w="692" w:type="dxa"/>
            <w:tcBorders>
              <w:top w:val="nil"/>
              <w:left w:val="nil"/>
              <w:bottom w:val="nil"/>
              <w:right w:val="nil"/>
            </w:tcBorders>
            <w:shd w:val="clear" w:color="auto" w:fill="auto"/>
            <w:hideMark/>
          </w:tcPr>
          <w:p w:rsidR="00420853" w:rsidRPr="00420853" w:rsidRDefault="00420853" w:rsidP="00420853">
            <w:pPr>
              <w:overflowPunct/>
              <w:autoSpaceDE/>
              <w:autoSpaceDN/>
              <w:adjustRightInd/>
              <w:spacing w:line="240" w:lineRule="auto"/>
              <w:jc w:val="center"/>
              <w:textAlignment w:val="auto"/>
              <w:rPr>
                <w:rFonts w:ascii="Calibri" w:hAnsi="Calibri" w:cs="Calibri"/>
                <w:color w:val="000000"/>
                <w:sz w:val="22"/>
                <w:szCs w:val="22"/>
                <w:lang w:val="en-US"/>
              </w:rPr>
            </w:pPr>
            <w:r w:rsidRPr="00420853">
              <w:rPr>
                <w:rFonts w:ascii="Calibri" w:hAnsi="Calibri" w:cs="Calibri"/>
                <w:color w:val="000000"/>
                <w:sz w:val="22"/>
                <w:szCs w:val="22"/>
                <w:lang w:val="en-US"/>
              </w:rPr>
              <w:t>1</w:t>
            </w:r>
          </w:p>
        </w:tc>
        <w:tc>
          <w:tcPr>
            <w:tcW w:w="369" w:type="dxa"/>
            <w:tcBorders>
              <w:top w:val="nil"/>
              <w:left w:val="nil"/>
              <w:bottom w:val="nil"/>
              <w:right w:val="nil"/>
            </w:tcBorders>
            <w:shd w:val="clear" w:color="auto" w:fill="auto"/>
            <w:hideMark/>
          </w:tcPr>
          <w:p w:rsidR="00420853" w:rsidRPr="00420853" w:rsidRDefault="00420853" w:rsidP="00420853">
            <w:pPr>
              <w:overflowPunct/>
              <w:autoSpaceDE/>
              <w:autoSpaceDN/>
              <w:adjustRightInd/>
              <w:spacing w:line="240" w:lineRule="auto"/>
              <w:jc w:val="right"/>
              <w:textAlignment w:val="auto"/>
              <w:rPr>
                <w:rFonts w:ascii="Calibri" w:hAnsi="Calibri" w:cs="Calibri"/>
                <w:color w:val="000000"/>
                <w:sz w:val="22"/>
                <w:szCs w:val="22"/>
                <w:lang w:val="en-US"/>
              </w:rPr>
            </w:pPr>
          </w:p>
        </w:tc>
        <w:tc>
          <w:tcPr>
            <w:tcW w:w="1081" w:type="dxa"/>
            <w:tcBorders>
              <w:top w:val="nil"/>
              <w:left w:val="nil"/>
              <w:bottom w:val="single" w:sz="4" w:space="0" w:color="auto"/>
              <w:right w:val="nil"/>
            </w:tcBorders>
            <w:shd w:val="clear" w:color="auto" w:fill="auto"/>
            <w:hideMark/>
          </w:tcPr>
          <w:p w:rsidR="00420853" w:rsidRPr="00420853" w:rsidRDefault="00420853" w:rsidP="00420853">
            <w:pPr>
              <w:overflowPunct/>
              <w:autoSpaceDE/>
              <w:autoSpaceDN/>
              <w:adjustRightInd/>
              <w:spacing w:line="240" w:lineRule="auto"/>
              <w:jc w:val="right"/>
              <w:textAlignment w:val="auto"/>
              <w:rPr>
                <w:rFonts w:ascii="Calibri" w:hAnsi="Calibri" w:cs="Calibri"/>
                <w:color w:val="000000"/>
                <w:sz w:val="22"/>
                <w:szCs w:val="22"/>
                <w:lang w:val="en-US"/>
              </w:rPr>
            </w:pPr>
            <w:r w:rsidRPr="00420853">
              <w:rPr>
                <w:rFonts w:ascii="Calibri" w:hAnsi="Calibri" w:cs="Calibri"/>
                <w:color w:val="000000"/>
                <w:sz w:val="22"/>
                <w:szCs w:val="22"/>
                <w:lang w:val="en-US"/>
              </w:rPr>
              <w:t>1'491'412</w:t>
            </w:r>
          </w:p>
        </w:tc>
        <w:tc>
          <w:tcPr>
            <w:tcW w:w="1226" w:type="dxa"/>
            <w:tcBorders>
              <w:top w:val="nil"/>
              <w:left w:val="nil"/>
              <w:bottom w:val="nil"/>
              <w:right w:val="nil"/>
            </w:tcBorders>
            <w:shd w:val="clear" w:color="auto" w:fill="auto"/>
            <w:hideMark/>
          </w:tcPr>
          <w:p w:rsidR="00420853" w:rsidRPr="00420853" w:rsidRDefault="00420853" w:rsidP="00420853">
            <w:pPr>
              <w:overflowPunct/>
              <w:autoSpaceDE/>
              <w:autoSpaceDN/>
              <w:adjustRightInd/>
              <w:spacing w:line="240" w:lineRule="auto"/>
              <w:ind w:firstLineChars="100" w:firstLine="220"/>
              <w:jc w:val="right"/>
              <w:textAlignment w:val="auto"/>
              <w:rPr>
                <w:rFonts w:ascii="Calibri" w:hAnsi="Calibri" w:cs="Calibri"/>
                <w:color w:val="000000"/>
                <w:sz w:val="22"/>
                <w:szCs w:val="22"/>
                <w:lang w:val="en-US"/>
              </w:rPr>
            </w:pPr>
          </w:p>
        </w:tc>
        <w:tc>
          <w:tcPr>
            <w:tcW w:w="274" w:type="dxa"/>
            <w:tcBorders>
              <w:top w:val="nil"/>
              <w:left w:val="nil"/>
              <w:bottom w:val="nil"/>
              <w:right w:val="nil"/>
            </w:tcBorders>
            <w:shd w:val="clear" w:color="auto" w:fill="auto"/>
            <w:noWrap/>
            <w:vAlign w:val="bottom"/>
            <w:hideMark/>
          </w:tcPr>
          <w:p w:rsidR="00420853" w:rsidRPr="00420853" w:rsidRDefault="00420853" w:rsidP="00420853">
            <w:pPr>
              <w:overflowPunct/>
              <w:autoSpaceDE/>
              <w:autoSpaceDN/>
              <w:adjustRightInd/>
              <w:spacing w:line="240" w:lineRule="auto"/>
              <w:textAlignment w:val="auto"/>
              <w:rPr>
                <w:rFonts w:ascii="Calibri" w:hAnsi="Calibri" w:cs="Calibri"/>
                <w:color w:val="000000"/>
                <w:sz w:val="22"/>
                <w:szCs w:val="22"/>
                <w:lang w:val="en-US"/>
              </w:rPr>
            </w:pPr>
          </w:p>
        </w:tc>
        <w:tc>
          <w:tcPr>
            <w:tcW w:w="1169" w:type="dxa"/>
            <w:tcBorders>
              <w:top w:val="nil"/>
              <w:left w:val="nil"/>
              <w:bottom w:val="single" w:sz="4" w:space="0" w:color="auto"/>
              <w:right w:val="nil"/>
            </w:tcBorders>
            <w:shd w:val="clear" w:color="auto" w:fill="auto"/>
            <w:hideMark/>
          </w:tcPr>
          <w:p w:rsidR="00420853" w:rsidRPr="00420853" w:rsidRDefault="00420853" w:rsidP="00420853">
            <w:pPr>
              <w:overflowPunct/>
              <w:autoSpaceDE/>
              <w:autoSpaceDN/>
              <w:adjustRightInd/>
              <w:spacing w:line="240" w:lineRule="auto"/>
              <w:jc w:val="right"/>
              <w:textAlignment w:val="auto"/>
              <w:rPr>
                <w:rFonts w:ascii="Calibri" w:hAnsi="Calibri" w:cs="Calibri"/>
                <w:color w:val="000000"/>
                <w:sz w:val="22"/>
                <w:szCs w:val="22"/>
                <w:lang w:val="en-US"/>
              </w:rPr>
            </w:pPr>
            <w:r w:rsidRPr="00420853">
              <w:rPr>
                <w:rFonts w:ascii="Calibri" w:hAnsi="Calibri" w:cs="Calibri"/>
                <w:color w:val="000000"/>
                <w:sz w:val="22"/>
                <w:szCs w:val="22"/>
                <w:lang w:val="en-US"/>
              </w:rPr>
              <w:t>1'524'694</w:t>
            </w:r>
          </w:p>
        </w:tc>
        <w:tc>
          <w:tcPr>
            <w:tcW w:w="1190" w:type="dxa"/>
            <w:tcBorders>
              <w:top w:val="nil"/>
              <w:left w:val="nil"/>
              <w:bottom w:val="nil"/>
              <w:right w:val="single" w:sz="4" w:space="0" w:color="auto"/>
            </w:tcBorders>
            <w:shd w:val="clear" w:color="auto" w:fill="auto"/>
            <w:hideMark/>
          </w:tcPr>
          <w:p w:rsidR="00420853" w:rsidRPr="00420853" w:rsidRDefault="00420853" w:rsidP="00420853">
            <w:pPr>
              <w:overflowPunct/>
              <w:autoSpaceDE/>
              <w:autoSpaceDN/>
              <w:adjustRightInd/>
              <w:spacing w:line="240" w:lineRule="auto"/>
              <w:ind w:firstLineChars="100" w:firstLine="220"/>
              <w:jc w:val="right"/>
              <w:textAlignment w:val="auto"/>
              <w:rPr>
                <w:rFonts w:ascii="Calibri" w:hAnsi="Calibri" w:cs="Calibri"/>
                <w:color w:val="000000"/>
                <w:sz w:val="22"/>
                <w:szCs w:val="22"/>
                <w:lang w:val="en-US"/>
              </w:rPr>
            </w:pPr>
            <w:r w:rsidRPr="00420853">
              <w:rPr>
                <w:rFonts w:ascii="Calibri" w:hAnsi="Calibri" w:cs="Calibri"/>
                <w:color w:val="000000"/>
                <w:sz w:val="22"/>
                <w:szCs w:val="22"/>
                <w:lang w:val="en-US"/>
              </w:rPr>
              <w:t> </w:t>
            </w:r>
          </w:p>
        </w:tc>
      </w:tr>
      <w:tr w:rsidR="00420853" w:rsidRPr="00420853" w:rsidTr="00420853">
        <w:trPr>
          <w:trHeight w:val="301"/>
        </w:trPr>
        <w:tc>
          <w:tcPr>
            <w:tcW w:w="3389" w:type="dxa"/>
            <w:tcBorders>
              <w:top w:val="nil"/>
              <w:left w:val="single" w:sz="4" w:space="0" w:color="auto"/>
              <w:bottom w:val="nil"/>
              <w:right w:val="nil"/>
            </w:tcBorders>
            <w:shd w:val="clear" w:color="auto" w:fill="auto"/>
            <w:hideMark/>
          </w:tcPr>
          <w:p w:rsidR="00420853" w:rsidRPr="00420853" w:rsidRDefault="00420853" w:rsidP="00420853">
            <w:pPr>
              <w:overflowPunct/>
              <w:autoSpaceDE/>
              <w:autoSpaceDN/>
              <w:adjustRightInd/>
              <w:spacing w:line="240" w:lineRule="auto"/>
              <w:textAlignment w:val="auto"/>
              <w:rPr>
                <w:rFonts w:ascii="Calibri" w:hAnsi="Calibri" w:cs="Calibri"/>
                <w:color w:val="000000"/>
                <w:sz w:val="22"/>
                <w:szCs w:val="22"/>
                <w:lang w:val="en-US"/>
              </w:rPr>
            </w:pPr>
            <w:r w:rsidRPr="00420853">
              <w:rPr>
                <w:rFonts w:ascii="Calibri" w:hAnsi="Calibri" w:cs="Calibri"/>
                <w:color w:val="000000"/>
                <w:sz w:val="22"/>
                <w:szCs w:val="22"/>
                <w:lang w:val="en-US"/>
              </w:rPr>
              <w:t> </w:t>
            </w:r>
          </w:p>
        </w:tc>
        <w:tc>
          <w:tcPr>
            <w:tcW w:w="692" w:type="dxa"/>
            <w:tcBorders>
              <w:top w:val="nil"/>
              <w:left w:val="nil"/>
              <w:bottom w:val="nil"/>
              <w:right w:val="nil"/>
            </w:tcBorders>
            <w:shd w:val="clear" w:color="auto" w:fill="auto"/>
            <w:hideMark/>
          </w:tcPr>
          <w:p w:rsidR="00420853" w:rsidRPr="00420853" w:rsidRDefault="00420853" w:rsidP="00420853">
            <w:pPr>
              <w:overflowPunct/>
              <w:autoSpaceDE/>
              <w:autoSpaceDN/>
              <w:adjustRightInd/>
              <w:spacing w:line="240" w:lineRule="auto"/>
              <w:jc w:val="center"/>
              <w:textAlignment w:val="auto"/>
              <w:rPr>
                <w:rFonts w:ascii="Calibri" w:hAnsi="Calibri" w:cs="Calibri"/>
                <w:color w:val="000000"/>
                <w:sz w:val="22"/>
                <w:szCs w:val="22"/>
                <w:lang w:val="en-US"/>
              </w:rPr>
            </w:pPr>
          </w:p>
        </w:tc>
        <w:tc>
          <w:tcPr>
            <w:tcW w:w="369" w:type="dxa"/>
            <w:tcBorders>
              <w:top w:val="nil"/>
              <w:left w:val="nil"/>
              <w:bottom w:val="nil"/>
              <w:right w:val="nil"/>
            </w:tcBorders>
            <w:shd w:val="clear" w:color="auto" w:fill="auto"/>
            <w:hideMark/>
          </w:tcPr>
          <w:p w:rsidR="00420853" w:rsidRPr="00420853" w:rsidRDefault="00420853" w:rsidP="00420853">
            <w:pPr>
              <w:overflowPunct/>
              <w:autoSpaceDE/>
              <w:autoSpaceDN/>
              <w:adjustRightInd/>
              <w:spacing w:line="240" w:lineRule="auto"/>
              <w:jc w:val="right"/>
              <w:textAlignment w:val="auto"/>
              <w:rPr>
                <w:rFonts w:ascii="Calibri" w:hAnsi="Calibri" w:cs="Calibri"/>
                <w:color w:val="000000"/>
                <w:sz w:val="22"/>
                <w:szCs w:val="22"/>
                <w:lang w:val="en-US"/>
              </w:rPr>
            </w:pPr>
          </w:p>
        </w:tc>
        <w:tc>
          <w:tcPr>
            <w:tcW w:w="1081" w:type="dxa"/>
            <w:tcBorders>
              <w:top w:val="nil"/>
              <w:left w:val="nil"/>
              <w:bottom w:val="nil"/>
              <w:right w:val="nil"/>
            </w:tcBorders>
            <w:shd w:val="clear" w:color="auto" w:fill="auto"/>
            <w:hideMark/>
          </w:tcPr>
          <w:p w:rsidR="00420853" w:rsidRPr="00420853" w:rsidRDefault="00420853" w:rsidP="00420853">
            <w:pPr>
              <w:overflowPunct/>
              <w:autoSpaceDE/>
              <w:autoSpaceDN/>
              <w:adjustRightInd/>
              <w:spacing w:line="240" w:lineRule="auto"/>
              <w:jc w:val="right"/>
              <w:textAlignment w:val="auto"/>
              <w:rPr>
                <w:rFonts w:ascii="Calibri" w:hAnsi="Calibri" w:cs="Calibri"/>
                <w:color w:val="000000"/>
                <w:sz w:val="22"/>
                <w:szCs w:val="22"/>
                <w:lang w:val="en-US"/>
              </w:rPr>
            </w:pPr>
          </w:p>
        </w:tc>
        <w:tc>
          <w:tcPr>
            <w:tcW w:w="1226" w:type="dxa"/>
            <w:tcBorders>
              <w:top w:val="nil"/>
              <w:left w:val="nil"/>
              <w:bottom w:val="nil"/>
              <w:right w:val="nil"/>
            </w:tcBorders>
            <w:shd w:val="clear" w:color="auto" w:fill="auto"/>
            <w:noWrap/>
            <w:vAlign w:val="bottom"/>
            <w:hideMark/>
          </w:tcPr>
          <w:p w:rsidR="00420853" w:rsidRPr="00420853" w:rsidRDefault="00420853" w:rsidP="00420853">
            <w:pPr>
              <w:overflowPunct/>
              <w:autoSpaceDE/>
              <w:autoSpaceDN/>
              <w:adjustRightInd/>
              <w:spacing w:line="240" w:lineRule="auto"/>
              <w:jc w:val="right"/>
              <w:textAlignment w:val="auto"/>
              <w:rPr>
                <w:rFonts w:ascii="Calibri" w:hAnsi="Calibri" w:cs="Calibri"/>
                <w:color w:val="000000"/>
                <w:sz w:val="22"/>
                <w:szCs w:val="22"/>
                <w:lang w:val="en-US"/>
              </w:rPr>
            </w:pPr>
            <w:r w:rsidRPr="00420853">
              <w:rPr>
                <w:rFonts w:ascii="Calibri" w:hAnsi="Calibri" w:cs="Calibri"/>
                <w:color w:val="000000"/>
                <w:sz w:val="22"/>
                <w:szCs w:val="22"/>
                <w:lang w:val="en-US"/>
              </w:rPr>
              <w:t xml:space="preserve"> 1'491'412 </w:t>
            </w:r>
          </w:p>
        </w:tc>
        <w:tc>
          <w:tcPr>
            <w:tcW w:w="274" w:type="dxa"/>
            <w:tcBorders>
              <w:top w:val="nil"/>
              <w:left w:val="nil"/>
              <w:bottom w:val="nil"/>
              <w:right w:val="nil"/>
            </w:tcBorders>
            <w:shd w:val="clear" w:color="auto" w:fill="auto"/>
            <w:noWrap/>
            <w:vAlign w:val="bottom"/>
            <w:hideMark/>
          </w:tcPr>
          <w:p w:rsidR="00420853" w:rsidRPr="00420853" w:rsidRDefault="00420853" w:rsidP="00420853">
            <w:pPr>
              <w:overflowPunct/>
              <w:autoSpaceDE/>
              <w:autoSpaceDN/>
              <w:adjustRightInd/>
              <w:spacing w:line="240" w:lineRule="auto"/>
              <w:textAlignment w:val="auto"/>
              <w:rPr>
                <w:rFonts w:ascii="Calibri" w:hAnsi="Calibri" w:cs="Calibri"/>
                <w:color w:val="000000"/>
                <w:sz w:val="22"/>
                <w:szCs w:val="22"/>
                <w:lang w:val="en-US"/>
              </w:rPr>
            </w:pPr>
          </w:p>
        </w:tc>
        <w:tc>
          <w:tcPr>
            <w:tcW w:w="1169" w:type="dxa"/>
            <w:tcBorders>
              <w:top w:val="nil"/>
              <w:left w:val="nil"/>
              <w:bottom w:val="nil"/>
              <w:right w:val="nil"/>
            </w:tcBorders>
            <w:shd w:val="clear" w:color="auto" w:fill="auto"/>
            <w:hideMark/>
          </w:tcPr>
          <w:p w:rsidR="00420853" w:rsidRPr="00420853" w:rsidRDefault="00420853" w:rsidP="00420853">
            <w:pPr>
              <w:overflowPunct/>
              <w:autoSpaceDE/>
              <w:autoSpaceDN/>
              <w:adjustRightInd/>
              <w:spacing w:line="240" w:lineRule="auto"/>
              <w:jc w:val="right"/>
              <w:textAlignment w:val="auto"/>
              <w:rPr>
                <w:rFonts w:ascii="Calibri" w:hAnsi="Calibri" w:cs="Calibri"/>
                <w:color w:val="000000"/>
                <w:sz w:val="22"/>
                <w:szCs w:val="22"/>
                <w:lang w:val="en-US"/>
              </w:rPr>
            </w:pPr>
          </w:p>
        </w:tc>
        <w:tc>
          <w:tcPr>
            <w:tcW w:w="1190" w:type="dxa"/>
            <w:tcBorders>
              <w:top w:val="nil"/>
              <w:left w:val="nil"/>
              <w:bottom w:val="nil"/>
              <w:right w:val="single" w:sz="4" w:space="0" w:color="auto"/>
            </w:tcBorders>
            <w:shd w:val="clear" w:color="auto" w:fill="auto"/>
            <w:noWrap/>
            <w:vAlign w:val="bottom"/>
            <w:hideMark/>
          </w:tcPr>
          <w:p w:rsidR="00420853" w:rsidRPr="00420853" w:rsidRDefault="00420853" w:rsidP="00420853">
            <w:pPr>
              <w:overflowPunct/>
              <w:autoSpaceDE/>
              <w:autoSpaceDN/>
              <w:adjustRightInd/>
              <w:spacing w:line="240" w:lineRule="auto"/>
              <w:jc w:val="right"/>
              <w:textAlignment w:val="auto"/>
              <w:rPr>
                <w:rFonts w:ascii="Calibri" w:hAnsi="Calibri" w:cs="Calibri"/>
                <w:color w:val="000000"/>
                <w:sz w:val="22"/>
                <w:szCs w:val="22"/>
                <w:lang w:val="en-US"/>
              </w:rPr>
            </w:pPr>
            <w:r w:rsidRPr="00420853">
              <w:rPr>
                <w:rFonts w:ascii="Calibri" w:hAnsi="Calibri" w:cs="Calibri"/>
                <w:color w:val="000000"/>
                <w:sz w:val="22"/>
                <w:szCs w:val="22"/>
                <w:lang w:val="en-US"/>
              </w:rPr>
              <w:t xml:space="preserve"> 1'524'694 </w:t>
            </w:r>
          </w:p>
        </w:tc>
      </w:tr>
      <w:tr w:rsidR="00420853" w:rsidRPr="00420853" w:rsidTr="00420853">
        <w:trPr>
          <w:trHeight w:val="301"/>
        </w:trPr>
        <w:tc>
          <w:tcPr>
            <w:tcW w:w="3389" w:type="dxa"/>
            <w:tcBorders>
              <w:top w:val="nil"/>
              <w:left w:val="single" w:sz="4" w:space="0" w:color="auto"/>
              <w:bottom w:val="nil"/>
              <w:right w:val="nil"/>
            </w:tcBorders>
            <w:shd w:val="clear" w:color="auto" w:fill="auto"/>
            <w:hideMark/>
          </w:tcPr>
          <w:p w:rsidR="00420853" w:rsidRPr="00420853" w:rsidRDefault="00420853" w:rsidP="00420853">
            <w:pPr>
              <w:overflowPunct/>
              <w:autoSpaceDE/>
              <w:autoSpaceDN/>
              <w:adjustRightInd/>
              <w:spacing w:line="240" w:lineRule="auto"/>
              <w:textAlignment w:val="auto"/>
              <w:rPr>
                <w:rFonts w:ascii="Calibri" w:hAnsi="Calibri" w:cs="Calibri"/>
                <w:color w:val="000000"/>
                <w:sz w:val="22"/>
                <w:szCs w:val="22"/>
                <w:lang w:val="en-US"/>
              </w:rPr>
            </w:pPr>
            <w:r w:rsidRPr="00420853">
              <w:rPr>
                <w:rFonts w:ascii="Calibri" w:hAnsi="Calibri" w:cs="Calibri"/>
                <w:color w:val="000000"/>
                <w:sz w:val="22"/>
                <w:szCs w:val="22"/>
                <w:lang w:val="en-US"/>
              </w:rPr>
              <w:t> </w:t>
            </w:r>
          </w:p>
        </w:tc>
        <w:tc>
          <w:tcPr>
            <w:tcW w:w="692" w:type="dxa"/>
            <w:tcBorders>
              <w:top w:val="nil"/>
              <w:left w:val="nil"/>
              <w:bottom w:val="nil"/>
              <w:right w:val="nil"/>
            </w:tcBorders>
            <w:shd w:val="clear" w:color="auto" w:fill="auto"/>
            <w:hideMark/>
          </w:tcPr>
          <w:p w:rsidR="00420853" w:rsidRPr="00420853" w:rsidRDefault="00420853" w:rsidP="00420853">
            <w:pPr>
              <w:overflowPunct/>
              <w:autoSpaceDE/>
              <w:autoSpaceDN/>
              <w:adjustRightInd/>
              <w:spacing w:line="240" w:lineRule="auto"/>
              <w:jc w:val="center"/>
              <w:textAlignment w:val="auto"/>
              <w:rPr>
                <w:rFonts w:ascii="Calibri" w:hAnsi="Calibri" w:cs="Calibri"/>
                <w:color w:val="000000"/>
                <w:sz w:val="22"/>
                <w:szCs w:val="22"/>
                <w:lang w:val="en-US"/>
              </w:rPr>
            </w:pPr>
          </w:p>
        </w:tc>
        <w:tc>
          <w:tcPr>
            <w:tcW w:w="369" w:type="dxa"/>
            <w:tcBorders>
              <w:top w:val="nil"/>
              <w:left w:val="nil"/>
              <w:bottom w:val="nil"/>
              <w:right w:val="nil"/>
            </w:tcBorders>
            <w:shd w:val="clear" w:color="auto" w:fill="auto"/>
            <w:hideMark/>
          </w:tcPr>
          <w:p w:rsidR="00420853" w:rsidRPr="00420853" w:rsidRDefault="00420853" w:rsidP="00420853">
            <w:pPr>
              <w:overflowPunct/>
              <w:autoSpaceDE/>
              <w:autoSpaceDN/>
              <w:adjustRightInd/>
              <w:spacing w:line="240" w:lineRule="auto"/>
              <w:jc w:val="right"/>
              <w:textAlignment w:val="auto"/>
              <w:rPr>
                <w:rFonts w:ascii="Calibri" w:hAnsi="Calibri" w:cs="Calibri"/>
                <w:color w:val="000000"/>
                <w:sz w:val="22"/>
                <w:szCs w:val="22"/>
                <w:lang w:val="en-US"/>
              </w:rPr>
            </w:pPr>
          </w:p>
        </w:tc>
        <w:tc>
          <w:tcPr>
            <w:tcW w:w="1081" w:type="dxa"/>
            <w:tcBorders>
              <w:top w:val="nil"/>
              <w:left w:val="nil"/>
              <w:bottom w:val="nil"/>
              <w:right w:val="nil"/>
            </w:tcBorders>
            <w:shd w:val="clear" w:color="auto" w:fill="auto"/>
            <w:hideMark/>
          </w:tcPr>
          <w:p w:rsidR="00420853" w:rsidRPr="00420853" w:rsidRDefault="00420853" w:rsidP="00420853">
            <w:pPr>
              <w:overflowPunct/>
              <w:autoSpaceDE/>
              <w:autoSpaceDN/>
              <w:adjustRightInd/>
              <w:spacing w:line="240" w:lineRule="auto"/>
              <w:jc w:val="right"/>
              <w:textAlignment w:val="auto"/>
              <w:rPr>
                <w:rFonts w:ascii="Calibri" w:hAnsi="Calibri" w:cs="Calibri"/>
                <w:color w:val="000000"/>
                <w:sz w:val="22"/>
                <w:szCs w:val="22"/>
                <w:lang w:val="en-US"/>
              </w:rPr>
            </w:pPr>
          </w:p>
        </w:tc>
        <w:tc>
          <w:tcPr>
            <w:tcW w:w="1226" w:type="dxa"/>
            <w:tcBorders>
              <w:top w:val="nil"/>
              <w:left w:val="nil"/>
              <w:bottom w:val="nil"/>
              <w:right w:val="nil"/>
            </w:tcBorders>
            <w:shd w:val="clear" w:color="auto" w:fill="auto"/>
            <w:hideMark/>
          </w:tcPr>
          <w:p w:rsidR="00420853" w:rsidRPr="00420853" w:rsidRDefault="00420853" w:rsidP="00420853">
            <w:pPr>
              <w:overflowPunct/>
              <w:autoSpaceDE/>
              <w:autoSpaceDN/>
              <w:adjustRightInd/>
              <w:spacing w:line="240" w:lineRule="auto"/>
              <w:jc w:val="right"/>
              <w:textAlignment w:val="auto"/>
              <w:rPr>
                <w:rFonts w:ascii="Calibri" w:hAnsi="Calibri" w:cs="Calibri"/>
                <w:color w:val="000000"/>
                <w:sz w:val="22"/>
                <w:szCs w:val="22"/>
                <w:lang w:val="en-US"/>
              </w:rPr>
            </w:pPr>
          </w:p>
        </w:tc>
        <w:tc>
          <w:tcPr>
            <w:tcW w:w="274" w:type="dxa"/>
            <w:tcBorders>
              <w:top w:val="nil"/>
              <w:left w:val="nil"/>
              <w:bottom w:val="nil"/>
              <w:right w:val="nil"/>
            </w:tcBorders>
            <w:shd w:val="clear" w:color="auto" w:fill="auto"/>
            <w:noWrap/>
            <w:vAlign w:val="bottom"/>
            <w:hideMark/>
          </w:tcPr>
          <w:p w:rsidR="00420853" w:rsidRPr="00420853" w:rsidRDefault="00420853" w:rsidP="00420853">
            <w:pPr>
              <w:overflowPunct/>
              <w:autoSpaceDE/>
              <w:autoSpaceDN/>
              <w:adjustRightInd/>
              <w:spacing w:line="240" w:lineRule="auto"/>
              <w:textAlignment w:val="auto"/>
              <w:rPr>
                <w:rFonts w:ascii="Calibri" w:hAnsi="Calibri" w:cs="Calibri"/>
                <w:color w:val="000000"/>
                <w:sz w:val="22"/>
                <w:szCs w:val="22"/>
                <w:lang w:val="en-US"/>
              </w:rPr>
            </w:pPr>
          </w:p>
        </w:tc>
        <w:tc>
          <w:tcPr>
            <w:tcW w:w="1169" w:type="dxa"/>
            <w:tcBorders>
              <w:top w:val="nil"/>
              <w:left w:val="nil"/>
              <w:bottom w:val="nil"/>
              <w:right w:val="nil"/>
            </w:tcBorders>
            <w:shd w:val="clear" w:color="auto" w:fill="auto"/>
            <w:hideMark/>
          </w:tcPr>
          <w:p w:rsidR="00420853" w:rsidRPr="00420853" w:rsidRDefault="00420853" w:rsidP="00420853">
            <w:pPr>
              <w:overflowPunct/>
              <w:autoSpaceDE/>
              <w:autoSpaceDN/>
              <w:adjustRightInd/>
              <w:spacing w:line="240" w:lineRule="auto"/>
              <w:jc w:val="right"/>
              <w:textAlignment w:val="auto"/>
              <w:rPr>
                <w:rFonts w:ascii="Calibri" w:hAnsi="Calibri" w:cs="Calibri"/>
                <w:color w:val="000000"/>
                <w:sz w:val="22"/>
                <w:szCs w:val="22"/>
                <w:lang w:val="en-US"/>
              </w:rPr>
            </w:pPr>
          </w:p>
        </w:tc>
        <w:tc>
          <w:tcPr>
            <w:tcW w:w="1190" w:type="dxa"/>
            <w:tcBorders>
              <w:top w:val="nil"/>
              <w:left w:val="nil"/>
              <w:bottom w:val="nil"/>
              <w:right w:val="single" w:sz="4" w:space="0" w:color="auto"/>
            </w:tcBorders>
            <w:shd w:val="clear" w:color="auto" w:fill="auto"/>
            <w:hideMark/>
          </w:tcPr>
          <w:p w:rsidR="00420853" w:rsidRPr="00420853" w:rsidRDefault="00420853" w:rsidP="00420853">
            <w:pPr>
              <w:overflowPunct/>
              <w:autoSpaceDE/>
              <w:autoSpaceDN/>
              <w:adjustRightInd/>
              <w:spacing w:line="240" w:lineRule="auto"/>
              <w:jc w:val="right"/>
              <w:textAlignment w:val="auto"/>
              <w:rPr>
                <w:rFonts w:ascii="Calibri" w:hAnsi="Calibri" w:cs="Calibri"/>
                <w:color w:val="000000"/>
                <w:sz w:val="22"/>
                <w:szCs w:val="22"/>
                <w:lang w:val="en-US"/>
              </w:rPr>
            </w:pPr>
            <w:r w:rsidRPr="00420853">
              <w:rPr>
                <w:rFonts w:ascii="Calibri" w:hAnsi="Calibri" w:cs="Calibri"/>
                <w:color w:val="000000"/>
                <w:sz w:val="22"/>
                <w:szCs w:val="22"/>
                <w:lang w:val="en-US"/>
              </w:rPr>
              <w:t> </w:t>
            </w:r>
          </w:p>
        </w:tc>
      </w:tr>
      <w:tr w:rsidR="00420853" w:rsidRPr="00420853" w:rsidTr="00420853">
        <w:trPr>
          <w:trHeight w:val="301"/>
        </w:trPr>
        <w:tc>
          <w:tcPr>
            <w:tcW w:w="3389" w:type="dxa"/>
            <w:tcBorders>
              <w:top w:val="nil"/>
              <w:left w:val="single" w:sz="4" w:space="0" w:color="auto"/>
              <w:bottom w:val="nil"/>
              <w:right w:val="nil"/>
            </w:tcBorders>
            <w:shd w:val="clear" w:color="auto" w:fill="auto"/>
            <w:hideMark/>
          </w:tcPr>
          <w:p w:rsidR="00420853" w:rsidRPr="00420853" w:rsidRDefault="00420853" w:rsidP="00420853">
            <w:pPr>
              <w:overflowPunct/>
              <w:autoSpaceDE/>
              <w:autoSpaceDN/>
              <w:adjustRightInd/>
              <w:spacing w:line="240" w:lineRule="auto"/>
              <w:textAlignment w:val="auto"/>
              <w:rPr>
                <w:rFonts w:ascii="Calibri" w:hAnsi="Calibri" w:cs="Calibri"/>
                <w:b/>
                <w:bCs/>
                <w:color w:val="000000"/>
                <w:sz w:val="22"/>
                <w:szCs w:val="22"/>
                <w:lang w:val="en-US"/>
              </w:rPr>
            </w:pPr>
            <w:r w:rsidRPr="00420853">
              <w:rPr>
                <w:rFonts w:ascii="Calibri" w:hAnsi="Calibri" w:cs="Calibri"/>
                <w:b/>
                <w:bCs/>
                <w:color w:val="000000"/>
                <w:sz w:val="22"/>
                <w:szCs w:val="22"/>
                <w:lang w:val="en-US"/>
              </w:rPr>
              <w:t>Current assets</w:t>
            </w:r>
          </w:p>
        </w:tc>
        <w:tc>
          <w:tcPr>
            <w:tcW w:w="692" w:type="dxa"/>
            <w:tcBorders>
              <w:top w:val="nil"/>
              <w:left w:val="nil"/>
              <w:bottom w:val="nil"/>
              <w:right w:val="nil"/>
            </w:tcBorders>
            <w:shd w:val="clear" w:color="auto" w:fill="auto"/>
            <w:hideMark/>
          </w:tcPr>
          <w:p w:rsidR="00420853" w:rsidRPr="00420853" w:rsidRDefault="00420853" w:rsidP="00420853">
            <w:pPr>
              <w:overflowPunct/>
              <w:autoSpaceDE/>
              <w:autoSpaceDN/>
              <w:adjustRightInd/>
              <w:spacing w:line="240" w:lineRule="auto"/>
              <w:jc w:val="center"/>
              <w:textAlignment w:val="auto"/>
              <w:rPr>
                <w:rFonts w:ascii="Calibri" w:hAnsi="Calibri" w:cs="Calibri"/>
                <w:color w:val="000000"/>
                <w:sz w:val="22"/>
                <w:szCs w:val="22"/>
                <w:lang w:val="en-US"/>
              </w:rPr>
            </w:pPr>
          </w:p>
        </w:tc>
        <w:tc>
          <w:tcPr>
            <w:tcW w:w="369" w:type="dxa"/>
            <w:tcBorders>
              <w:top w:val="nil"/>
              <w:left w:val="nil"/>
              <w:bottom w:val="nil"/>
              <w:right w:val="nil"/>
            </w:tcBorders>
            <w:shd w:val="clear" w:color="auto" w:fill="auto"/>
            <w:hideMark/>
          </w:tcPr>
          <w:p w:rsidR="00420853" w:rsidRPr="00420853" w:rsidRDefault="00420853" w:rsidP="00420853">
            <w:pPr>
              <w:overflowPunct/>
              <w:autoSpaceDE/>
              <w:autoSpaceDN/>
              <w:adjustRightInd/>
              <w:spacing w:line="240" w:lineRule="auto"/>
              <w:jc w:val="right"/>
              <w:textAlignment w:val="auto"/>
              <w:rPr>
                <w:rFonts w:ascii="Calibri" w:hAnsi="Calibri" w:cs="Calibri"/>
                <w:color w:val="000000"/>
                <w:sz w:val="22"/>
                <w:szCs w:val="22"/>
                <w:lang w:val="en-US"/>
              </w:rPr>
            </w:pPr>
          </w:p>
        </w:tc>
        <w:tc>
          <w:tcPr>
            <w:tcW w:w="1081" w:type="dxa"/>
            <w:tcBorders>
              <w:top w:val="nil"/>
              <w:left w:val="nil"/>
              <w:bottom w:val="nil"/>
              <w:right w:val="nil"/>
            </w:tcBorders>
            <w:shd w:val="clear" w:color="auto" w:fill="auto"/>
            <w:hideMark/>
          </w:tcPr>
          <w:p w:rsidR="00420853" w:rsidRPr="00420853" w:rsidRDefault="00420853" w:rsidP="00420853">
            <w:pPr>
              <w:overflowPunct/>
              <w:autoSpaceDE/>
              <w:autoSpaceDN/>
              <w:adjustRightInd/>
              <w:spacing w:line="240" w:lineRule="auto"/>
              <w:jc w:val="right"/>
              <w:textAlignment w:val="auto"/>
              <w:rPr>
                <w:rFonts w:ascii="Calibri" w:hAnsi="Calibri" w:cs="Calibri"/>
                <w:color w:val="000000"/>
                <w:sz w:val="22"/>
                <w:szCs w:val="22"/>
                <w:lang w:val="en-US"/>
              </w:rPr>
            </w:pPr>
          </w:p>
        </w:tc>
        <w:tc>
          <w:tcPr>
            <w:tcW w:w="1226" w:type="dxa"/>
            <w:tcBorders>
              <w:top w:val="nil"/>
              <w:left w:val="nil"/>
              <w:bottom w:val="nil"/>
              <w:right w:val="nil"/>
            </w:tcBorders>
            <w:shd w:val="clear" w:color="auto" w:fill="auto"/>
            <w:hideMark/>
          </w:tcPr>
          <w:p w:rsidR="00420853" w:rsidRPr="00420853" w:rsidRDefault="00420853" w:rsidP="00420853">
            <w:pPr>
              <w:overflowPunct/>
              <w:autoSpaceDE/>
              <w:autoSpaceDN/>
              <w:adjustRightInd/>
              <w:spacing w:line="240" w:lineRule="auto"/>
              <w:jc w:val="right"/>
              <w:textAlignment w:val="auto"/>
              <w:rPr>
                <w:rFonts w:ascii="Calibri" w:hAnsi="Calibri" w:cs="Calibri"/>
                <w:color w:val="000000"/>
                <w:sz w:val="22"/>
                <w:szCs w:val="22"/>
                <w:lang w:val="en-US"/>
              </w:rPr>
            </w:pPr>
          </w:p>
        </w:tc>
        <w:tc>
          <w:tcPr>
            <w:tcW w:w="274" w:type="dxa"/>
            <w:tcBorders>
              <w:top w:val="nil"/>
              <w:left w:val="nil"/>
              <w:bottom w:val="nil"/>
              <w:right w:val="nil"/>
            </w:tcBorders>
            <w:shd w:val="clear" w:color="auto" w:fill="auto"/>
            <w:noWrap/>
            <w:vAlign w:val="bottom"/>
            <w:hideMark/>
          </w:tcPr>
          <w:p w:rsidR="00420853" w:rsidRPr="00420853" w:rsidRDefault="00420853" w:rsidP="00420853">
            <w:pPr>
              <w:overflowPunct/>
              <w:autoSpaceDE/>
              <w:autoSpaceDN/>
              <w:adjustRightInd/>
              <w:spacing w:line="240" w:lineRule="auto"/>
              <w:textAlignment w:val="auto"/>
              <w:rPr>
                <w:rFonts w:ascii="Calibri" w:hAnsi="Calibri" w:cs="Calibri"/>
                <w:color w:val="000000"/>
                <w:sz w:val="22"/>
                <w:szCs w:val="22"/>
                <w:lang w:val="en-US"/>
              </w:rPr>
            </w:pPr>
          </w:p>
        </w:tc>
        <w:tc>
          <w:tcPr>
            <w:tcW w:w="1169" w:type="dxa"/>
            <w:tcBorders>
              <w:top w:val="nil"/>
              <w:left w:val="nil"/>
              <w:bottom w:val="nil"/>
              <w:right w:val="nil"/>
            </w:tcBorders>
            <w:shd w:val="clear" w:color="auto" w:fill="auto"/>
            <w:hideMark/>
          </w:tcPr>
          <w:p w:rsidR="00420853" w:rsidRPr="00420853" w:rsidRDefault="00420853" w:rsidP="00420853">
            <w:pPr>
              <w:overflowPunct/>
              <w:autoSpaceDE/>
              <w:autoSpaceDN/>
              <w:adjustRightInd/>
              <w:spacing w:line="240" w:lineRule="auto"/>
              <w:jc w:val="right"/>
              <w:textAlignment w:val="auto"/>
              <w:rPr>
                <w:rFonts w:ascii="Calibri" w:hAnsi="Calibri" w:cs="Calibri"/>
                <w:color w:val="000000"/>
                <w:sz w:val="22"/>
                <w:szCs w:val="22"/>
                <w:lang w:val="en-US"/>
              </w:rPr>
            </w:pPr>
          </w:p>
        </w:tc>
        <w:tc>
          <w:tcPr>
            <w:tcW w:w="1190" w:type="dxa"/>
            <w:tcBorders>
              <w:top w:val="nil"/>
              <w:left w:val="nil"/>
              <w:bottom w:val="nil"/>
              <w:right w:val="single" w:sz="4" w:space="0" w:color="auto"/>
            </w:tcBorders>
            <w:shd w:val="clear" w:color="auto" w:fill="auto"/>
            <w:hideMark/>
          </w:tcPr>
          <w:p w:rsidR="00420853" w:rsidRPr="00420853" w:rsidRDefault="00420853" w:rsidP="00420853">
            <w:pPr>
              <w:overflowPunct/>
              <w:autoSpaceDE/>
              <w:autoSpaceDN/>
              <w:adjustRightInd/>
              <w:spacing w:line="240" w:lineRule="auto"/>
              <w:jc w:val="right"/>
              <w:textAlignment w:val="auto"/>
              <w:rPr>
                <w:rFonts w:ascii="Calibri" w:hAnsi="Calibri" w:cs="Calibri"/>
                <w:color w:val="000000"/>
                <w:sz w:val="22"/>
                <w:szCs w:val="22"/>
                <w:lang w:val="en-US"/>
              </w:rPr>
            </w:pPr>
            <w:r w:rsidRPr="00420853">
              <w:rPr>
                <w:rFonts w:ascii="Calibri" w:hAnsi="Calibri" w:cs="Calibri"/>
                <w:color w:val="000000"/>
                <w:sz w:val="22"/>
                <w:szCs w:val="22"/>
                <w:lang w:val="en-US"/>
              </w:rPr>
              <w:t> </w:t>
            </w:r>
          </w:p>
        </w:tc>
      </w:tr>
      <w:tr w:rsidR="00420853" w:rsidRPr="00420853" w:rsidTr="00420853">
        <w:trPr>
          <w:trHeight w:val="301"/>
        </w:trPr>
        <w:tc>
          <w:tcPr>
            <w:tcW w:w="3389" w:type="dxa"/>
            <w:tcBorders>
              <w:top w:val="nil"/>
              <w:left w:val="single" w:sz="4" w:space="0" w:color="auto"/>
              <w:bottom w:val="nil"/>
              <w:right w:val="nil"/>
            </w:tcBorders>
            <w:shd w:val="clear" w:color="auto" w:fill="auto"/>
            <w:hideMark/>
          </w:tcPr>
          <w:p w:rsidR="00420853" w:rsidRPr="00420853" w:rsidRDefault="00420853" w:rsidP="00420853">
            <w:pPr>
              <w:overflowPunct/>
              <w:autoSpaceDE/>
              <w:autoSpaceDN/>
              <w:adjustRightInd/>
              <w:spacing w:line="240" w:lineRule="auto"/>
              <w:textAlignment w:val="auto"/>
              <w:rPr>
                <w:rFonts w:ascii="Calibri" w:hAnsi="Calibri" w:cs="Calibri"/>
                <w:color w:val="000000"/>
                <w:sz w:val="22"/>
                <w:szCs w:val="22"/>
                <w:lang w:val="en-US"/>
              </w:rPr>
            </w:pPr>
            <w:r w:rsidRPr="00420853">
              <w:rPr>
                <w:rFonts w:ascii="Calibri" w:hAnsi="Calibri" w:cs="Calibri"/>
                <w:color w:val="000000"/>
                <w:sz w:val="22"/>
                <w:szCs w:val="22"/>
                <w:lang w:val="en-US"/>
              </w:rPr>
              <w:t>Receivables</w:t>
            </w:r>
          </w:p>
        </w:tc>
        <w:tc>
          <w:tcPr>
            <w:tcW w:w="692" w:type="dxa"/>
            <w:tcBorders>
              <w:top w:val="nil"/>
              <w:left w:val="nil"/>
              <w:bottom w:val="nil"/>
              <w:right w:val="nil"/>
            </w:tcBorders>
            <w:shd w:val="clear" w:color="auto" w:fill="auto"/>
            <w:hideMark/>
          </w:tcPr>
          <w:p w:rsidR="00420853" w:rsidRPr="00420853" w:rsidRDefault="00420853" w:rsidP="00420853">
            <w:pPr>
              <w:overflowPunct/>
              <w:autoSpaceDE/>
              <w:autoSpaceDN/>
              <w:adjustRightInd/>
              <w:spacing w:line="240" w:lineRule="auto"/>
              <w:jc w:val="center"/>
              <w:textAlignment w:val="auto"/>
              <w:rPr>
                <w:rFonts w:ascii="Calibri" w:hAnsi="Calibri" w:cs="Calibri"/>
                <w:color w:val="000000"/>
                <w:sz w:val="22"/>
                <w:szCs w:val="22"/>
                <w:lang w:val="en-US"/>
              </w:rPr>
            </w:pPr>
            <w:r w:rsidRPr="00420853">
              <w:rPr>
                <w:rFonts w:ascii="Calibri" w:hAnsi="Calibri" w:cs="Calibri"/>
                <w:color w:val="000000"/>
                <w:sz w:val="22"/>
                <w:szCs w:val="22"/>
                <w:lang w:val="en-US"/>
              </w:rPr>
              <w:t>2</w:t>
            </w:r>
          </w:p>
        </w:tc>
        <w:tc>
          <w:tcPr>
            <w:tcW w:w="369" w:type="dxa"/>
            <w:tcBorders>
              <w:top w:val="nil"/>
              <w:left w:val="nil"/>
              <w:bottom w:val="nil"/>
              <w:right w:val="nil"/>
            </w:tcBorders>
            <w:shd w:val="clear" w:color="auto" w:fill="auto"/>
            <w:hideMark/>
          </w:tcPr>
          <w:p w:rsidR="00420853" w:rsidRPr="00420853" w:rsidRDefault="00420853" w:rsidP="00420853">
            <w:pPr>
              <w:overflowPunct/>
              <w:autoSpaceDE/>
              <w:autoSpaceDN/>
              <w:adjustRightInd/>
              <w:spacing w:line="240" w:lineRule="auto"/>
              <w:ind w:firstLineChars="100" w:firstLine="220"/>
              <w:jc w:val="right"/>
              <w:textAlignment w:val="auto"/>
              <w:rPr>
                <w:rFonts w:ascii="Calibri" w:hAnsi="Calibri" w:cs="Calibri"/>
                <w:color w:val="000000"/>
                <w:sz w:val="22"/>
                <w:szCs w:val="22"/>
                <w:lang w:val="en-US"/>
              </w:rPr>
            </w:pPr>
          </w:p>
        </w:tc>
        <w:tc>
          <w:tcPr>
            <w:tcW w:w="1081" w:type="dxa"/>
            <w:tcBorders>
              <w:top w:val="nil"/>
              <w:left w:val="nil"/>
              <w:bottom w:val="nil"/>
              <w:right w:val="nil"/>
            </w:tcBorders>
            <w:shd w:val="clear" w:color="auto" w:fill="auto"/>
            <w:hideMark/>
          </w:tcPr>
          <w:p w:rsidR="00420853" w:rsidRPr="00420853" w:rsidRDefault="00420853" w:rsidP="00420853">
            <w:pPr>
              <w:overflowPunct/>
              <w:autoSpaceDE/>
              <w:autoSpaceDN/>
              <w:adjustRightInd/>
              <w:spacing w:line="240" w:lineRule="auto"/>
              <w:jc w:val="right"/>
              <w:textAlignment w:val="auto"/>
              <w:rPr>
                <w:rFonts w:ascii="Calibri" w:hAnsi="Calibri" w:cs="Calibri"/>
                <w:color w:val="000000"/>
                <w:sz w:val="22"/>
                <w:szCs w:val="22"/>
                <w:lang w:val="en-US"/>
              </w:rPr>
            </w:pPr>
            <w:r w:rsidRPr="00420853">
              <w:rPr>
                <w:rFonts w:ascii="Calibri" w:hAnsi="Calibri" w:cs="Calibri"/>
                <w:color w:val="000000"/>
                <w:sz w:val="22"/>
                <w:szCs w:val="22"/>
                <w:lang w:val="en-US"/>
              </w:rPr>
              <w:t>490</w:t>
            </w:r>
          </w:p>
        </w:tc>
        <w:tc>
          <w:tcPr>
            <w:tcW w:w="1226" w:type="dxa"/>
            <w:tcBorders>
              <w:top w:val="nil"/>
              <w:left w:val="nil"/>
              <w:bottom w:val="nil"/>
              <w:right w:val="nil"/>
            </w:tcBorders>
            <w:shd w:val="clear" w:color="auto" w:fill="auto"/>
            <w:hideMark/>
          </w:tcPr>
          <w:p w:rsidR="00420853" w:rsidRPr="00420853" w:rsidRDefault="00420853" w:rsidP="00420853">
            <w:pPr>
              <w:overflowPunct/>
              <w:autoSpaceDE/>
              <w:autoSpaceDN/>
              <w:adjustRightInd/>
              <w:spacing w:line="240" w:lineRule="auto"/>
              <w:ind w:firstLineChars="100" w:firstLine="220"/>
              <w:jc w:val="right"/>
              <w:textAlignment w:val="auto"/>
              <w:rPr>
                <w:rFonts w:ascii="Calibri" w:hAnsi="Calibri" w:cs="Calibri"/>
                <w:color w:val="000000"/>
                <w:sz w:val="22"/>
                <w:szCs w:val="22"/>
                <w:lang w:val="en-US"/>
              </w:rPr>
            </w:pPr>
          </w:p>
        </w:tc>
        <w:tc>
          <w:tcPr>
            <w:tcW w:w="274" w:type="dxa"/>
            <w:tcBorders>
              <w:top w:val="nil"/>
              <w:left w:val="nil"/>
              <w:bottom w:val="nil"/>
              <w:right w:val="nil"/>
            </w:tcBorders>
            <w:shd w:val="clear" w:color="auto" w:fill="auto"/>
            <w:noWrap/>
            <w:vAlign w:val="bottom"/>
            <w:hideMark/>
          </w:tcPr>
          <w:p w:rsidR="00420853" w:rsidRPr="00420853" w:rsidRDefault="00420853" w:rsidP="00420853">
            <w:pPr>
              <w:overflowPunct/>
              <w:autoSpaceDE/>
              <w:autoSpaceDN/>
              <w:adjustRightInd/>
              <w:spacing w:line="240" w:lineRule="auto"/>
              <w:textAlignment w:val="auto"/>
              <w:rPr>
                <w:rFonts w:ascii="Calibri" w:hAnsi="Calibri" w:cs="Calibri"/>
                <w:color w:val="000000"/>
                <w:sz w:val="22"/>
                <w:szCs w:val="22"/>
                <w:lang w:val="en-US"/>
              </w:rPr>
            </w:pPr>
          </w:p>
        </w:tc>
        <w:tc>
          <w:tcPr>
            <w:tcW w:w="1169" w:type="dxa"/>
            <w:tcBorders>
              <w:top w:val="nil"/>
              <w:left w:val="nil"/>
              <w:bottom w:val="nil"/>
              <w:right w:val="nil"/>
            </w:tcBorders>
            <w:shd w:val="clear" w:color="auto" w:fill="auto"/>
            <w:hideMark/>
          </w:tcPr>
          <w:p w:rsidR="00420853" w:rsidRPr="00420853" w:rsidRDefault="00420853" w:rsidP="00420853">
            <w:pPr>
              <w:overflowPunct/>
              <w:autoSpaceDE/>
              <w:autoSpaceDN/>
              <w:adjustRightInd/>
              <w:spacing w:line="240" w:lineRule="auto"/>
              <w:jc w:val="right"/>
              <w:textAlignment w:val="auto"/>
              <w:rPr>
                <w:rFonts w:ascii="Calibri" w:hAnsi="Calibri" w:cs="Calibri"/>
                <w:color w:val="000000"/>
                <w:sz w:val="22"/>
                <w:szCs w:val="22"/>
                <w:lang w:val="en-US"/>
              </w:rPr>
            </w:pPr>
            <w:r w:rsidRPr="00420853">
              <w:rPr>
                <w:rFonts w:ascii="Calibri" w:hAnsi="Calibri" w:cs="Calibri"/>
                <w:color w:val="000000"/>
                <w:sz w:val="22"/>
                <w:szCs w:val="22"/>
                <w:lang w:val="en-US"/>
              </w:rPr>
              <w:t>31</w:t>
            </w:r>
          </w:p>
        </w:tc>
        <w:tc>
          <w:tcPr>
            <w:tcW w:w="1190" w:type="dxa"/>
            <w:tcBorders>
              <w:top w:val="nil"/>
              <w:left w:val="nil"/>
              <w:bottom w:val="nil"/>
              <w:right w:val="single" w:sz="4" w:space="0" w:color="auto"/>
            </w:tcBorders>
            <w:shd w:val="clear" w:color="auto" w:fill="auto"/>
            <w:hideMark/>
          </w:tcPr>
          <w:p w:rsidR="00420853" w:rsidRPr="00420853" w:rsidRDefault="00420853" w:rsidP="00420853">
            <w:pPr>
              <w:overflowPunct/>
              <w:autoSpaceDE/>
              <w:autoSpaceDN/>
              <w:adjustRightInd/>
              <w:spacing w:line="240" w:lineRule="auto"/>
              <w:ind w:firstLineChars="100" w:firstLine="220"/>
              <w:jc w:val="right"/>
              <w:textAlignment w:val="auto"/>
              <w:rPr>
                <w:rFonts w:ascii="Calibri" w:hAnsi="Calibri" w:cs="Calibri"/>
                <w:color w:val="000000"/>
                <w:sz w:val="22"/>
                <w:szCs w:val="22"/>
                <w:lang w:val="en-US"/>
              </w:rPr>
            </w:pPr>
            <w:r w:rsidRPr="00420853">
              <w:rPr>
                <w:rFonts w:ascii="Calibri" w:hAnsi="Calibri" w:cs="Calibri"/>
                <w:color w:val="000000"/>
                <w:sz w:val="22"/>
                <w:szCs w:val="22"/>
                <w:lang w:val="en-US"/>
              </w:rPr>
              <w:t> </w:t>
            </w:r>
          </w:p>
        </w:tc>
      </w:tr>
      <w:tr w:rsidR="00420853" w:rsidRPr="00420853" w:rsidTr="00420853">
        <w:trPr>
          <w:trHeight w:val="301"/>
        </w:trPr>
        <w:tc>
          <w:tcPr>
            <w:tcW w:w="3389" w:type="dxa"/>
            <w:tcBorders>
              <w:top w:val="nil"/>
              <w:left w:val="single" w:sz="4" w:space="0" w:color="auto"/>
              <w:bottom w:val="nil"/>
              <w:right w:val="nil"/>
            </w:tcBorders>
            <w:shd w:val="clear" w:color="auto" w:fill="auto"/>
            <w:hideMark/>
          </w:tcPr>
          <w:p w:rsidR="00420853" w:rsidRPr="00420853" w:rsidRDefault="00420853" w:rsidP="00420853">
            <w:pPr>
              <w:overflowPunct/>
              <w:autoSpaceDE/>
              <w:autoSpaceDN/>
              <w:adjustRightInd/>
              <w:spacing w:line="240" w:lineRule="auto"/>
              <w:textAlignment w:val="auto"/>
              <w:rPr>
                <w:rFonts w:ascii="Calibri" w:hAnsi="Calibri" w:cs="Calibri"/>
                <w:color w:val="000000"/>
                <w:sz w:val="22"/>
                <w:szCs w:val="22"/>
                <w:lang w:val="en-US"/>
              </w:rPr>
            </w:pPr>
            <w:r w:rsidRPr="00420853">
              <w:rPr>
                <w:rFonts w:ascii="Calibri" w:hAnsi="Calibri" w:cs="Calibri"/>
                <w:color w:val="000000"/>
                <w:sz w:val="22"/>
                <w:szCs w:val="22"/>
                <w:lang w:val="en-US"/>
              </w:rPr>
              <w:t>Receivables from group companies</w:t>
            </w:r>
          </w:p>
        </w:tc>
        <w:tc>
          <w:tcPr>
            <w:tcW w:w="692" w:type="dxa"/>
            <w:tcBorders>
              <w:top w:val="nil"/>
              <w:left w:val="nil"/>
              <w:bottom w:val="nil"/>
              <w:right w:val="nil"/>
            </w:tcBorders>
            <w:shd w:val="clear" w:color="auto" w:fill="auto"/>
            <w:hideMark/>
          </w:tcPr>
          <w:p w:rsidR="00420853" w:rsidRPr="00420853" w:rsidRDefault="00420853" w:rsidP="00420853">
            <w:pPr>
              <w:overflowPunct/>
              <w:autoSpaceDE/>
              <w:autoSpaceDN/>
              <w:adjustRightInd/>
              <w:spacing w:line="240" w:lineRule="auto"/>
              <w:jc w:val="center"/>
              <w:textAlignment w:val="auto"/>
              <w:rPr>
                <w:rFonts w:ascii="Calibri" w:hAnsi="Calibri" w:cs="Calibri"/>
                <w:color w:val="000000"/>
                <w:sz w:val="22"/>
                <w:szCs w:val="22"/>
                <w:lang w:val="en-US"/>
              </w:rPr>
            </w:pPr>
            <w:r w:rsidRPr="00420853">
              <w:rPr>
                <w:rFonts w:ascii="Calibri" w:hAnsi="Calibri" w:cs="Calibri"/>
                <w:color w:val="000000"/>
                <w:sz w:val="22"/>
                <w:szCs w:val="22"/>
                <w:lang w:val="en-US"/>
              </w:rPr>
              <w:t>2</w:t>
            </w:r>
          </w:p>
        </w:tc>
        <w:tc>
          <w:tcPr>
            <w:tcW w:w="369" w:type="dxa"/>
            <w:tcBorders>
              <w:top w:val="nil"/>
              <w:left w:val="nil"/>
              <w:bottom w:val="nil"/>
              <w:right w:val="nil"/>
            </w:tcBorders>
            <w:shd w:val="clear" w:color="auto" w:fill="auto"/>
            <w:hideMark/>
          </w:tcPr>
          <w:p w:rsidR="00420853" w:rsidRPr="00420853" w:rsidRDefault="00420853" w:rsidP="00420853">
            <w:pPr>
              <w:overflowPunct/>
              <w:autoSpaceDE/>
              <w:autoSpaceDN/>
              <w:adjustRightInd/>
              <w:spacing w:line="240" w:lineRule="auto"/>
              <w:ind w:firstLineChars="100" w:firstLine="220"/>
              <w:jc w:val="right"/>
              <w:textAlignment w:val="auto"/>
              <w:rPr>
                <w:rFonts w:ascii="Calibri" w:hAnsi="Calibri" w:cs="Calibri"/>
                <w:color w:val="538ED5"/>
                <w:sz w:val="22"/>
                <w:szCs w:val="22"/>
                <w:lang w:val="en-US"/>
              </w:rPr>
            </w:pPr>
          </w:p>
        </w:tc>
        <w:tc>
          <w:tcPr>
            <w:tcW w:w="1081" w:type="dxa"/>
            <w:tcBorders>
              <w:top w:val="nil"/>
              <w:left w:val="nil"/>
              <w:bottom w:val="nil"/>
              <w:right w:val="nil"/>
            </w:tcBorders>
            <w:shd w:val="clear" w:color="auto" w:fill="auto"/>
            <w:hideMark/>
          </w:tcPr>
          <w:p w:rsidR="00420853" w:rsidRPr="00420853" w:rsidRDefault="00420853" w:rsidP="00420853">
            <w:pPr>
              <w:overflowPunct/>
              <w:autoSpaceDE/>
              <w:autoSpaceDN/>
              <w:adjustRightInd/>
              <w:spacing w:line="240" w:lineRule="auto"/>
              <w:jc w:val="right"/>
              <w:textAlignment w:val="auto"/>
              <w:rPr>
                <w:rFonts w:ascii="Calibri" w:hAnsi="Calibri" w:cs="Calibri"/>
                <w:color w:val="000000"/>
                <w:sz w:val="22"/>
                <w:szCs w:val="22"/>
                <w:lang w:val="en-US"/>
              </w:rPr>
            </w:pPr>
            <w:r w:rsidRPr="00420853">
              <w:rPr>
                <w:rFonts w:ascii="Calibri" w:hAnsi="Calibri" w:cs="Calibri"/>
                <w:color w:val="000000"/>
                <w:sz w:val="22"/>
                <w:szCs w:val="22"/>
                <w:lang w:val="en-US"/>
              </w:rPr>
              <w:t>37'377</w:t>
            </w:r>
          </w:p>
        </w:tc>
        <w:tc>
          <w:tcPr>
            <w:tcW w:w="1226" w:type="dxa"/>
            <w:tcBorders>
              <w:top w:val="nil"/>
              <w:left w:val="nil"/>
              <w:bottom w:val="nil"/>
              <w:right w:val="nil"/>
            </w:tcBorders>
            <w:shd w:val="clear" w:color="auto" w:fill="auto"/>
            <w:hideMark/>
          </w:tcPr>
          <w:p w:rsidR="00420853" w:rsidRPr="00420853" w:rsidRDefault="00420853" w:rsidP="00420853">
            <w:pPr>
              <w:overflowPunct/>
              <w:autoSpaceDE/>
              <w:autoSpaceDN/>
              <w:adjustRightInd/>
              <w:spacing w:line="240" w:lineRule="auto"/>
              <w:ind w:firstLineChars="100" w:firstLine="220"/>
              <w:jc w:val="right"/>
              <w:textAlignment w:val="auto"/>
              <w:rPr>
                <w:rFonts w:ascii="Calibri" w:hAnsi="Calibri" w:cs="Calibri"/>
                <w:color w:val="000000"/>
                <w:sz w:val="22"/>
                <w:szCs w:val="22"/>
                <w:lang w:val="en-US"/>
              </w:rPr>
            </w:pPr>
          </w:p>
        </w:tc>
        <w:tc>
          <w:tcPr>
            <w:tcW w:w="274" w:type="dxa"/>
            <w:tcBorders>
              <w:top w:val="nil"/>
              <w:left w:val="nil"/>
              <w:bottom w:val="nil"/>
              <w:right w:val="nil"/>
            </w:tcBorders>
            <w:shd w:val="clear" w:color="auto" w:fill="auto"/>
            <w:noWrap/>
            <w:vAlign w:val="bottom"/>
            <w:hideMark/>
          </w:tcPr>
          <w:p w:rsidR="00420853" w:rsidRPr="00420853" w:rsidRDefault="00420853" w:rsidP="00420853">
            <w:pPr>
              <w:overflowPunct/>
              <w:autoSpaceDE/>
              <w:autoSpaceDN/>
              <w:adjustRightInd/>
              <w:spacing w:line="240" w:lineRule="auto"/>
              <w:textAlignment w:val="auto"/>
              <w:rPr>
                <w:rFonts w:ascii="Calibri" w:hAnsi="Calibri" w:cs="Calibri"/>
                <w:color w:val="000000"/>
                <w:sz w:val="22"/>
                <w:szCs w:val="22"/>
                <w:lang w:val="en-US"/>
              </w:rPr>
            </w:pPr>
          </w:p>
        </w:tc>
        <w:tc>
          <w:tcPr>
            <w:tcW w:w="1169" w:type="dxa"/>
            <w:tcBorders>
              <w:top w:val="nil"/>
              <w:left w:val="nil"/>
              <w:bottom w:val="nil"/>
              <w:right w:val="nil"/>
            </w:tcBorders>
            <w:shd w:val="clear" w:color="auto" w:fill="auto"/>
            <w:hideMark/>
          </w:tcPr>
          <w:p w:rsidR="00420853" w:rsidRPr="00420853" w:rsidRDefault="00420853" w:rsidP="00420853">
            <w:pPr>
              <w:overflowPunct/>
              <w:autoSpaceDE/>
              <w:autoSpaceDN/>
              <w:adjustRightInd/>
              <w:spacing w:line="240" w:lineRule="auto"/>
              <w:jc w:val="right"/>
              <w:textAlignment w:val="auto"/>
              <w:rPr>
                <w:rFonts w:ascii="Calibri" w:hAnsi="Calibri" w:cs="Calibri"/>
                <w:color w:val="000000"/>
                <w:sz w:val="22"/>
                <w:szCs w:val="22"/>
                <w:lang w:val="en-US"/>
              </w:rPr>
            </w:pPr>
            <w:r w:rsidRPr="00420853">
              <w:rPr>
                <w:rFonts w:ascii="Calibri" w:hAnsi="Calibri" w:cs="Calibri"/>
                <w:color w:val="000000"/>
                <w:sz w:val="22"/>
                <w:szCs w:val="22"/>
                <w:lang w:val="en-US"/>
              </w:rPr>
              <w:t>704'251</w:t>
            </w:r>
          </w:p>
        </w:tc>
        <w:tc>
          <w:tcPr>
            <w:tcW w:w="1190" w:type="dxa"/>
            <w:tcBorders>
              <w:top w:val="nil"/>
              <w:left w:val="nil"/>
              <w:bottom w:val="nil"/>
              <w:right w:val="single" w:sz="4" w:space="0" w:color="auto"/>
            </w:tcBorders>
            <w:shd w:val="clear" w:color="auto" w:fill="auto"/>
            <w:hideMark/>
          </w:tcPr>
          <w:p w:rsidR="00420853" w:rsidRPr="00420853" w:rsidRDefault="00420853" w:rsidP="00420853">
            <w:pPr>
              <w:overflowPunct/>
              <w:autoSpaceDE/>
              <w:autoSpaceDN/>
              <w:adjustRightInd/>
              <w:spacing w:line="240" w:lineRule="auto"/>
              <w:ind w:firstLineChars="100" w:firstLine="220"/>
              <w:jc w:val="right"/>
              <w:textAlignment w:val="auto"/>
              <w:rPr>
                <w:rFonts w:ascii="Calibri" w:hAnsi="Calibri" w:cs="Calibri"/>
                <w:color w:val="000000"/>
                <w:sz w:val="22"/>
                <w:szCs w:val="22"/>
                <w:lang w:val="en-US"/>
              </w:rPr>
            </w:pPr>
            <w:r w:rsidRPr="00420853">
              <w:rPr>
                <w:rFonts w:ascii="Calibri" w:hAnsi="Calibri" w:cs="Calibri"/>
                <w:color w:val="000000"/>
                <w:sz w:val="22"/>
                <w:szCs w:val="22"/>
                <w:lang w:val="en-US"/>
              </w:rPr>
              <w:t> </w:t>
            </w:r>
          </w:p>
        </w:tc>
      </w:tr>
      <w:tr w:rsidR="00420853" w:rsidRPr="00420853" w:rsidTr="00420853">
        <w:trPr>
          <w:trHeight w:val="301"/>
        </w:trPr>
        <w:tc>
          <w:tcPr>
            <w:tcW w:w="3389" w:type="dxa"/>
            <w:tcBorders>
              <w:top w:val="nil"/>
              <w:left w:val="single" w:sz="4" w:space="0" w:color="auto"/>
              <w:bottom w:val="nil"/>
              <w:right w:val="nil"/>
            </w:tcBorders>
            <w:shd w:val="clear" w:color="auto" w:fill="auto"/>
            <w:hideMark/>
          </w:tcPr>
          <w:p w:rsidR="00420853" w:rsidRPr="00420853" w:rsidRDefault="00420853" w:rsidP="00420853">
            <w:pPr>
              <w:overflowPunct/>
              <w:autoSpaceDE/>
              <w:autoSpaceDN/>
              <w:adjustRightInd/>
              <w:spacing w:line="240" w:lineRule="auto"/>
              <w:textAlignment w:val="auto"/>
              <w:rPr>
                <w:rFonts w:ascii="Calibri" w:hAnsi="Calibri" w:cs="Calibri"/>
                <w:color w:val="000000"/>
                <w:sz w:val="22"/>
                <w:szCs w:val="22"/>
                <w:lang w:val="en-US"/>
              </w:rPr>
            </w:pPr>
            <w:r w:rsidRPr="00420853">
              <w:rPr>
                <w:rFonts w:ascii="Calibri" w:hAnsi="Calibri" w:cs="Calibri"/>
                <w:color w:val="000000"/>
                <w:sz w:val="22"/>
                <w:szCs w:val="22"/>
                <w:lang w:val="en-US"/>
              </w:rPr>
              <w:t>Cash at bank and in hand</w:t>
            </w:r>
          </w:p>
        </w:tc>
        <w:tc>
          <w:tcPr>
            <w:tcW w:w="692" w:type="dxa"/>
            <w:tcBorders>
              <w:top w:val="nil"/>
              <w:left w:val="nil"/>
              <w:bottom w:val="nil"/>
              <w:right w:val="nil"/>
            </w:tcBorders>
            <w:shd w:val="clear" w:color="auto" w:fill="auto"/>
            <w:hideMark/>
          </w:tcPr>
          <w:p w:rsidR="00420853" w:rsidRPr="00420853" w:rsidRDefault="00420853" w:rsidP="00420853">
            <w:pPr>
              <w:overflowPunct/>
              <w:autoSpaceDE/>
              <w:autoSpaceDN/>
              <w:adjustRightInd/>
              <w:spacing w:line="240" w:lineRule="auto"/>
              <w:jc w:val="center"/>
              <w:textAlignment w:val="auto"/>
              <w:rPr>
                <w:rFonts w:ascii="Calibri" w:hAnsi="Calibri" w:cs="Calibri"/>
                <w:color w:val="000000"/>
                <w:sz w:val="22"/>
                <w:szCs w:val="22"/>
                <w:lang w:val="en-US"/>
              </w:rPr>
            </w:pPr>
            <w:r w:rsidRPr="00420853">
              <w:rPr>
                <w:rFonts w:ascii="Calibri" w:hAnsi="Calibri" w:cs="Calibri"/>
                <w:color w:val="000000"/>
                <w:sz w:val="22"/>
                <w:szCs w:val="22"/>
                <w:lang w:val="en-US"/>
              </w:rPr>
              <w:t>3</w:t>
            </w:r>
          </w:p>
        </w:tc>
        <w:tc>
          <w:tcPr>
            <w:tcW w:w="369" w:type="dxa"/>
            <w:tcBorders>
              <w:top w:val="nil"/>
              <w:left w:val="nil"/>
              <w:bottom w:val="nil"/>
              <w:right w:val="nil"/>
            </w:tcBorders>
            <w:shd w:val="clear" w:color="auto" w:fill="auto"/>
            <w:hideMark/>
          </w:tcPr>
          <w:p w:rsidR="00420853" w:rsidRPr="00420853" w:rsidRDefault="00420853" w:rsidP="00420853">
            <w:pPr>
              <w:overflowPunct/>
              <w:autoSpaceDE/>
              <w:autoSpaceDN/>
              <w:adjustRightInd/>
              <w:spacing w:line="240" w:lineRule="auto"/>
              <w:ind w:firstLineChars="100" w:firstLine="220"/>
              <w:jc w:val="right"/>
              <w:textAlignment w:val="auto"/>
              <w:rPr>
                <w:rFonts w:ascii="Calibri" w:hAnsi="Calibri" w:cs="Calibri"/>
                <w:color w:val="000000"/>
                <w:sz w:val="22"/>
                <w:szCs w:val="22"/>
                <w:lang w:val="en-US"/>
              </w:rPr>
            </w:pPr>
          </w:p>
        </w:tc>
        <w:tc>
          <w:tcPr>
            <w:tcW w:w="1081" w:type="dxa"/>
            <w:tcBorders>
              <w:top w:val="nil"/>
              <w:left w:val="nil"/>
              <w:bottom w:val="single" w:sz="4" w:space="0" w:color="auto"/>
              <w:right w:val="nil"/>
            </w:tcBorders>
            <w:shd w:val="clear" w:color="auto" w:fill="auto"/>
            <w:hideMark/>
          </w:tcPr>
          <w:p w:rsidR="00420853" w:rsidRPr="00420853" w:rsidRDefault="00420853" w:rsidP="00420853">
            <w:pPr>
              <w:overflowPunct/>
              <w:autoSpaceDE/>
              <w:autoSpaceDN/>
              <w:adjustRightInd/>
              <w:spacing w:line="240" w:lineRule="auto"/>
              <w:jc w:val="right"/>
              <w:textAlignment w:val="auto"/>
              <w:rPr>
                <w:rFonts w:ascii="Calibri" w:hAnsi="Calibri" w:cs="Calibri"/>
                <w:color w:val="000000"/>
                <w:sz w:val="22"/>
                <w:szCs w:val="22"/>
                <w:lang w:val="en-US"/>
              </w:rPr>
            </w:pPr>
            <w:r w:rsidRPr="00420853">
              <w:rPr>
                <w:rFonts w:ascii="Calibri" w:hAnsi="Calibri" w:cs="Calibri"/>
                <w:color w:val="000000"/>
                <w:sz w:val="22"/>
                <w:szCs w:val="22"/>
                <w:lang w:val="en-US"/>
              </w:rPr>
              <w:t>41</w:t>
            </w:r>
          </w:p>
        </w:tc>
        <w:tc>
          <w:tcPr>
            <w:tcW w:w="1226" w:type="dxa"/>
            <w:tcBorders>
              <w:top w:val="nil"/>
              <w:left w:val="nil"/>
              <w:bottom w:val="nil"/>
              <w:right w:val="nil"/>
            </w:tcBorders>
            <w:shd w:val="clear" w:color="auto" w:fill="auto"/>
            <w:hideMark/>
          </w:tcPr>
          <w:p w:rsidR="00420853" w:rsidRPr="00420853" w:rsidRDefault="00420853" w:rsidP="00420853">
            <w:pPr>
              <w:overflowPunct/>
              <w:autoSpaceDE/>
              <w:autoSpaceDN/>
              <w:adjustRightInd/>
              <w:spacing w:line="240" w:lineRule="auto"/>
              <w:ind w:firstLineChars="100" w:firstLine="220"/>
              <w:jc w:val="right"/>
              <w:textAlignment w:val="auto"/>
              <w:rPr>
                <w:rFonts w:ascii="Calibri" w:hAnsi="Calibri" w:cs="Calibri"/>
                <w:color w:val="000000"/>
                <w:sz w:val="22"/>
                <w:szCs w:val="22"/>
                <w:lang w:val="en-US"/>
              </w:rPr>
            </w:pPr>
          </w:p>
        </w:tc>
        <w:tc>
          <w:tcPr>
            <w:tcW w:w="274" w:type="dxa"/>
            <w:tcBorders>
              <w:top w:val="nil"/>
              <w:left w:val="nil"/>
              <w:bottom w:val="nil"/>
              <w:right w:val="nil"/>
            </w:tcBorders>
            <w:shd w:val="clear" w:color="auto" w:fill="auto"/>
            <w:noWrap/>
            <w:vAlign w:val="bottom"/>
            <w:hideMark/>
          </w:tcPr>
          <w:p w:rsidR="00420853" w:rsidRPr="00420853" w:rsidRDefault="00420853" w:rsidP="00420853">
            <w:pPr>
              <w:overflowPunct/>
              <w:autoSpaceDE/>
              <w:autoSpaceDN/>
              <w:adjustRightInd/>
              <w:spacing w:line="240" w:lineRule="auto"/>
              <w:textAlignment w:val="auto"/>
              <w:rPr>
                <w:rFonts w:ascii="Calibri" w:hAnsi="Calibri" w:cs="Calibri"/>
                <w:color w:val="000000"/>
                <w:sz w:val="22"/>
                <w:szCs w:val="22"/>
                <w:lang w:val="en-US"/>
              </w:rPr>
            </w:pPr>
          </w:p>
        </w:tc>
        <w:tc>
          <w:tcPr>
            <w:tcW w:w="1169" w:type="dxa"/>
            <w:tcBorders>
              <w:top w:val="nil"/>
              <w:left w:val="nil"/>
              <w:bottom w:val="single" w:sz="4" w:space="0" w:color="auto"/>
              <w:right w:val="nil"/>
            </w:tcBorders>
            <w:shd w:val="clear" w:color="auto" w:fill="auto"/>
            <w:hideMark/>
          </w:tcPr>
          <w:p w:rsidR="00420853" w:rsidRPr="00420853" w:rsidRDefault="00420853" w:rsidP="00420853">
            <w:pPr>
              <w:overflowPunct/>
              <w:autoSpaceDE/>
              <w:autoSpaceDN/>
              <w:adjustRightInd/>
              <w:spacing w:line="240" w:lineRule="auto"/>
              <w:jc w:val="right"/>
              <w:textAlignment w:val="auto"/>
              <w:rPr>
                <w:rFonts w:ascii="Calibri" w:hAnsi="Calibri" w:cs="Calibri"/>
                <w:color w:val="000000"/>
                <w:sz w:val="22"/>
                <w:szCs w:val="22"/>
                <w:lang w:val="en-US"/>
              </w:rPr>
            </w:pPr>
            <w:r w:rsidRPr="00420853">
              <w:rPr>
                <w:rFonts w:ascii="Calibri" w:hAnsi="Calibri" w:cs="Calibri"/>
                <w:color w:val="000000"/>
                <w:sz w:val="22"/>
                <w:szCs w:val="22"/>
                <w:lang w:val="en-US"/>
              </w:rPr>
              <w:t>23</w:t>
            </w:r>
          </w:p>
        </w:tc>
        <w:tc>
          <w:tcPr>
            <w:tcW w:w="1190" w:type="dxa"/>
            <w:tcBorders>
              <w:top w:val="nil"/>
              <w:left w:val="nil"/>
              <w:bottom w:val="nil"/>
              <w:right w:val="single" w:sz="4" w:space="0" w:color="auto"/>
            </w:tcBorders>
            <w:shd w:val="clear" w:color="auto" w:fill="auto"/>
            <w:hideMark/>
          </w:tcPr>
          <w:p w:rsidR="00420853" w:rsidRPr="00420853" w:rsidRDefault="00420853" w:rsidP="00420853">
            <w:pPr>
              <w:overflowPunct/>
              <w:autoSpaceDE/>
              <w:autoSpaceDN/>
              <w:adjustRightInd/>
              <w:spacing w:line="240" w:lineRule="auto"/>
              <w:ind w:firstLineChars="100" w:firstLine="220"/>
              <w:jc w:val="right"/>
              <w:textAlignment w:val="auto"/>
              <w:rPr>
                <w:rFonts w:ascii="Calibri" w:hAnsi="Calibri" w:cs="Calibri"/>
                <w:color w:val="000000"/>
                <w:sz w:val="22"/>
                <w:szCs w:val="22"/>
                <w:lang w:val="en-US"/>
              </w:rPr>
            </w:pPr>
            <w:r w:rsidRPr="00420853">
              <w:rPr>
                <w:rFonts w:ascii="Calibri" w:hAnsi="Calibri" w:cs="Calibri"/>
                <w:color w:val="000000"/>
                <w:sz w:val="22"/>
                <w:szCs w:val="22"/>
                <w:lang w:val="en-US"/>
              </w:rPr>
              <w:t> </w:t>
            </w:r>
          </w:p>
        </w:tc>
      </w:tr>
      <w:tr w:rsidR="00420853" w:rsidRPr="00420853" w:rsidTr="00420853">
        <w:trPr>
          <w:trHeight w:val="301"/>
        </w:trPr>
        <w:tc>
          <w:tcPr>
            <w:tcW w:w="3389" w:type="dxa"/>
            <w:tcBorders>
              <w:top w:val="nil"/>
              <w:left w:val="single" w:sz="4" w:space="0" w:color="auto"/>
              <w:bottom w:val="nil"/>
              <w:right w:val="nil"/>
            </w:tcBorders>
            <w:shd w:val="clear" w:color="auto" w:fill="auto"/>
            <w:hideMark/>
          </w:tcPr>
          <w:p w:rsidR="00420853" w:rsidRPr="00420853" w:rsidRDefault="00420853" w:rsidP="00420853">
            <w:pPr>
              <w:overflowPunct/>
              <w:autoSpaceDE/>
              <w:autoSpaceDN/>
              <w:adjustRightInd/>
              <w:spacing w:line="240" w:lineRule="auto"/>
              <w:textAlignment w:val="auto"/>
              <w:rPr>
                <w:rFonts w:ascii="Calibri" w:hAnsi="Calibri" w:cs="Calibri"/>
                <w:color w:val="000000"/>
                <w:sz w:val="22"/>
                <w:szCs w:val="22"/>
                <w:lang w:val="en-US"/>
              </w:rPr>
            </w:pPr>
            <w:r w:rsidRPr="00420853">
              <w:rPr>
                <w:rFonts w:ascii="Calibri" w:hAnsi="Calibri" w:cs="Calibri"/>
                <w:color w:val="000000"/>
                <w:sz w:val="22"/>
                <w:szCs w:val="22"/>
                <w:lang w:val="en-US"/>
              </w:rPr>
              <w:t> </w:t>
            </w:r>
          </w:p>
        </w:tc>
        <w:tc>
          <w:tcPr>
            <w:tcW w:w="692" w:type="dxa"/>
            <w:tcBorders>
              <w:top w:val="nil"/>
              <w:left w:val="nil"/>
              <w:bottom w:val="nil"/>
              <w:right w:val="nil"/>
            </w:tcBorders>
            <w:shd w:val="clear" w:color="auto" w:fill="auto"/>
            <w:hideMark/>
          </w:tcPr>
          <w:p w:rsidR="00420853" w:rsidRPr="00420853" w:rsidRDefault="00420853" w:rsidP="00420853">
            <w:pPr>
              <w:overflowPunct/>
              <w:autoSpaceDE/>
              <w:autoSpaceDN/>
              <w:adjustRightInd/>
              <w:spacing w:line="240" w:lineRule="auto"/>
              <w:jc w:val="center"/>
              <w:textAlignment w:val="auto"/>
              <w:rPr>
                <w:rFonts w:ascii="Calibri" w:hAnsi="Calibri" w:cs="Calibri"/>
                <w:color w:val="000000"/>
                <w:sz w:val="22"/>
                <w:szCs w:val="22"/>
                <w:lang w:val="en-US"/>
              </w:rPr>
            </w:pPr>
          </w:p>
        </w:tc>
        <w:tc>
          <w:tcPr>
            <w:tcW w:w="369" w:type="dxa"/>
            <w:tcBorders>
              <w:top w:val="nil"/>
              <w:left w:val="nil"/>
              <w:bottom w:val="nil"/>
              <w:right w:val="nil"/>
            </w:tcBorders>
            <w:shd w:val="clear" w:color="auto" w:fill="auto"/>
            <w:hideMark/>
          </w:tcPr>
          <w:p w:rsidR="00420853" w:rsidRPr="00420853" w:rsidRDefault="00420853" w:rsidP="00420853">
            <w:pPr>
              <w:overflowPunct/>
              <w:autoSpaceDE/>
              <w:autoSpaceDN/>
              <w:adjustRightInd/>
              <w:spacing w:line="240" w:lineRule="auto"/>
              <w:ind w:firstLineChars="100" w:firstLine="220"/>
              <w:jc w:val="right"/>
              <w:textAlignment w:val="auto"/>
              <w:rPr>
                <w:rFonts w:ascii="Calibri" w:hAnsi="Calibri" w:cs="Calibri"/>
                <w:color w:val="000000"/>
                <w:sz w:val="22"/>
                <w:szCs w:val="22"/>
                <w:lang w:val="en-US"/>
              </w:rPr>
            </w:pPr>
          </w:p>
        </w:tc>
        <w:tc>
          <w:tcPr>
            <w:tcW w:w="1081" w:type="dxa"/>
            <w:tcBorders>
              <w:top w:val="nil"/>
              <w:left w:val="nil"/>
              <w:bottom w:val="nil"/>
              <w:right w:val="nil"/>
            </w:tcBorders>
            <w:shd w:val="clear" w:color="auto" w:fill="auto"/>
            <w:hideMark/>
          </w:tcPr>
          <w:p w:rsidR="00420853" w:rsidRPr="00420853" w:rsidRDefault="00420853" w:rsidP="00420853">
            <w:pPr>
              <w:overflowPunct/>
              <w:autoSpaceDE/>
              <w:autoSpaceDN/>
              <w:adjustRightInd/>
              <w:spacing w:line="240" w:lineRule="auto"/>
              <w:ind w:firstLineChars="100" w:firstLine="220"/>
              <w:jc w:val="right"/>
              <w:textAlignment w:val="auto"/>
              <w:rPr>
                <w:rFonts w:ascii="Calibri" w:hAnsi="Calibri" w:cs="Calibri"/>
                <w:color w:val="000000"/>
                <w:sz w:val="22"/>
                <w:szCs w:val="22"/>
                <w:lang w:val="en-US"/>
              </w:rPr>
            </w:pPr>
          </w:p>
        </w:tc>
        <w:tc>
          <w:tcPr>
            <w:tcW w:w="1226" w:type="dxa"/>
            <w:tcBorders>
              <w:top w:val="nil"/>
              <w:left w:val="nil"/>
              <w:bottom w:val="nil"/>
              <w:right w:val="nil"/>
            </w:tcBorders>
            <w:shd w:val="clear" w:color="auto" w:fill="auto"/>
            <w:noWrap/>
            <w:vAlign w:val="bottom"/>
            <w:hideMark/>
          </w:tcPr>
          <w:p w:rsidR="00420853" w:rsidRPr="00420853" w:rsidRDefault="00420853" w:rsidP="006C4AF3">
            <w:pPr>
              <w:overflowPunct/>
              <w:autoSpaceDE/>
              <w:autoSpaceDN/>
              <w:adjustRightInd/>
              <w:spacing w:line="240" w:lineRule="auto"/>
              <w:jc w:val="right"/>
              <w:textAlignment w:val="auto"/>
              <w:rPr>
                <w:rFonts w:ascii="Calibri" w:hAnsi="Calibri" w:cs="Calibri"/>
                <w:color w:val="000000"/>
                <w:sz w:val="22"/>
                <w:szCs w:val="22"/>
                <w:lang w:val="en-US"/>
              </w:rPr>
            </w:pPr>
            <w:r w:rsidRPr="00420853">
              <w:rPr>
                <w:rFonts w:ascii="Calibri" w:hAnsi="Calibri" w:cs="Calibri"/>
                <w:color w:val="000000"/>
                <w:sz w:val="22"/>
                <w:szCs w:val="22"/>
                <w:lang w:val="en-US"/>
              </w:rPr>
              <w:t xml:space="preserve"> </w:t>
            </w:r>
            <w:r w:rsidR="006C4AF3" w:rsidRPr="00420853">
              <w:rPr>
                <w:rFonts w:ascii="Calibri" w:hAnsi="Calibri" w:cs="Calibri"/>
                <w:color w:val="000000"/>
                <w:sz w:val="22"/>
                <w:szCs w:val="22"/>
                <w:lang w:val="en-US"/>
              </w:rPr>
              <w:t>37'90</w:t>
            </w:r>
            <w:r w:rsidR="006C4AF3">
              <w:rPr>
                <w:rFonts w:ascii="Calibri" w:hAnsi="Calibri" w:cs="Calibri"/>
                <w:color w:val="000000"/>
                <w:sz w:val="22"/>
                <w:szCs w:val="22"/>
                <w:lang w:val="en-US"/>
              </w:rPr>
              <w:t>8</w:t>
            </w:r>
            <w:r w:rsidR="006C4AF3" w:rsidRPr="00420853">
              <w:rPr>
                <w:rFonts w:ascii="Calibri" w:hAnsi="Calibri" w:cs="Calibri"/>
                <w:color w:val="000000"/>
                <w:sz w:val="22"/>
                <w:szCs w:val="22"/>
                <w:lang w:val="en-US"/>
              </w:rPr>
              <w:t xml:space="preserve"> </w:t>
            </w:r>
          </w:p>
        </w:tc>
        <w:tc>
          <w:tcPr>
            <w:tcW w:w="274" w:type="dxa"/>
            <w:tcBorders>
              <w:top w:val="nil"/>
              <w:left w:val="nil"/>
              <w:bottom w:val="nil"/>
              <w:right w:val="nil"/>
            </w:tcBorders>
            <w:shd w:val="clear" w:color="auto" w:fill="auto"/>
            <w:noWrap/>
            <w:vAlign w:val="bottom"/>
            <w:hideMark/>
          </w:tcPr>
          <w:p w:rsidR="00420853" w:rsidRPr="00420853" w:rsidRDefault="00420853" w:rsidP="00420853">
            <w:pPr>
              <w:overflowPunct/>
              <w:autoSpaceDE/>
              <w:autoSpaceDN/>
              <w:adjustRightInd/>
              <w:spacing w:line="240" w:lineRule="auto"/>
              <w:textAlignment w:val="auto"/>
              <w:rPr>
                <w:rFonts w:ascii="Calibri" w:hAnsi="Calibri" w:cs="Calibri"/>
                <w:color w:val="000000"/>
                <w:sz w:val="22"/>
                <w:szCs w:val="22"/>
                <w:lang w:val="en-US"/>
              </w:rPr>
            </w:pPr>
          </w:p>
        </w:tc>
        <w:tc>
          <w:tcPr>
            <w:tcW w:w="1169" w:type="dxa"/>
            <w:tcBorders>
              <w:top w:val="nil"/>
              <w:left w:val="nil"/>
              <w:bottom w:val="nil"/>
              <w:right w:val="nil"/>
            </w:tcBorders>
            <w:shd w:val="clear" w:color="auto" w:fill="auto"/>
            <w:hideMark/>
          </w:tcPr>
          <w:p w:rsidR="00420853" w:rsidRPr="00420853" w:rsidRDefault="00420853" w:rsidP="00420853">
            <w:pPr>
              <w:overflowPunct/>
              <w:autoSpaceDE/>
              <w:autoSpaceDN/>
              <w:adjustRightInd/>
              <w:spacing w:line="240" w:lineRule="auto"/>
              <w:ind w:firstLineChars="100" w:firstLine="220"/>
              <w:jc w:val="right"/>
              <w:textAlignment w:val="auto"/>
              <w:rPr>
                <w:rFonts w:ascii="Calibri" w:hAnsi="Calibri" w:cs="Calibri"/>
                <w:color w:val="000000"/>
                <w:sz w:val="22"/>
                <w:szCs w:val="22"/>
                <w:lang w:val="en-US"/>
              </w:rPr>
            </w:pPr>
          </w:p>
        </w:tc>
        <w:tc>
          <w:tcPr>
            <w:tcW w:w="1190" w:type="dxa"/>
            <w:tcBorders>
              <w:top w:val="nil"/>
              <w:left w:val="nil"/>
              <w:bottom w:val="nil"/>
              <w:right w:val="single" w:sz="4" w:space="0" w:color="auto"/>
            </w:tcBorders>
            <w:shd w:val="clear" w:color="auto" w:fill="auto"/>
            <w:noWrap/>
            <w:vAlign w:val="bottom"/>
            <w:hideMark/>
          </w:tcPr>
          <w:p w:rsidR="00420853" w:rsidRPr="00420853" w:rsidRDefault="00420853" w:rsidP="00420853">
            <w:pPr>
              <w:overflowPunct/>
              <w:autoSpaceDE/>
              <w:autoSpaceDN/>
              <w:adjustRightInd/>
              <w:spacing w:line="240" w:lineRule="auto"/>
              <w:jc w:val="right"/>
              <w:textAlignment w:val="auto"/>
              <w:rPr>
                <w:rFonts w:ascii="Calibri" w:hAnsi="Calibri" w:cs="Calibri"/>
                <w:color w:val="000000"/>
                <w:sz w:val="22"/>
                <w:szCs w:val="22"/>
                <w:lang w:val="en-US"/>
              </w:rPr>
            </w:pPr>
            <w:r w:rsidRPr="00420853">
              <w:rPr>
                <w:rFonts w:ascii="Calibri" w:hAnsi="Calibri" w:cs="Calibri"/>
                <w:color w:val="000000"/>
                <w:sz w:val="22"/>
                <w:szCs w:val="22"/>
                <w:lang w:val="en-US"/>
              </w:rPr>
              <w:t xml:space="preserve"> 704'305 </w:t>
            </w:r>
          </w:p>
        </w:tc>
      </w:tr>
      <w:tr w:rsidR="00420853" w:rsidRPr="00420853" w:rsidTr="00420853">
        <w:trPr>
          <w:trHeight w:val="301"/>
        </w:trPr>
        <w:tc>
          <w:tcPr>
            <w:tcW w:w="3389" w:type="dxa"/>
            <w:tcBorders>
              <w:top w:val="nil"/>
              <w:left w:val="single" w:sz="4" w:space="0" w:color="auto"/>
              <w:bottom w:val="nil"/>
              <w:right w:val="nil"/>
            </w:tcBorders>
            <w:shd w:val="clear" w:color="auto" w:fill="auto"/>
            <w:noWrap/>
            <w:vAlign w:val="bottom"/>
            <w:hideMark/>
          </w:tcPr>
          <w:p w:rsidR="00420853" w:rsidRPr="00420853" w:rsidRDefault="00420853" w:rsidP="00420853">
            <w:pPr>
              <w:overflowPunct/>
              <w:autoSpaceDE/>
              <w:autoSpaceDN/>
              <w:adjustRightInd/>
              <w:spacing w:line="240" w:lineRule="auto"/>
              <w:textAlignment w:val="auto"/>
              <w:rPr>
                <w:rFonts w:ascii="Calibri" w:hAnsi="Calibri" w:cs="Calibri"/>
                <w:color w:val="000000"/>
                <w:sz w:val="22"/>
                <w:szCs w:val="22"/>
                <w:lang w:val="en-US"/>
              </w:rPr>
            </w:pPr>
            <w:r w:rsidRPr="00420853">
              <w:rPr>
                <w:rFonts w:ascii="Calibri" w:hAnsi="Calibri" w:cs="Calibri"/>
                <w:color w:val="000000"/>
                <w:sz w:val="22"/>
                <w:szCs w:val="22"/>
                <w:lang w:val="en-US"/>
              </w:rPr>
              <w:t> </w:t>
            </w:r>
          </w:p>
        </w:tc>
        <w:tc>
          <w:tcPr>
            <w:tcW w:w="692" w:type="dxa"/>
            <w:tcBorders>
              <w:top w:val="nil"/>
              <w:left w:val="nil"/>
              <w:bottom w:val="nil"/>
              <w:right w:val="nil"/>
            </w:tcBorders>
            <w:shd w:val="clear" w:color="auto" w:fill="auto"/>
            <w:noWrap/>
            <w:vAlign w:val="bottom"/>
            <w:hideMark/>
          </w:tcPr>
          <w:p w:rsidR="00420853" w:rsidRPr="00420853" w:rsidRDefault="00420853" w:rsidP="00420853">
            <w:pPr>
              <w:overflowPunct/>
              <w:autoSpaceDE/>
              <w:autoSpaceDN/>
              <w:adjustRightInd/>
              <w:spacing w:line="240" w:lineRule="auto"/>
              <w:jc w:val="center"/>
              <w:textAlignment w:val="auto"/>
              <w:rPr>
                <w:rFonts w:ascii="Calibri" w:hAnsi="Calibri" w:cs="Calibri"/>
                <w:color w:val="000000"/>
                <w:sz w:val="22"/>
                <w:szCs w:val="22"/>
                <w:lang w:val="en-US"/>
              </w:rPr>
            </w:pPr>
          </w:p>
        </w:tc>
        <w:tc>
          <w:tcPr>
            <w:tcW w:w="369" w:type="dxa"/>
            <w:tcBorders>
              <w:top w:val="nil"/>
              <w:left w:val="nil"/>
              <w:bottom w:val="nil"/>
              <w:right w:val="nil"/>
            </w:tcBorders>
            <w:shd w:val="clear" w:color="auto" w:fill="auto"/>
            <w:noWrap/>
            <w:vAlign w:val="bottom"/>
            <w:hideMark/>
          </w:tcPr>
          <w:p w:rsidR="00420853" w:rsidRPr="00420853" w:rsidRDefault="00420853" w:rsidP="00420853">
            <w:pPr>
              <w:overflowPunct/>
              <w:autoSpaceDE/>
              <w:autoSpaceDN/>
              <w:adjustRightInd/>
              <w:spacing w:line="240" w:lineRule="auto"/>
              <w:jc w:val="center"/>
              <w:textAlignment w:val="auto"/>
              <w:rPr>
                <w:rFonts w:ascii="Calibri" w:hAnsi="Calibri" w:cs="Calibri"/>
                <w:color w:val="000000"/>
                <w:sz w:val="22"/>
                <w:szCs w:val="22"/>
                <w:lang w:val="en-US"/>
              </w:rPr>
            </w:pPr>
          </w:p>
        </w:tc>
        <w:tc>
          <w:tcPr>
            <w:tcW w:w="1081" w:type="dxa"/>
            <w:tcBorders>
              <w:top w:val="nil"/>
              <w:left w:val="nil"/>
              <w:bottom w:val="nil"/>
              <w:right w:val="nil"/>
            </w:tcBorders>
            <w:shd w:val="clear" w:color="auto" w:fill="auto"/>
            <w:noWrap/>
            <w:vAlign w:val="bottom"/>
            <w:hideMark/>
          </w:tcPr>
          <w:p w:rsidR="00420853" w:rsidRPr="00420853" w:rsidRDefault="00420853" w:rsidP="00420853">
            <w:pPr>
              <w:overflowPunct/>
              <w:autoSpaceDE/>
              <w:autoSpaceDN/>
              <w:adjustRightInd/>
              <w:spacing w:line="240" w:lineRule="auto"/>
              <w:jc w:val="center"/>
              <w:textAlignment w:val="auto"/>
              <w:rPr>
                <w:rFonts w:ascii="Calibri" w:hAnsi="Calibri" w:cs="Calibri"/>
                <w:color w:val="000000"/>
                <w:sz w:val="22"/>
                <w:szCs w:val="22"/>
                <w:lang w:val="en-US"/>
              </w:rPr>
            </w:pPr>
          </w:p>
        </w:tc>
        <w:tc>
          <w:tcPr>
            <w:tcW w:w="1226" w:type="dxa"/>
            <w:tcBorders>
              <w:top w:val="nil"/>
              <w:left w:val="nil"/>
              <w:bottom w:val="nil"/>
              <w:right w:val="nil"/>
            </w:tcBorders>
            <w:shd w:val="clear" w:color="auto" w:fill="auto"/>
            <w:noWrap/>
            <w:vAlign w:val="bottom"/>
            <w:hideMark/>
          </w:tcPr>
          <w:p w:rsidR="00420853" w:rsidRPr="00420853" w:rsidRDefault="00420853" w:rsidP="00420853">
            <w:pPr>
              <w:overflowPunct/>
              <w:autoSpaceDE/>
              <w:autoSpaceDN/>
              <w:adjustRightInd/>
              <w:spacing w:line="240" w:lineRule="auto"/>
              <w:jc w:val="center"/>
              <w:textAlignment w:val="auto"/>
              <w:rPr>
                <w:rFonts w:ascii="Calibri" w:hAnsi="Calibri" w:cs="Calibri"/>
                <w:color w:val="000000"/>
                <w:sz w:val="22"/>
                <w:szCs w:val="22"/>
                <w:lang w:val="en-US"/>
              </w:rPr>
            </w:pPr>
          </w:p>
        </w:tc>
        <w:tc>
          <w:tcPr>
            <w:tcW w:w="274" w:type="dxa"/>
            <w:tcBorders>
              <w:top w:val="nil"/>
              <w:left w:val="nil"/>
              <w:bottom w:val="nil"/>
              <w:right w:val="nil"/>
            </w:tcBorders>
            <w:shd w:val="clear" w:color="auto" w:fill="auto"/>
            <w:noWrap/>
            <w:vAlign w:val="bottom"/>
            <w:hideMark/>
          </w:tcPr>
          <w:p w:rsidR="00420853" w:rsidRPr="00420853" w:rsidRDefault="00420853" w:rsidP="00420853">
            <w:pPr>
              <w:overflowPunct/>
              <w:autoSpaceDE/>
              <w:autoSpaceDN/>
              <w:adjustRightInd/>
              <w:spacing w:line="240" w:lineRule="auto"/>
              <w:textAlignment w:val="auto"/>
              <w:rPr>
                <w:rFonts w:ascii="Calibri" w:hAnsi="Calibri" w:cs="Calibri"/>
                <w:color w:val="000000"/>
                <w:sz w:val="22"/>
                <w:szCs w:val="22"/>
                <w:lang w:val="en-US"/>
              </w:rPr>
            </w:pPr>
          </w:p>
        </w:tc>
        <w:tc>
          <w:tcPr>
            <w:tcW w:w="1169" w:type="dxa"/>
            <w:tcBorders>
              <w:top w:val="nil"/>
              <w:left w:val="nil"/>
              <w:bottom w:val="nil"/>
              <w:right w:val="nil"/>
            </w:tcBorders>
            <w:shd w:val="clear" w:color="auto" w:fill="auto"/>
            <w:noWrap/>
            <w:vAlign w:val="bottom"/>
            <w:hideMark/>
          </w:tcPr>
          <w:p w:rsidR="00420853" w:rsidRPr="00420853" w:rsidRDefault="00420853" w:rsidP="00420853">
            <w:pPr>
              <w:overflowPunct/>
              <w:autoSpaceDE/>
              <w:autoSpaceDN/>
              <w:adjustRightInd/>
              <w:spacing w:line="240" w:lineRule="auto"/>
              <w:jc w:val="center"/>
              <w:textAlignment w:val="auto"/>
              <w:rPr>
                <w:rFonts w:ascii="Calibri" w:hAnsi="Calibri" w:cs="Calibri"/>
                <w:color w:val="000000"/>
                <w:sz w:val="22"/>
                <w:szCs w:val="22"/>
                <w:lang w:val="en-US"/>
              </w:rPr>
            </w:pPr>
          </w:p>
        </w:tc>
        <w:tc>
          <w:tcPr>
            <w:tcW w:w="1190" w:type="dxa"/>
            <w:tcBorders>
              <w:top w:val="nil"/>
              <w:left w:val="nil"/>
              <w:bottom w:val="nil"/>
              <w:right w:val="single" w:sz="4" w:space="0" w:color="auto"/>
            </w:tcBorders>
            <w:shd w:val="clear" w:color="auto" w:fill="auto"/>
            <w:noWrap/>
            <w:vAlign w:val="bottom"/>
            <w:hideMark/>
          </w:tcPr>
          <w:p w:rsidR="00420853" w:rsidRPr="00420853" w:rsidRDefault="00420853" w:rsidP="00420853">
            <w:pPr>
              <w:overflowPunct/>
              <w:autoSpaceDE/>
              <w:autoSpaceDN/>
              <w:adjustRightInd/>
              <w:spacing w:line="240" w:lineRule="auto"/>
              <w:jc w:val="center"/>
              <w:textAlignment w:val="auto"/>
              <w:rPr>
                <w:rFonts w:ascii="Calibri" w:hAnsi="Calibri" w:cs="Calibri"/>
                <w:color w:val="000000"/>
                <w:sz w:val="22"/>
                <w:szCs w:val="22"/>
                <w:lang w:val="en-US"/>
              </w:rPr>
            </w:pPr>
            <w:r w:rsidRPr="00420853">
              <w:rPr>
                <w:rFonts w:ascii="Calibri" w:hAnsi="Calibri" w:cs="Calibri"/>
                <w:color w:val="000000"/>
                <w:sz w:val="22"/>
                <w:szCs w:val="22"/>
                <w:lang w:val="en-US"/>
              </w:rPr>
              <w:t> </w:t>
            </w:r>
          </w:p>
        </w:tc>
      </w:tr>
      <w:tr w:rsidR="00420853" w:rsidRPr="00420853" w:rsidTr="00420853">
        <w:trPr>
          <w:trHeight w:val="316"/>
        </w:trPr>
        <w:tc>
          <w:tcPr>
            <w:tcW w:w="3389" w:type="dxa"/>
            <w:tcBorders>
              <w:top w:val="nil"/>
              <w:left w:val="single" w:sz="4" w:space="0" w:color="auto"/>
              <w:bottom w:val="nil"/>
              <w:right w:val="nil"/>
            </w:tcBorders>
            <w:shd w:val="clear" w:color="auto" w:fill="auto"/>
            <w:hideMark/>
          </w:tcPr>
          <w:p w:rsidR="00420853" w:rsidRPr="00420853" w:rsidRDefault="00420853" w:rsidP="00420853">
            <w:pPr>
              <w:overflowPunct/>
              <w:autoSpaceDE/>
              <w:autoSpaceDN/>
              <w:adjustRightInd/>
              <w:spacing w:line="240" w:lineRule="auto"/>
              <w:textAlignment w:val="auto"/>
              <w:rPr>
                <w:rFonts w:ascii="Calibri" w:hAnsi="Calibri" w:cs="Calibri"/>
                <w:b/>
                <w:bCs/>
                <w:color w:val="000000"/>
                <w:sz w:val="22"/>
                <w:szCs w:val="22"/>
                <w:lang w:val="en-US"/>
              </w:rPr>
            </w:pPr>
            <w:r w:rsidRPr="00420853">
              <w:rPr>
                <w:rFonts w:ascii="Calibri" w:hAnsi="Calibri" w:cs="Calibri"/>
                <w:b/>
                <w:bCs/>
                <w:color w:val="000000"/>
                <w:sz w:val="22"/>
                <w:szCs w:val="22"/>
                <w:lang w:val="en-US"/>
              </w:rPr>
              <w:t>Total assets</w:t>
            </w:r>
          </w:p>
        </w:tc>
        <w:tc>
          <w:tcPr>
            <w:tcW w:w="692" w:type="dxa"/>
            <w:tcBorders>
              <w:top w:val="nil"/>
              <w:left w:val="nil"/>
              <w:bottom w:val="nil"/>
              <w:right w:val="nil"/>
            </w:tcBorders>
            <w:shd w:val="clear" w:color="auto" w:fill="auto"/>
            <w:hideMark/>
          </w:tcPr>
          <w:p w:rsidR="00420853" w:rsidRPr="00420853" w:rsidRDefault="00420853" w:rsidP="00420853">
            <w:pPr>
              <w:overflowPunct/>
              <w:autoSpaceDE/>
              <w:autoSpaceDN/>
              <w:adjustRightInd/>
              <w:spacing w:line="240" w:lineRule="auto"/>
              <w:jc w:val="center"/>
              <w:textAlignment w:val="auto"/>
              <w:rPr>
                <w:rFonts w:ascii="Calibri" w:hAnsi="Calibri" w:cs="Calibri"/>
                <w:color w:val="000000"/>
                <w:sz w:val="22"/>
                <w:szCs w:val="22"/>
                <w:lang w:val="en-US"/>
              </w:rPr>
            </w:pPr>
          </w:p>
        </w:tc>
        <w:tc>
          <w:tcPr>
            <w:tcW w:w="369" w:type="dxa"/>
            <w:tcBorders>
              <w:top w:val="nil"/>
              <w:left w:val="nil"/>
              <w:bottom w:val="nil"/>
              <w:right w:val="nil"/>
            </w:tcBorders>
            <w:shd w:val="clear" w:color="auto" w:fill="auto"/>
            <w:hideMark/>
          </w:tcPr>
          <w:p w:rsidR="00420853" w:rsidRPr="00420853" w:rsidRDefault="00420853" w:rsidP="00420853">
            <w:pPr>
              <w:overflowPunct/>
              <w:autoSpaceDE/>
              <w:autoSpaceDN/>
              <w:adjustRightInd/>
              <w:spacing w:line="240" w:lineRule="auto"/>
              <w:ind w:firstLineChars="100" w:firstLine="220"/>
              <w:jc w:val="right"/>
              <w:textAlignment w:val="auto"/>
              <w:rPr>
                <w:rFonts w:ascii="Calibri" w:hAnsi="Calibri" w:cs="Calibri"/>
                <w:color w:val="000000"/>
                <w:sz w:val="22"/>
                <w:szCs w:val="22"/>
                <w:lang w:val="en-US"/>
              </w:rPr>
            </w:pPr>
          </w:p>
        </w:tc>
        <w:tc>
          <w:tcPr>
            <w:tcW w:w="1081" w:type="dxa"/>
            <w:tcBorders>
              <w:top w:val="nil"/>
              <w:left w:val="nil"/>
              <w:bottom w:val="nil"/>
              <w:right w:val="nil"/>
            </w:tcBorders>
            <w:shd w:val="clear" w:color="auto" w:fill="auto"/>
            <w:hideMark/>
          </w:tcPr>
          <w:p w:rsidR="00420853" w:rsidRPr="00420853" w:rsidRDefault="00420853" w:rsidP="00420853">
            <w:pPr>
              <w:overflowPunct/>
              <w:autoSpaceDE/>
              <w:autoSpaceDN/>
              <w:adjustRightInd/>
              <w:spacing w:line="240" w:lineRule="auto"/>
              <w:ind w:firstLineChars="100" w:firstLine="220"/>
              <w:jc w:val="right"/>
              <w:textAlignment w:val="auto"/>
              <w:rPr>
                <w:rFonts w:ascii="Calibri" w:hAnsi="Calibri" w:cs="Calibri"/>
                <w:color w:val="000000"/>
                <w:sz w:val="22"/>
                <w:szCs w:val="22"/>
                <w:lang w:val="en-US"/>
              </w:rPr>
            </w:pPr>
          </w:p>
        </w:tc>
        <w:tc>
          <w:tcPr>
            <w:tcW w:w="1226" w:type="dxa"/>
            <w:tcBorders>
              <w:top w:val="single" w:sz="4" w:space="0" w:color="auto"/>
              <w:left w:val="nil"/>
              <w:bottom w:val="double" w:sz="6" w:space="0" w:color="auto"/>
              <w:right w:val="nil"/>
            </w:tcBorders>
            <w:shd w:val="clear" w:color="auto" w:fill="auto"/>
            <w:noWrap/>
            <w:vAlign w:val="bottom"/>
            <w:hideMark/>
          </w:tcPr>
          <w:p w:rsidR="00420853" w:rsidRPr="00420853" w:rsidRDefault="00420853" w:rsidP="00420853">
            <w:pPr>
              <w:overflowPunct/>
              <w:autoSpaceDE/>
              <w:autoSpaceDN/>
              <w:adjustRightInd/>
              <w:spacing w:line="240" w:lineRule="auto"/>
              <w:jc w:val="right"/>
              <w:textAlignment w:val="auto"/>
              <w:rPr>
                <w:rFonts w:ascii="Calibri" w:hAnsi="Calibri" w:cs="Calibri"/>
                <w:color w:val="000000"/>
                <w:sz w:val="22"/>
                <w:szCs w:val="22"/>
                <w:lang w:val="en-US"/>
              </w:rPr>
            </w:pPr>
            <w:r w:rsidRPr="00420853">
              <w:rPr>
                <w:rFonts w:ascii="Calibri" w:hAnsi="Calibri" w:cs="Calibri"/>
                <w:color w:val="000000"/>
                <w:sz w:val="22"/>
                <w:szCs w:val="22"/>
                <w:lang w:val="en-US"/>
              </w:rPr>
              <w:t xml:space="preserve"> 1'529'320 </w:t>
            </w:r>
          </w:p>
        </w:tc>
        <w:tc>
          <w:tcPr>
            <w:tcW w:w="274" w:type="dxa"/>
            <w:tcBorders>
              <w:top w:val="nil"/>
              <w:left w:val="nil"/>
              <w:bottom w:val="nil"/>
              <w:right w:val="nil"/>
            </w:tcBorders>
            <w:shd w:val="clear" w:color="auto" w:fill="auto"/>
            <w:noWrap/>
            <w:vAlign w:val="bottom"/>
            <w:hideMark/>
          </w:tcPr>
          <w:p w:rsidR="00420853" w:rsidRPr="00420853" w:rsidRDefault="00420853" w:rsidP="00420853">
            <w:pPr>
              <w:overflowPunct/>
              <w:autoSpaceDE/>
              <w:autoSpaceDN/>
              <w:adjustRightInd/>
              <w:spacing w:line="240" w:lineRule="auto"/>
              <w:textAlignment w:val="auto"/>
              <w:rPr>
                <w:rFonts w:ascii="Calibri" w:hAnsi="Calibri" w:cs="Calibri"/>
                <w:color w:val="000000"/>
                <w:sz w:val="22"/>
                <w:szCs w:val="22"/>
                <w:lang w:val="en-US"/>
              </w:rPr>
            </w:pPr>
          </w:p>
        </w:tc>
        <w:tc>
          <w:tcPr>
            <w:tcW w:w="1169" w:type="dxa"/>
            <w:tcBorders>
              <w:top w:val="nil"/>
              <w:left w:val="nil"/>
              <w:bottom w:val="nil"/>
              <w:right w:val="nil"/>
            </w:tcBorders>
            <w:shd w:val="clear" w:color="auto" w:fill="auto"/>
            <w:hideMark/>
          </w:tcPr>
          <w:p w:rsidR="00420853" w:rsidRPr="00420853" w:rsidRDefault="00420853" w:rsidP="00420853">
            <w:pPr>
              <w:overflowPunct/>
              <w:autoSpaceDE/>
              <w:autoSpaceDN/>
              <w:adjustRightInd/>
              <w:spacing w:line="240" w:lineRule="auto"/>
              <w:ind w:firstLineChars="100" w:firstLine="220"/>
              <w:jc w:val="right"/>
              <w:textAlignment w:val="auto"/>
              <w:rPr>
                <w:rFonts w:ascii="Calibri" w:hAnsi="Calibri" w:cs="Calibri"/>
                <w:color w:val="000000"/>
                <w:sz w:val="22"/>
                <w:szCs w:val="22"/>
                <w:lang w:val="en-US"/>
              </w:rPr>
            </w:pPr>
          </w:p>
        </w:tc>
        <w:tc>
          <w:tcPr>
            <w:tcW w:w="1190" w:type="dxa"/>
            <w:tcBorders>
              <w:top w:val="single" w:sz="4" w:space="0" w:color="auto"/>
              <w:left w:val="nil"/>
              <w:bottom w:val="double" w:sz="6" w:space="0" w:color="auto"/>
              <w:right w:val="single" w:sz="4" w:space="0" w:color="auto"/>
            </w:tcBorders>
            <w:shd w:val="clear" w:color="auto" w:fill="auto"/>
            <w:noWrap/>
            <w:vAlign w:val="bottom"/>
            <w:hideMark/>
          </w:tcPr>
          <w:p w:rsidR="00420853" w:rsidRPr="00420853" w:rsidRDefault="00420853" w:rsidP="00420853">
            <w:pPr>
              <w:overflowPunct/>
              <w:autoSpaceDE/>
              <w:autoSpaceDN/>
              <w:adjustRightInd/>
              <w:spacing w:line="240" w:lineRule="auto"/>
              <w:jc w:val="right"/>
              <w:textAlignment w:val="auto"/>
              <w:rPr>
                <w:rFonts w:ascii="Calibri" w:hAnsi="Calibri" w:cs="Calibri"/>
                <w:color w:val="000000"/>
                <w:sz w:val="22"/>
                <w:szCs w:val="22"/>
                <w:lang w:val="en-US"/>
              </w:rPr>
            </w:pPr>
            <w:r w:rsidRPr="00420853">
              <w:rPr>
                <w:rFonts w:ascii="Calibri" w:hAnsi="Calibri" w:cs="Calibri"/>
                <w:color w:val="000000"/>
                <w:sz w:val="22"/>
                <w:szCs w:val="22"/>
                <w:lang w:val="en-US"/>
              </w:rPr>
              <w:t xml:space="preserve"> 2'228'999 </w:t>
            </w:r>
          </w:p>
        </w:tc>
      </w:tr>
      <w:tr w:rsidR="00420853" w:rsidRPr="00420853" w:rsidTr="00420853">
        <w:trPr>
          <w:trHeight w:val="316"/>
        </w:trPr>
        <w:tc>
          <w:tcPr>
            <w:tcW w:w="3389" w:type="dxa"/>
            <w:tcBorders>
              <w:top w:val="nil"/>
              <w:left w:val="single" w:sz="4" w:space="0" w:color="auto"/>
              <w:bottom w:val="single" w:sz="4" w:space="0" w:color="auto"/>
              <w:right w:val="nil"/>
            </w:tcBorders>
            <w:shd w:val="clear" w:color="auto" w:fill="auto"/>
            <w:hideMark/>
          </w:tcPr>
          <w:p w:rsidR="00420853" w:rsidRPr="00420853" w:rsidRDefault="00420853" w:rsidP="00420853">
            <w:pPr>
              <w:overflowPunct/>
              <w:autoSpaceDE/>
              <w:autoSpaceDN/>
              <w:adjustRightInd/>
              <w:spacing w:line="240" w:lineRule="auto"/>
              <w:textAlignment w:val="auto"/>
              <w:rPr>
                <w:rFonts w:ascii="Calibri" w:hAnsi="Calibri" w:cs="Calibri"/>
                <w:b/>
                <w:bCs/>
                <w:color w:val="000000"/>
                <w:sz w:val="22"/>
                <w:szCs w:val="22"/>
                <w:lang w:val="en-US"/>
              </w:rPr>
            </w:pPr>
            <w:r w:rsidRPr="00420853">
              <w:rPr>
                <w:rFonts w:ascii="Calibri" w:hAnsi="Calibri" w:cs="Calibri"/>
                <w:b/>
                <w:bCs/>
                <w:color w:val="000000"/>
                <w:sz w:val="22"/>
                <w:szCs w:val="22"/>
                <w:lang w:val="en-US"/>
              </w:rPr>
              <w:t> </w:t>
            </w:r>
          </w:p>
        </w:tc>
        <w:tc>
          <w:tcPr>
            <w:tcW w:w="692" w:type="dxa"/>
            <w:tcBorders>
              <w:top w:val="nil"/>
              <w:left w:val="nil"/>
              <w:bottom w:val="single" w:sz="4" w:space="0" w:color="auto"/>
              <w:right w:val="nil"/>
            </w:tcBorders>
            <w:shd w:val="clear" w:color="auto" w:fill="auto"/>
            <w:hideMark/>
          </w:tcPr>
          <w:p w:rsidR="00420853" w:rsidRPr="00420853" w:rsidRDefault="00420853" w:rsidP="00420853">
            <w:pPr>
              <w:overflowPunct/>
              <w:autoSpaceDE/>
              <w:autoSpaceDN/>
              <w:adjustRightInd/>
              <w:spacing w:line="240" w:lineRule="auto"/>
              <w:jc w:val="center"/>
              <w:textAlignment w:val="auto"/>
              <w:rPr>
                <w:rFonts w:ascii="Calibri" w:hAnsi="Calibri" w:cs="Calibri"/>
                <w:b/>
                <w:bCs/>
                <w:color w:val="000000"/>
                <w:sz w:val="22"/>
                <w:szCs w:val="22"/>
                <w:lang w:val="en-US"/>
              </w:rPr>
            </w:pPr>
            <w:r w:rsidRPr="00420853">
              <w:rPr>
                <w:rFonts w:ascii="Calibri" w:hAnsi="Calibri" w:cs="Calibri"/>
                <w:b/>
                <w:bCs/>
                <w:color w:val="000000"/>
                <w:sz w:val="22"/>
                <w:szCs w:val="22"/>
                <w:lang w:val="en-US"/>
              </w:rPr>
              <w:t> </w:t>
            </w:r>
          </w:p>
        </w:tc>
        <w:tc>
          <w:tcPr>
            <w:tcW w:w="369" w:type="dxa"/>
            <w:tcBorders>
              <w:top w:val="nil"/>
              <w:left w:val="nil"/>
              <w:bottom w:val="single" w:sz="4" w:space="0" w:color="auto"/>
              <w:right w:val="nil"/>
            </w:tcBorders>
            <w:shd w:val="clear" w:color="auto" w:fill="auto"/>
            <w:hideMark/>
          </w:tcPr>
          <w:p w:rsidR="00420853" w:rsidRPr="00420853" w:rsidRDefault="00420853" w:rsidP="00420853">
            <w:pPr>
              <w:overflowPunct/>
              <w:autoSpaceDE/>
              <w:autoSpaceDN/>
              <w:adjustRightInd/>
              <w:spacing w:line="240" w:lineRule="auto"/>
              <w:ind w:firstLineChars="100" w:firstLine="221"/>
              <w:jc w:val="right"/>
              <w:textAlignment w:val="auto"/>
              <w:rPr>
                <w:rFonts w:ascii="Calibri" w:hAnsi="Calibri" w:cs="Calibri"/>
                <w:b/>
                <w:bCs/>
                <w:color w:val="000000"/>
                <w:sz w:val="22"/>
                <w:szCs w:val="22"/>
                <w:lang w:val="en-US"/>
              </w:rPr>
            </w:pPr>
            <w:r w:rsidRPr="00420853">
              <w:rPr>
                <w:rFonts w:ascii="Calibri" w:hAnsi="Calibri" w:cs="Calibri"/>
                <w:b/>
                <w:bCs/>
                <w:color w:val="000000"/>
                <w:sz w:val="22"/>
                <w:szCs w:val="22"/>
                <w:lang w:val="en-US"/>
              </w:rPr>
              <w:t> </w:t>
            </w:r>
          </w:p>
        </w:tc>
        <w:tc>
          <w:tcPr>
            <w:tcW w:w="1081" w:type="dxa"/>
            <w:tcBorders>
              <w:top w:val="nil"/>
              <w:left w:val="nil"/>
              <w:bottom w:val="single" w:sz="4" w:space="0" w:color="auto"/>
              <w:right w:val="nil"/>
            </w:tcBorders>
            <w:shd w:val="clear" w:color="auto" w:fill="auto"/>
            <w:hideMark/>
          </w:tcPr>
          <w:p w:rsidR="00420853" w:rsidRPr="00420853" w:rsidRDefault="00420853" w:rsidP="00420853">
            <w:pPr>
              <w:overflowPunct/>
              <w:autoSpaceDE/>
              <w:autoSpaceDN/>
              <w:adjustRightInd/>
              <w:spacing w:line="240" w:lineRule="auto"/>
              <w:ind w:firstLineChars="100" w:firstLine="221"/>
              <w:jc w:val="right"/>
              <w:textAlignment w:val="auto"/>
              <w:rPr>
                <w:rFonts w:ascii="Calibri" w:hAnsi="Calibri" w:cs="Calibri"/>
                <w:b/>
                <w:bCs/>
                <w:color w:val="000000"/>
                <w:sz w:val="22"/>
                <w:szCs w:val="22"/>
                <w:lang w:val="en-US"/>
              </w:rPr>
            </w:pPr>
            <w:r w:rsidRPr="00420853">
              <w:rPr>
                <w:rFonts w:ascii="Calibri" w:hAnsi="Calibri" w:cs="Calibri"/>
                <w:b/>
                <w:bCs/>
                <w:color w:val="000000"/>
                <w:sz w:val="22"/>
                <w:szCs w:val="22"/>
                <w:lang w:val="en-US"/>
              </w:rPr>
              <w:t> </w:t>
            </w:r>
          </w:p>
        </w:tc>
        <w:tc>
          <w:tcPr>
            <w:tcW w:w="1226" w:type="dxa"/>
            <w:tcBorders>
              <w:top w:val="nil"/>
              <w:left w:val="nil"/>
              <w:bottom w:val="single" w:sz="4" w:space="0" w:color="auto"/>
              <w:right w:val="nil"/>
            </w:tcBorders>
            <w:shd w:val="clear" w:color="auto" w:fill="auto"/>
            <w:hideMark/>
          </w:tcPr>
          <w:p w:rsidR="00420853" w:rsidRPr="00420853" w:rsidRDefault="00420853" w:rsidP="00420853">
            <w:pPr>
              <w:overflowPunct/>
              <w:autoSpaceDE/>
              <w:autoSpaceDN/>
              <w:adjustRightInd/>
              <w:spacing w:line="240" w:lineRule="auto"/>
              <w:ind w:firstLineChars="100" w:firstLine="221"/>
              <w:jc w:val="right"/>
              <w:textAlignment w:val="auto"/>
              <w:rPr>
                <w:rFonts w:ascii="Calibri" w:hAnsi="Calibri" w:cs="Calibri"/>
                <w:b/>
                <w:bCs/>
                <w:color w:val="000000"/>
                <w:sz w:val="22"/>
                <w:szCs w:val="22"/>
                <w:lang w:val="en-US"/>
              </w:rPr>
            </w:pPr>
            <w:r w:rsidRPr="00420853">
              <w:rPr>
                <w:rFonts w:ascii="Calibri" w:hAnsi="Calibri" w:cs="Calibri"/>
                <w:b/>
                <w:bCs/>
                <w:color w:val="000000"/>
                <w:sz w:val="22"/>
                <w:szCs w:val="22"/>
                <w:lang w:val="en-US"/>
              </w:rPr>
              <w:t> </w:t>
            </w:r>
          </w:p>
        </w:tc>
        <w:tc>
          <w:tcPr>
            <w:tcW w:w="274" w:type="dxa"/>
            <w:tcBorders>
              <w:top w:val="nil"/>
              <w:left w:val="nil"/>
              <w:bottom w:val="single" w:sz="4" w:space="0" w:color="auto"/>
              <w:right w:val="nil"/>
            </w:tcBorders>
            <w:shd w:val="clear" w:color="auto" w:fill="auto"/>
            <w:hideMark/>
          </w:tcPr>
          <w:p w:rsidR="00420853" w:rsidRPr="00420853" w:rsidRDefault="00420853" w:rsidP="00420853">
            <w:pPr>
              <w:overflowPunct/>
              <w:autoSpaceDE/>
              <w:autoSpaceDN/>
              <w:adjustRightInd/>
              <w:spacing w:line="240" w:lineRule="auto"/>
              <w:ind w:firstLineChars="100" w:firstLine="221"/>
              <w:jc w:val="right"/>
              <w:textAlignment w:val="auto"/>
              <w:rPr>
                <w:rFonts w:ascii="Calibri" w:hAnsi="Calibri" w:cs="Calibri"/>
                <w:b/>
                <w:bCs/>
                <w:color w:val="000000"/>
                <w:sz w:val="22"/>
                <w:szCs w:val="22"/>
                <w:lang w:val="en-US"/>
              </w:rPr>
            </w:pPr>
            <w:r w:rsidRPr="00420853">
              <w:rPr>
                <w:rFonts w:ascii="Calibri" w:hAnsi="Calibri" w:cs="Calibri"/>
                <w:b/>
                <w:bCs/>
                <w:color w:val="000000"/>
                <w:sz w:val="22"/>
                <w:szCs w:val="22"/>
                <w:lang w:val="en-US"/>
              </w:rPr>
              <w:t> </w:t>
            </w:r>
          </w:p>
        </w:tc>
        <w:tc>
          <w:tcPr>
            <w:tcW w:w="1169" w:type="dxa"/>
            <w:tcBorders>
              <w:top w:val="nil"/>
              <w:left w:val="nil"/>
              <w:bottom w:val="single" w:sz="4" w:space="0" w:color="auto"/>
              <w:right w:val="nil"/>
            </w:tcBorders>
            <w:shd w:val="clear" w:color="auto" w:fill="auto"/>
            <w:noWrap/>
            <w:vAlign w:val="bottom"/>
            <w:hideMark/>
          </w:tcPr>
          <w:p w:rsidR="00420853" w:rsidRPr="00420853" w:rsidRDefault="00420853" w:rsidP="00420853">
            <w:pPr>
              <w:overflowPunct/>
              <w:autoSpaceDE/>
              <w:autoSpaceDN/>
              <w:adjustRightInd/>
              <w:spacing w:line="240" w:lineRule="auto"/>
              <w:jc w:val="right"/>
              <w:textAlignment w:val="auto"/>
              <w:rPr>
                <w:rFonts w:ascii="Calibri" w:hAnsi="Calibri" w:cs="Calibri"/>
                <w:color w:val="8064A2"/>
                <w:sz w:val="22"/>
                <w:szCs w:val="22"/>
                <w:lang w:val="en-US"/>
              </w:rPr>
            </w:pPr>
            <w:r w:rsidRPr="00420853">
              <w:rPr>
                <w:rFonts w:ascii="Calibri" w:hAnsi="Calibri" w:cs="Calibri"/>
                <w:color w:val="8064A2"/>
                <w:sz w:val="22"/>
                <w:szCs w:val="22"/>
                <w:lang w:val="en-US"/>
              </w:rPr>
              <w:t> </w:t>
            </w:r>
          </w:p>
        </w:tc>
        <w:tc>
          <w:tcPr>
            <w:tcW w:w="1190" w:type="dxa"/>
            <w:tcBorders>
              <w:top w:val="nil"/>
              <w:left w:val="nil"/>
              <w:bottom w:val="single" w:sz="4" w:space="0" w:color="auto"/>
              <w:right w:val="single" w:sz="4" w:space="0" w:color="auto"/>
            </w:tcBorders>
            <w:shd w:val="clear" w:color="auto" w:fill="auto"/>
            <w:noWrap/>
            <w:vAlign w:val="bottom"/>
            <w:hideMark/>
          </w:tcPr>
          <w:p w:rsidR="00420853" w:rsidRPr="00420853" w:rsidRDefault="00420853" w:rsidP="00420853">
            <w:pPr>
              <w:overflowPunct/>
              <w:autoSpaceDE/>
              <w:autoSpaceDN/>
              <w:adjustRightInd/>
              <w:spacing w:line="240" w:lineRule="auto"/>
              <w:jc w:val="right"/>
              <w:textAlignment w:val="auto"/>
              <w:rPr>
                <w:rFonts w:ascii="Calibri" w:hAnsi="Calibri" w:cs="Calibri"/>
                <w:color w:val="8064A2"/>
                <w:sz w:val="22"/>
                <w:szCs w:val="22"/>
                <w:lang w:val="en-US"/>
              </w:rPr>
            </w:pPr>
            <w:r w:rsidRPr="00420853">
              <w:rPr>
                <w:rFonts w:ascii="Calibri" w:hAnsi="Calibri" w:cs="Calibri"/>
                <w:color w:val="8064A2"/>
                <w:sz w:val="22"/>
                <w:szCs w:val="22"/>
                <w:lang w:val="en-US"/>
              </w:rPr>
              <w:t> </w:t>
            </w:r>
          </w:p>
        </w:tc>
      </w:tr>
    </w:tbl>
    <w:p w:rsidR="00420853" w:rsidRDefault="00420853" w:rsidP="000F5CCC">
      <w:pPr>
        <w:pStyle w:val="Style000"/>
        <w:rPr>
          <w:rFonts w:cs="Arial"/>
        </w:rPr>
      </w:pPr>
    </w:p>
    <w:p w:rsidR="003A5625" w:rsidRDefault="003A5625" w:rsidP="000F5CCC">
      <w:pPr>
        <w:pStyle w:val="Style000"/>
        <w:rPr>
          <w:rFonts w:cs="Arial"/>
        </w:rPr>
      </w:pPr>
    </w:p>
    <w:p w:rsidR="003A5625" w:rsidRPr="00D756D3" w:rsidRDefault="003A5625" w:rsidP="000F5CCC">
      <w:pPr>
        <w:pStyle w:val="Style000"/>
        <w:rPr>
          <w:rFonts w:cs="Arial"/>
        </w:rPr>
      </w:pPr>
    </w:p>
    <w:p w:rsidR="000F5CCC" w:rsidRPr="00D756D3" w:rsidRDefault="000F5CCC" w:rsidP="000F5CCC">
      <w:pPr>
        <w:pStyle w:val="Style000"/>
        <w:rPr>
          <w:rFonts w:cs="Arial"/>
        </w:rPr>
      </w:pPr>
    </w:p>
    <w:p w:rsidR="000F5CCC" w:rsidRPr="00D756D3" w:rsidRDefault="000F5CCC" w:rsidP="000F5CCC">
      <w:pPr>
        <w:pStyle w:val="Style000"/>
        <w:rPr>
          <w:rFonts w:cs="Arial"/>
        </w:rPr>
      </w:pPr>
    </w:p>
    <w:p w:rsidR="000F5CCC" w:rsidRPr="00D756D3" w:rsidRDefault="000F5CCC" w:rsidP="000039D1">
      <w:pPr>
        <w:pStyle w:val="407"/>
        <w:tabs>
          <w:tab w:val="left" w:pos="6279"/>
        </w:tabs>
        <w:rPr>
          <w:rFonts w:ascii="Arial" w:hAnsi="Arial" w:cs="Arial"/>
          <w:szCs w:val="24"/>
        </w:rPr>
      </w:pPr>
      <w:r w:rsidRPr="00D756D3">
        <w:rPr>
          <w:rFonts w:ascii="Arial" w:hAnsi="Arial" w:cs="Arial"/>
          <w:szCs w:val="24"/>
        </w:rPr>
        <w:tab/>
      </w:r>
      <w:r w:rsidRPr="00D756D3">
        <w:rPr>
          <w:rFonts w:ascii="Arial" w:hAnsi="Arial" w:cs="Arial"/>
          <w:szCs w:val="24"/>
        </w:rPr>
        <w:tab/>
      </w:r>
    </w:p>
    <w:p w:rsidR="000F5CCC" w:rsidRPr="00D756D3" w:rsidRDefault="000F5CCC" w:rsidP="000F5CCC">
      <w:pPr>
        <w:pStyle w:val="Style000"/>
        <w:rPr>
          <w:rFonts w:cs="Arial"/>
        </w:rPr>
      </w:pPr>
    </w:p>
    <w:p w:rsidR="000F5CCC" w:rsidRPr="00D756D3" w:rsidRDefault="000F5CCC" w:rsidP="000F5CCC">
      <w:pPr>
        <w:pStyle w:val="Style000"/>
        <w:rPr>
          <w:rFonts w:cs="Arial"/>
        </w:rPr>
      </w:pPr>
    </w:p>
    <w:p w:rsidR="000F5CCC" w:rsidRPr="00D756D3" w:rsidRDefault="000F5CCC" w:rsidP="000F5CCC">
      <w:pPr>
        <w:pStyle w:val="Style000"/>
        <w:rPr>
          <w:rFonts w:cs="Arial"/>
        </w:rPr>
      </w:pPr>
    </w:p>
    <w:p w:rsidR="00420853" w:rsidRDefault="00420853" w:rsidP="000F5CCC">
      <w:pPr>
        <w:pStyle w:val="070"/>
        <w:rPr>
          <w:rFonts w:cs="Arial"/>
          <w:bCs/>
        </w:rPr>
      </w:pPr>
    </w:p>
    <w:p w:rsidR="00420853" w:rsidRDefault="00420853" w:rsidP="000F5CCC">
      <w:pPr>
        <w:pStyle w:val="070"/>
        <w:rPr>
          <w:rFonts w:cs="Arial"/>
          <w:bCs/>
        </w:rPr>
      </w:pPr>
    </w:p>
    <w:p w:rsidR="00420853" w:rsidRDefault="00420853" w:rsidP="000F5CCC">
      <w:pPr>
        <w:pStyle w:val="070"/>
        <w:rPr>
          <w:rFonts w:cs="Arial"/>
          <w:bCs/>
        </w:rPr>
      </w:pPr>
    </w:p>
    <w:p w:rsidR="00420853" w:rsidRDefault="00420853" w:rsidP="000F5CCC">
      <w:pPr>
        <w:pStyle w:val="070"/>
        <w:rPr>
          <w:rFonts w:cs="Arial"/>
          <w:bCs/>
        </w:rPr>
      </w:pPr>
    </w:p>
    <w:p w:rsidR="00420853" w:rsidRDefault="00420853" w:rsidP="000F5CCC">
      <w:pPr>
        <w:pStyle w:val="070"/>
        <w:rPr>
          <w:rFonts w:cs="Arial"/>
          <w:bCs/>
        </w:rPr>
      </w:pPr>
    </w:p>
    <w:p w:rsidR="00420853" w:rsidRDefault="00420853" w:rsidP="000F5CCC">
      <w:pPr>
        <w:pStyle w:val="070"/>
        <w:rPr>
          <w:rFonts w:cs="Arial"/>
          <w:bCs/>
        </w:rPr>
      </w:pPr>
    </w:p>
    <w:p w:rsidR="00420853" w:rsidRDefault="00420853" w:rsidP="000F5CCC">
      <w:pPr>
        <w:pStyle w:val="070"/>
        <w:rPr>
          <w:rFonts w:cs="Arial"/>
          <w:bCs/>
        </w:rPr>
      </w:pPr>
    </w:p>
    <w:p w:rsidR="00420853" w:rsidRDefault="00420853" w:rsidP="000F5CCC">
      <w:pPr>
        <w:pStyle w:val="070"/>
        <w:rPr>
          <w:rFonts w:cs="Arial"/>
          <w:bCs/>
        </w:rPr>
      </w:pPr>
    </w:p>
    <w:p w:rsidR="00420853" w:rsidRDefault="00420853" w:rsidP="000F5CCC">
      <w:pPr>
        <w:pStyle w:val="070"/>
        <w:rPr>
          <w:rFonts w:cs="Arial"/>
          <w:bCs/>
        </w:rPr>
      </w:pPr>
    </w:p>
    <w:p w:rsidR="00420853" w:rsidRDefault="00420853" w:rsidP="000F5CCC">
      <w:pPr>
        <w:pStyle w:val="070"/>
        <w:rPr>
          <w:rFonts w:cs="Arial"/>
          <w:bCs/>
        </w:rPr>
      </w:pPr>
    </w:p>
    <w:p w:rsidR="00420853" w:rsidRDefault="00420853" w:rsidP="000F5CCC">
      <w:pPr>
        <w:pStyle w:val="070"/>
        <w:rPr>
          <w:rFonts w:cs="Arial"/>
          <w:bCs/>
        </w:rPr>
      </w:pPr>
    </w:p>
    <w:p w:rsidR="00420853" w:rsidRDefault="00420853" w:rsidP="000F5CCC">
      <w:pPr>
        <w:pStyle w:val="070"/>
        <w:rPr>
          <w:rFonts w:cs="Arial"/>
          <w:bCs/>
        </w:rPr>
      </w:pPr>
    </w:p>
    <w:p w:rsidR="00420853" w:rsidRDefault="00420853" w:rsidP="000F5CCC">
      <w:pPr>
        <w:pStyle w:val="070"/>
        <w:rPr>
          <w:rFonts w:cs="Arial"/>
          <w:bCs/>
        </w:rPr>
      </w:pPr>
    </w:p>
    <w:p w:rsidR="00420853" w:rsidRDefault="00420853" w:rsidP="000F5CCC">
      <w:pPr>
        <w:pStyle w:val="070"/>
        <w:rPr>
          <w:rFonts w:cs="Arial"/>
          <w:bCs/>
        </w:rPr>
      </w:pPr>
    </w:p>
    <w:p w:rsidR="00420853" w:rsidRDefault="00420853" w:rsidP="000F5CCC">
      <w:pPr>
        <w:pStyle w:val="070"/>
        <w:rPr>
          <w:rFonts w:cs="Arial"/>
          <w:bCs/>
        </w:rPr>
      </w:pPr>
    </w:p>
    <w:p w:rsidR="000F5CCC" w:rsidRDefault="000F5CCC" w:rsidP="000F5CCC">
      <w:pPr>
        <w:pStyle w:val="070"/>
        <w:rPr>
          <w:rFonts w:cs="Arial"/>
        </w:rPr>
      </w:pPr>
      <w:r w:rsidRPr="00D756D3">
        <w:rPr>
          <w:rFonts w:cs="Arial"/>
        </w:rPr>
        <w:lastRenderedPageBreak/>
        <w:t>Shareholder</w:t>
      </w:r>
      <w:r w:rsidR="00A60BFC">
        <w:rPr>
          <w:rFonts w:cs="Arial"/>
        </w:rPr>
        <w:t>’</w:t>
      </w:r>
      <w:r w:rsidRPr="00D756D3">
        <w:rPr>
          <w:rFonts w:cs="Arial"/>
        </w:rPr>
        <w:t>s equity and liabilities</w:t>
      </w:r>
    </w:p>
    <w:p w:rsidR="003A5625" w:rsidRDefault="003A5625" w:rsidP="003A5625">
      <w:pPr>
        <w:pStyle w:val="000"/>
      </w:pPr>
    </w:p>
    <w:tbl>
      <w:tblPr>
        <w:tblW w:w="9374" w:type="dxa"/>
        <w:tblInd w:w="103" w:type="dxa"/>
        <w:tblLook w:val="04A0"/>
      </w:tblPr>
      <w:tblGrid>
        <w:gridCol w:w="3399"/>
        <w:gridCol w:w="694"/>
        <w:gridCol w:w="369"/>
        <w:gridCol w:w="1039"/>
        <w:gridCol w:w="1232"/>
        <w:gridCol w:w="275"/>
        <w:gridCol w:w="1170"/>
        <w:gridCol w:w="1196"/>
      </w:tblGrid>
      <w:tr w:rsidR="00420853" w:rsidRPr="00420853" w:rsidTr="00420853">
        <w:trPr>
          <w:trHeight w:val="300"/>
        </w:trPr>
        <w:tc>
          <w:tcPr>
            <w:tcW w:w="3399" w:type="dxa"/>
            <w:tcBorders>
              <w:top w:val="single" w:sz="4" w:space="0" w:color="auto"/>
              <w:left w:val="single" w:sz="4" w:space="0" w:color="auto"/>
              <w:bottom w:val="single" w:sz="4" w:space="0" w:color="auto"/>
              <w:right w:val="nil"/>
            </w:tcBorders>
            <w:shd w:val="clear" w:color="000000" w:fill="FFFFFF"/>
            <w:noWrap/>
            <w:vAlign w:val="bottom"/>
            <w:hideMark/>
          </w:tcPr>
          <w:p w:rsidR="00420853" w:rsidRPr="00420853" w:rsidRDefault="00420853" w:rsidP="00420853">
            <w:pPr>
              <w:overflowPunct/>
              <w:autoSpaceDE/>
              <w:autoSpaceDN/>
              <w:adjustRightInd/>
              <w:spacing w:line="240" w:lineRule="auto"/>
              <w:textAlignment w:val="auto"/>
              <w:rPr>
                <w:rFonts w:ascii="Calibri" w:hAnsi="Calibri" w:cs="Calibri"/>
                <w:i/>
                <w:iCs/>
                <w:sz w:val="22"/>
                <w:szCs w:val="22"/>
                <w:lang w:val="en-US"/>
              </w:rPr>
            </w:pPr>
            <w:r w:rsidRPr="00420853">
              <w:rPr>
                <w:rFonts w:ascii="Calibri" w:hAnsi="Calibri" w:cs="Calibri"/>
                <w:i/>
                <w:iCs/>
                <w:sz w:val="22"/>
                <w:szCs w:val="22"/>
                <w:lang w:val="en-US"/>
              </w:rPr>
              <w:t> </w:t>
            </w:r>
          </w:p>
        </w:tc>
        <w:tc>
          <w:tcPr>
            <w:tcW w:w="694" w:type="dxa"/>
            <w:tcBorders>
              <w:top w:val="single" w:sz="4" w:space="0" w:color="auto"/>
              <w:left w:val="nil"/>
              <w:bottom w:val="single" w:sz="4" w:space="0" w:color="auto"/>
              <w:right w:val="nil"/>
            </w:tcBorders>
            <w:shd w:val="clear" w:color="000000" w:fill="FFFFFF"/>
            <w:noWrap/>
            <w:vAlign w:val="bottom"/>
            <w:hideMark/>
          </w:tcPr>
          <w:p w:rsidR="00420853" w:rsidRPr="00420853" w:rsidRDefault="00420853" w:rsidP="00420853">
            <w:pPr>
              <w:overflowPunct/>
              <w:autoSpaceDE/>
              <w:autoSpaceDN/>
              <w:adjustRightInd/>
              <w:spacing w:line="240" w:lineRule="auto"/>
              <w:jc w:val="center"/>
              <w:textAlignment w:val="auto"/>
              <w:rPr>
                <w:rFonts w:ascii="Calibri" w:hAnsi="Calibri" w:cs="Calibri"/>
                <w:sz w:val="22"/>
                <w:szCs w:val="22"/>
                <w:lang w:val="en-US"/>
              </w:rPr>
            </w:pPr>
            <w:r w:rsidRPr="00420853">
              <w:rPr>
                <w:rFonts w:ascii="Calibri" w:hAnsi="Calibri" w:cs="Calibri"/>
                <w:sz w:val="22"/>
                <w:szCs w:val="22"/>
                <w:lang w:val="en-US"/>
              </w:rPr>
              <w:t>Note</w:t>
            </w:r>
          </w:p>
        </w:tc>
        <w:tc>
          <w:tcPr>
            <w:tcW w:w="369" w:type="dxa"/>
            <w:tcBorders>
              <w:top w:val="single" w:sz="4" w:space="0" w:color="auto"/>
              <w:left w:val="nil"/>
              <w:bottom w:val="nil"/>
              <w:right w:val="nil"/>
            </w:tcBorders>
            <w:shd w:val="clear" w:color="000000" w:fill="FFFFFF"/>
            <w:noWrap/>
            <w:vAlign w:val="bottom"/>
            <w:hideMark/>
          </w:tcPr>
          <w:p w:rsidR="00420853" w:rsidRPr="00420853" w:rsidRDefault="00420853" w:rsidP="00420853">
            <w:pPr>
              <w:overflowPunct/>
              <w:autoSpaceDE/>
              <w:autoSpaceDN/>
              <w:adjustRightInd/>
              <w:spacing w:line="240" w:lineRule="auto"/>
              <w:jc w:val="center"/>
              <w:textAlignment w:val="auto"/>
              <w:rPr>
                <w:rFonts w:ascii="Calibri" w:hAnsi="Calibri" w:cs="Calibri"/>
                <w:sz w:val="22"/>
                <w:szCs w:val="22"/>
                <w:lang w:val="en-US"/>
              </w:rPr>
            </w:pPr>
            <w:r w:rsidRPr="00420853">
              <w:rPr>
                <w:rFonts w:ascii="Calibri" w:hAnsi="Calibri" w:cs="Calibri"/>
                <w:sz w:val="22"/>
                <w:szCs w:val="22"/>
                <w:lang w:val="en-US"/>
              </w:rPr>
              <w:t> </w:t>
            </w:r>
          </w:p>
        </w:tc>
        <w:tc>
          <w:tcPr>
            <w:tcW w:w="2272" w:type="dxa"/>
            <w:gridSpan w:val="2"/>
            <w:tcBorders>
              <w:top w:val="single" w:sz="4" w:space="0" w:color="auto"/>
              <w:left w:val="nil"/>
              <w:bottom w:val="single" w:sz="4" w:space="0" w:color="auto"/>
              <w:right w:val="nil"/>
            </w:tcBorders>
            <w:shd w:val="clear" w:color="auto" w:fill="auto"/>
            <w:vAlign w:val="bottom"/>
            <w:hideMark/>
          </w:tcPr>
          <w:p w:rsidR="00420853" w:rsidRPr="00420853" w:rsidRDefault="00420853" w:rsidP="00420853">
            <w:pPr>
              <w:overflowPunct/>
              <w:autoSpaceDE/>
              <w:autoSpaceDN/>
              <w:adjustRightInd/>
              <w:spacing w:line="240" w:lineRule="auto"/>
              <w:jc w:val="center"/>
              <w:textAlignment w:val="auto"/>
              <w:rPr>
                <w:rFonts w:ascii="Calibri" w:hAnsi="Calibri" w:cs="Calibri"/>
                <w:sz w:val="22"/>
                <w:szCs w:val="22"/>
                <w:lang w:val="en-US"/>
              </w:rPr>
            </w:pPr>
            <w:r w:rsidRPr="00420853">
              <w:rPr>
                <w:rFonts w:ascii="Calibri" w:hAnsi="Calibri" w:cs="Calibri"/>
                <w:sz w:val="22"/>
                <w:szCs w:val="22"/>
                <w:lang w:val="en-US"/>
              </w:rPr>
              <w:t>2011</w:t>
            </w:r>
          </w:p>
        </w:tc>
        <w:tc>
          <w:tcPr>
            <w:tcW w:w="275" w:type="dxa"/>
            <w:tcBorders>
              <w:top w:val="single" w:sz="4" w:space="0" w:color="auto"/>
              <w:left w:val="nil"/>
              <w:bottom w:val="nil"/>
              <w:right w:val="nil"/>
            </w:tcBorders>
            <w:shd w:val="clear" w:color="auto" w:fill="auto"/>
            <w:noWrap/>
            <w:vAlign w:val="bottom"/>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r w:rsidRPr="00420853">
              <w:rPr>
                <w:rFonts w:ascii="Calibri" w:hAnsi="Calibri" w:cs="Calibri"/>
                <w:sz w:val="22"/>
                <w:szCs w:val="22"/>
                <w:lang w:val="en-US"/>
              </w:rPr>
              <w:t> </w:t>
            </w:r>
          </w:p>
        </w:tc>
        <w:tc>
          <w:tcPr>
            <w:tcW w:w="2365" w:type="dxa"/>
            <w:gridSpan w:val="2"/>
            <w:tcBorders>
              <w:top w:val="single" w:sz="4" w:space="0" w:color="auto"/>
              <w:left w:val="nil"/>
              <w:bottom w:val="single" w:sz="4" w:space="0" w:color="auto"/>
              <w:right w:val="single" w:sz="4" w:space="0" w:color="000000"/>
            </w:tcBorders>
            <w:shd w:val="clear" w:color="auto" w:fill="auto"/>
            <w:vAlign w:val="bottom"/>
            <w:hideMark/>
          </w:tcPr>
          <w:p w:rsidR="00420853" w:rsidRPr="00420853" w:rsidRDefault="00420853" w:rsidP="00420853">
            <w:pPr>
              <w:overflowPunct/>
              <w:autoSpaceDE/>
              <w:autoSpaceDN/>
              <w:adjustRightInd/>
              <w:spacing w:line="240" w:lineRule="auto"/>
              <w:jc w:val="center"/>
              <w:textAlignment w:val="auto"/>
              <w:rPr>
                <w:rFonts w:ascii="Calibri" w:hAnsi="Calibri" w:cs="Calibri"/>
                <w:sz w:val="22"/>
                <w:szCs w:val="22"/>
                <w:lang w:val="en-US"/>
              </w:rPr>
            </w:pPr>
            <w:r w:rsidRPr="00420853">
              <w:rPr>
                <w:rFonts w:ascii="Calibri" w:hAnsi="Calibri" w:cs="Calibri"/>
                <w:sz w:val="22"/>
                <w:szCs w:val="22"/>
                <w:lang w:val="en-US"/>
              </w:rPr>
              <w:t>2010</w:t>
            </w:r>
          </w:p>
        </w:tc>
      </w:tr>
      <w:tr w:rsidR="00420853" w:rsidRPr="00420853" w:rsidTr="00420853">
        <w:trPr>
          <w:trHeight w:val="300"/>
        </w:trPr>
        <w:tc>
          <w:tcPr>
            <w:tcW w:w="3399" w:type="dxa"/>
            <w:tcBorders>
              <w:top w:val="nil"/>
              <w:left w:val="single" w:sz="4" w:space="0" w:color="auto"/>
              <w:bottom w:val="nil"/>
              <w:right w:val="nil"/>
            </w:tcBorders>
            <w:shd w:val="clear" w:color="000000" w:fill="FFFFFF"/>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r w:rsidRPr="00420853">
              <w:rPr>
                <w:rFonts w:ascii="Calibri" w:hAnsi="Calibri" w:cs="Calibri"/>
                <w:sz w:val="22"/>
                <w:szCs w:val="22"/>
                <w:lang w:val="en-US"/>
              </w:rPr>
              <w:t>(in thousands of USD)</w:t>
            </w:r>
          </w:p>
        </w:tc>
        <w:tc>
          <w:tcPr>
            <w:tcW w:w="694" w:type="dxa"/>
            <w:tcBorders>
              <w:top w:val="nil"/>
              <w:left w:val="nil"/>
              <w:bottom w:val="nil"/>
              <w:right w:val="nil"/>
            </w:tcBorders>
            <w:shd w:val="clear" w:color="000000" w:fill="FFFFFF"/>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r w:rsidRPr="00420853">
              <w:rPr>
                <w:rFonts w:ascii="Calibri" w:hAnsi="Calibri" w:cs="Calibri"/>
                <w:sz w:val="22"/>
                <w:szCs w:val="22"/>
                <w:lang w:val="en-US"/>
              </w:rPr>
              <w:t> </w:t>
            </w:r>
          </w:p>
        </w:tc>
        <w:tc>
          <w:tcPr>
            <w:tcW w:w="369" w:type="dxa"/>
            <w:tcBorders>
              <w:top w:val="nil"/>
              <w:left w:val="nil"/>
              <w:bottom w:val="nil"/>
              <w:right w:val="nil"/>
            </w:tcBorders>
            <w:shd w:val="clear" w:color="000000" w:fill="FFFFFF"/>
            <w:hideMark/>
          </w:tcPr>
          <w:p w:rsidR="00420853" w:rsidRPr="00420853" w:rsidRDefault="00420853" w:rsidP="00420853">
            <w:pPr>
              <w:overflowPunct/>
              <w:autoSpaceDE/>
              <w:autoSpaceDN/>
              <w:adjustRightInd/>
              <w:spacing w:line="240" w:lineRule="auto"/>
              <w:ind w:firstLineChars="100" w:firstLine="220"/>
              <w:jc w:val="right"/>
              <w:textAlignment w:val="auto"/>
              <w:rPr>
                <w:rFonts w:ascii="Calibri" w:hAnsi="Calibri" w:cs="Calibri"/>
                <w:sz w:val="22"/>
                <w:szCs w:val="22"/>
                <w:lang w:val="en-US"/>
              </w:rPr>
            </w:pPr>
            <w:r w:rsidRPr="00420853">
              <w:rPr>
                <w:rFonts w:ascii="Calibri" w:hAnsi="Calibri" w:cs="Calibri"/>
                <w:sz w:val="22"/>
                <w:szCs w:val="22"/>
                <w:lang w:val="en-US"/>
              </w:rPr>
              <w:t> </w:t>
            </w:r>
          </w:p>
        </w:tc>
        <w:tc>
          <w:tcPr>
            <w:tcW w:w="1039" w:type="dxa"/>
            <w:tcBorders>
              <w:top w:val="nil"/>
              <w:left w:val="nil"/>
              <w:bottom w:val="nil"/>
              <w:right w:val="nil"/>
            </w:tcBorders>
            <w:shd w:val="clear" w:color="auto" w:fill="auto"/>
            <w:hideMark/>
          </w:tcPr>
          <w:p w:rsidR="00420853" w:rsidRPr="00420853" w:rsidRDefault="00420853" w:rsidP="00420853">
            <w:pPr>
              <w:overflowPunct/>
              <w:autoSpaceDE/>
              <w:autoSpaceDN/>
              <w:adjustRightInd/>
              <w:spacing w:line="240" w:lineRule="auto"/>
              <w:ind w:firstLineChars="100" w:firstLine="220"/>
              <w:jc w:val="right"/>
              <w:textAlignment w:val="auto"/>
              <w:rPr>
                <w:rFonts w:ascii="Calibri" w:hAnsi="Calibri" w:cs="Calibri"/>
                <w:sz w:val="22"/>
                <w:szCs w:val="22"/>
                <w:lang w:val="en-US"/>
              </w:rPr>
            </w:pPr>
          </w:p>
        </w:tc>
        <w:tc>
          <w:tcPr>
            <w:tcW w:w="1232" w:type="dxa"/>
            <w:tcBorders>
              <w:top w:val="nil"/>
              <w:left w:val="nil"/>
              <w:bottom w:val="nil"/>
              <w:right w:val="nil"/>
            </w:tcBorders>
            <w:shd w:val="clear" w:color="auto" w:fill="auto"/>
            <w:hideMark/>
          </w:tcPr>
          <w:p w:rsidR="00420853" w:rsidRPr="00420853" w:rsidRDefault="00420853" w:rsidP="00420853">
            <w:pPr>
              <w:overflowPunct/>
              <w:autoSpaceDE/>
              <w:autoSpaceDN/>
              <w:adjustRightInd/>
              <w:spacing w:line="240" w:lineRule="auto"/>
              <w:ind w:firstLineChars="100" w:firstLine="220"/>
              <w:jc w:val="right"/>
              <w:textAlignment w:val="auto"/>
              <w:rPr>
                <w:rFonts w:ascii="Calibri" w:hAnsi="Calibri" w:cs="Calibri"/>
                <w:sz w:val="22"/>
                <w:szCs w:val="22"/>
                <w:lang w:val="en-US"/>
              </w:rPr>
            </w:pPr>
          </w:p>
        </w:tc>
        <w:tc>
          <w:tcPr>
            <w:tcW w:w="275" w:type="dxa"/>
            <w:tcBorders>
              <w:top w:val="nil"/>
              <w:left w:val="nil"/>
              <w:bottom w:val="nil"/>
              <w:right w:val="nil"/>
            </w:tcBorders>
            <w:shd w:val="clear" w:color="auto" w:fill="auto"/>
            <w:noWrap/>
            <w:vAlign w:val="bottom"/>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p>
        </w:tc>
        <w:tc>
          <w:tcPr>
            <w:tcW w:w="1170" w:type="dxa"/>
            <w:tcBorders>
              <w:top w:val="nil"/>
              <w:left w:val="nil"/>
              <w:bottom w:val="nil"/>
              <w:right w:val="nil"/>
            </w:tcBorders>
            <w:shd w:val="clear" w:color="auto" w:fill="auto"/>
            <w:hideMark/>
          </w:tcPr>
          <w:p w:rsidR="00420853" w:rsidRPr="00420853" w:rsidRDefault="00420853" w:rsidP="00420853">
            <w:pPr>
              <w:overflowPunct/>
              <w:autoSpaceDE/>
              <w:autoSpaceDN/>
              <w:adjustRightInd/>
              <w:spacing w:line="240" w:lineRule="auto"/>
              <w:ind w:firstLineChars="100" w:firstLine="220"/>
              <w:jc w:val="right"/>
              <w:textAlignment w:val="auto"/>
              <w:rPr>
                <w:rFonts w:ascii="Calibri" w:hAnsi="Calibri" w:cs="Calibri"/>
                <w:sz w:val="22"/>
                <w:szCs w:val="22"/>
                <w:lang w:val="en-US"/>
              </w:rPr>
            </w:pPr>
          </w:p>
        </w:tc>
        <w:tc>
          <w:tcPr>
            <w:tcW w:w="1196" w:type="dxa"/>
            <w:tcBorders>
              <w:top w:val="nil"/>
              <w:left w:val="nil"/>
              <w:bottom w:val="nil"/>
              <w:right w:val="single" w:sz="4" w:space="0" w:color="auto"/>
            </w:tcBorders>
            <w:shd w:val="clear" w:color="auto" w:fill="auto"/>
            <w:hideMark/>
          </w:tcPr>
          <w:p w:rsidR="00420853" w:rsidRPr="00420853" w:rsidRDefault="00420853" w:rsidP="00420853">
            <w:pPr>
              <w:overflowPunct/>
              <w:autoSpaceDE/>
              <w:autoSpaceDN/>
              <w:adjustRightInd/>
              <w:spacing w:line="240" w:lineRule="auto"/>
              <w:ind w:firstLineChars="100" w:firstLine="220"/>
              <w:jc w:val="right"/>
              <w:textAlignment w:val="auto"/>
              <w:rPr>
                <w:rFonts w:ascii="Calibri" w:hAnsi="Calibri" w:cs="Calibri"/>
                <w:sz w:val="22"/>
                <w:szCs w:val="22"/>
                <w:lang w:val="en-US"/>
              </w:rPr>
            </w:pPr>
            <w:r w:rsidRPr="00420853">
              <w:rPr>
                <w:rFonts w:ascii="Calibri" w:hAnsi="Calibri" w:cs="Calibri"/>
                <w:sz w:val="22"/>
                <w:szCs w:val="22"/>
                <w:lang w:val="en-US"/>
              </w:rPr>
              <w:t> </w:t>
            </w:r>
          </w:p>
        </w:tc>
      </w:tr>
      <w:tr w:rsidR="00420853" w:rsidRPr="00420853" w:rsidTr="00420853">
        <w:trPr>
          <w:trHeight w:val="300"/>
        </w:trPr>
        <w:tc>
          <w:tcPr>
            <w:tcW w:w="3399" w:type="dxa"/>
            <w:tcBorders>
              <w:top w:val="nil"/>
              <w:left w:val="single" w:sz="4" w:space="0" w:color="auto"/>
              <w:bottom w:val="nil"/>
              <w:right w:val="nil"/>
            </w:tcBorders>
            <w:shd w:val="clear" w:color="000000" w:fill="FFFFFF"/>
            <w:hideMark/>
          </w:tcPr>
          <w:p w:rsidR="00420853" w:rsidRPr="00420853" w:rsidRDefault="00420853" w:rsidP="00420853">
            <w:pPr>
              <w:overflowPunct/>
              <w:autoSpaceDE/>
              <w:autoSpaceDN/>
              <w:adjustRightInd/>
              <w:spacing w:line="240" w:lineRule="auto"/>
              <w:textAlignment w:val="auto"/>
              <w:rPr>
                <w:rFonts w:ascii="Calibri" w:hAnsi="Calibri" w:cs="Calibri"/>
                <w:b/>
                <w:bCs/>
                <w:sz w:val="22"/>
                <w:szCs w:val="22"/>
                <w:lang w:val="en-US"/>
              </w:rPr>
            </w:pPr>
            <w:r w:rsidRPr="00420853">
              <w:rPr>
                <w:rFonts w:ascii="Calibri" w:hAnsi="Calibri" w:cs="Calibri"/>
                <w:b/>
                <w:bCs/>
                <w:sz w:val="22"/>
                <w:szCs w:val="22"/>
                <w:lang w:val="en-US"/>
              </w:rPr>
              <w:t> </w:t>
            </w:r>
          </w:p>
        </w:tc>
        <w:tc>
          <w:tcPr>
            <w:tcW w:w="694" w:type="dxa"/>
            <w:tcBorders>
              <w:top w:val="nil"/>
              <w:left w:val="nil"/>
              <w:bottom w:val="nil"/>
              <w:right w:val="nil"/>
            </w:tcBorders>
            <w:shd w:val="clear" w:color="000000" w:fill="FFFFFF"/>
            <w:hideMark/>
          </w:tcPr>
          <w:p w:rsidR="00420853" w:rsidRPr="00420853" w:rsidRDefault="00420853" w:rsidP="00420853">
            <w:pPr>
              <w:overflowPunct/>
              <w:autoSpaceDE/>
              <w:autoSpaceDN/>
              <w:adjustRightInd/>
              <w:spacing w:line="240" w:lineRule="auto"/>
              <w:jc w:val="center"/>
              <w:textAlignment w:val="auto"/>
              <w:rPr>
                <w:rFonts w:ascii="Calibri" w:hAnsi="Calibri" w:cs="Calibri"/>
                <w:sz w:val="22"/>
                <w:szCs w:val="22"/>
                <w:lang w:val="en-US"/>
              </w:rPr>
            </w:pPr>
            <w:r w:rsidRPr="00420853">
              <w:rPr>
                <w:rFonts w:ascii="Calibri" w:hAnsi="Calibri" w:cs="Calibri"/>
                <w:sz w:val="22"/>
                <w:szCs w:val="22"/>
                <w:lang w:val="en-US"/>
              </w:rPr>
              <w:t> </w:t>
            </w:r>
          </w:p>
        </w:tc>
        <w:tc>
          <w:tcPr>
            <w:tcW w:w="369" w:type="dxa"/>
            <w:tcBorders>
              <w:top w:val="nil"/>
              <w:left w:val="nil"/>
              <w:bottom w:val="nil"/>
              <w:right w:val="nil"/>
            </w:tcBorders>
            <w:shd w:val="clear" w:color="000000" w:fill="FFFFFF"/>
            <w:hideMark/>
          </w:tcPr>
          <w:p w:rsidR="00420853" w:rsidRPr="00420853" w:rsidRDefault="00420853" w:rsidP="00420853">
            <w:pPr>
              <w:overflowPunct/>
              <w:autoSpaceDE/>
              <w:autoSpaceDN/>
              <w:adjustRightInd/>
              <w:spacing w:line="240" w:lineRule="auto"/>
              <w:ind w:firstLineChars="100" w:firstLine="221"/>
              <w:jc w:val="right"/>
              <w:textAlignment w:val="auto"/>
              <w:rPr>
                <w:rFonts w:ascii="Calibri" w:hAnsi="Calibri" w:cs="Calibri"/>
                <w:b/>
                <w:bCs/>
                <w:sz w:val="22"/>
                <w:szCs w:val="22"/>
                <w:lang w:val="en-US"/>
              </w:rPr>
            </w:pPr>
            <w:r w:rsidRPr="00420853">
              <w:rPr>
                <w:rFonts w:ascii="Calibri" w:hAnsi="Calibri" w:cs="Calibri"/>
                <w:b/>
                <w:bCs/>
                <w:sz w:val="22"/>
                <w:szCs w:val="22"/>
                <w:lang w:val="en-US"/>
              </w:rPr>
              <w:t> </w:t>
            </w:r>
          </w:p>
        </w:tc>
        <w:tc>
          <w:tcPr>
            <w:tcW w:w="1039" w:type="dxa"/>
            <w:tcBorders>
              <w:top w:val="nil"/>
              <w:left w:val="nil"/>
              <w:bottom w:val="nil"/>
              <w:right w:val="nil"/>
            </w:tcBorders>
            <w:shd w:val="clear" w:color="auto" w:fill="auto"/>
            <w:hideMark/>
          </w:tcPr>
          <w:p w:rsidR="00420853" w:rsidRPr="00420853" w:rsidRDefault="00420853" w:rsidP="00420853">
            <w:pPr>
              <w:overflowPunct/>
              <w:autoSpaceDE/>
              <w:autoSpaceDN/>
              <w:adjustRightInd/>
              <w:spacing w:line="240" w:lineRule="auto"/>
              <w:ind w:firstLineChars="100" w:firstLine="221"/>
              <w:jc w:val="right"/>
              <w:textAlignment w:val="auto"/>
              <w:rPr>
                <w:rFonts w:ascii="Calibri" w:hAnsi="Calibri" w:cs="Calibri"/>
                <w:b/>
                <w:bCs/>
                <w:sz w:val="22"/>
                <w:szCs w:val="22"/>
                <w:lang w:val="en-US"/>
              </w:rPr>
            </w:pPr>
          </w:p>
        </w:tc>
        <w:tc>
          <w:tcPr>
            <w:tcW w:w="1232" w:type="dxa"/>
            <w:tcBorders>
              <w:top w:val="nil"/>
              <w:left w:val="nil"/>
              <w:bottom w:val="nil"/>
              <w:right w:val="nil"/>
            </w:tcBorders>
            <w:shd w:val="clear" w:color="auto" w:fill="auto"/>
            <w:hideMark/>
          </w:tcPr>
          <w:p w:rsidR="00420853" w:rsidRPr="00420853" w:rsidRDefault="00420853" w:rsidP="00420853">
            <w:pPr>
              <w:overflowPunct/>
              <w:autoSpaceDE/>
              <w:autoSpaceDN/>
              <w:adjustRightInd/>
              <w:spacing w:line="240" w:lineRule="auto"/>
              <w:ind w:firstLineChars="100" w:firstLine="221"/>
              <w:jc w:val="right"/>
              <w:textAlignment w:val="auto"/>
              <w:rPr>
                <w:rFonts w:ascii="Calibri" w:hAnsi="Calibri" w:cs="Calibri"/>
                <w:b/>
                <w:bCs/>
                <w:sz w:val="22"/>
                <w:szCs w:val="22"/>
                <w:lang w:val="en-US"/>
              </w:rPr>
            </w:pPr>
          </w:p>
        </w:tc>
        <w:tc>
          <w:tcPr>
            <w:tcW w:w="275" w:type="dxa"/>
            <w:tcBorders>
              <w:top w:val="nil"/>
              <w:left w:val="nil"/>
              <w:bottom w:val="nil"/>
              <w:right w:val="nil"/>
            </w:tcBorders>
            <w:shd w:val="clear" w:color="auto" w:fill="auto"/>
            <w:noWrap/>
            <w:vAlign w:val="bottom"/>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p>
        </w:tc>
        <w:tc>
          <w:tcPr>
            <w:tcW w:w="1170" w:type="dxa"/>
            <w:tcBorders>
              <w:top w:val="nil"/>
              <w:left w:val="nil"/>
              <w:bottom w:val="nil"/>
              <w:right w:val="nil"/>
            </w:tcBorders>
            <w:shd w:val="clear" w:color="auto" w:fill="auto"/>
            <w:noWrap/>
            <w:vAlign w:val="bottom"/>
            <w:hideMark/>
          </w:tcPr>
          <w:p w:rsidR="00420853" w:rsidRPr="00420853" w:rsidRDefault="00420853" w:rsidP="00420853">
            <w:pPr>
              <w:overflowPunct/>
              <w:autoSpaceDE/>
              <w:autoSpaceDN/>
              <w:adjustRightInd/>
              <w:spacing w:line="240" w:lineRule="auto"/>
              <w:jc w:val="right"/>
              <w:textAlignment w:val="auto"/>
              <w:rPr>
                <w:rFonts w:ascii="Calibri" w:hAnsi="Calibri" w:cs="Calibri"/>
                <w:sz w:val="22"/>
                <w:szCs w:val="22"/>
                <w:lang w:val="en-US"/>
              </w:rPr>
            </w:pPr>
          </w:p>
        </w:tc>
        <w:tc>
          <w:tcPr>
            <w:tcW w:w="1196" w:type="dxa"/>
            <w:tcBorders>
              <w:top w:val="nil"/>
              <w:left w:val="nil"/>
              <w:bottom w:val="nil"/>
              <w:right w:val="single" w:sz="4" w:space="0" w:color="auto"/>
            </w:tcBorders>
            <w:shd w:val="clear" w:color="auto" w:fill="auto"/>
            <w:noWrap/>
            <w:vAlign w:val="bottom"/>
            <w:hideMark/>
          </w:tcPr>
          <w:p w:rsidR="00420853" w:rsidRPr="00420853" w:rsidRDefault="00420853" w:rsidP="00420853">
            <w:pPr>
              <w:overflowPunct/>
              <w:autoSpaceDE/>
              <w:autoSpaceDN/>
              <w:adjustRightInd/>
              <w:spacing w:line="240" w:lineRule="auto"/>
              <w:jc w:val="right"/>
              <w:textAlignment w:val="auto"/>
              <w:rPr>
                <w:rFonts w:ascii="Calibri" w:hAnsi="Calibri" w:cs="Calibri"/>
                <w:sz w:val="22"/>
                <w:szCs w:val="22"/>
                <w:lang w:val="en-US"/>
              </w:rPr>
            </w:pPr>
            <w:r w:rsidRPr="00420853">
              <w:rPr>
                <w:rFonts w:ascii="Calibri" w:hAnsi="Calibri" w:cs="Calibri"/>
                <w:sz w:val="22"/>
                <w:szCs w:val="22"/>
                <w:lang w:val="en-US"/>
              </w:rPr>
              <w:t> </w:t>
            </w:r>
          </w:p>
        </w:tc>
      </w:tr>
      <w:tr w:rsidR="00420853" w:rsidRPr="00420853" w:rsidTr="00420853">
        <w:trPr>
          <w:trHeight w:val="300"/>
        </w:trPr>
        <w:tc>
          <w:tcPr>
            <w:tcW w:w="3399" w:type="dxa"/>
            <w:tcBorders>
              <w:top w:val="nil"/>
              <w:left w:val="single" w:sz="4" w:space="0" w:color="auto"/>
              <w:bottom w:val="nil"/>
              <w:right w:val="nil"/>
            </w:tcBorders>
            <w:shd w:val="clear" w:color="000000" w:fill="FFFFFF"/>
            <w:hideMark/>
          </w:tcPr>
          <w:p w:rsidR="00420853" w:rsidRPr="00420853" w:rsidRDefault="00420853" w:rsidP="00420853">
            <w:pPr>
              <w:overflowPunct/>
              <w:autoSpaceDE/>
              <w:autoSpaceDN/>
              <w:adjustRightInd/>
              <w:spacing w:line="240" w:lineRule="auto"/>
              <w:textAlignment w:val="auto"/>
              <w:rPr>
                <w:rFonts w:ascii="Calibri" w:hAnsi="Calibri" w:cs="Calibri"/>
                <w:b/>
                <w:bCs/>
                <w:sz w:val="22"/>
                <w:szCs w:val="22"/>
                <w:lang w:val="en-US"/>
              </w:rPr>
            </w:pPr>
            <w:r w:rsidRPr="00420853">
              <w:rPr>
                <w:rFonts w:ascii="Calibri" w:hAnsi="Calibri" w:cs="Calibri"/>
                <w:b/>
                <w:bCs/>
                <w:sz w:val="22"/>
                <w:szCs w:val="22"/>
                <w:lang w:val="en-US"/>
              </w:rPr>
              <w:t xml:space="preserve">Shareholder's equity </w:t>
            </w:r>
          </w:p>
        </w:tc>
        <w:tc>
          <w:tcPr>
            <w:tcW w:w="694" w:type="dxa"/>
            <w:tcBorders>
              <w:top w:val="nil"/>
              <w:left w:val="nil"/>
              <w:bottom w:val="nil"/>
              <w:right w:val="nil"/>
            </w:tcBorders>
            <w:shd w:val="clear" w:color="000000" w:fill="FFFFFF"/>
            <w:hideMark/>
          </w:tcPr>
          <w:p w:rsidR="00420853" w:rsidRPr="00420853" w:rsidRDefault="00420853" w:rsidP="00420853">
            <w:pPr>
              <w:overflowPunct/>
              <w:autoSpaceDE/>
              <w:autoSpaceDN/>
              <w:adjustRightInd/>
              <w:spacing w:line="240" w:lineRule="auto"/>
              <w:jc w:val="center"/>
              <w:textAlignment w:val="auto"/>
              <w:rPr>
                <w:rFonts w:ascii="Calibri" w:hAnsi="Calibri" w:cs="Calibri"/>
                <w:sz w:val="22"/>
                <w:szCs w:val="22"/>
                <w:lang w:val="en-US"/>
              </w:rPr>
            </w:pPr>
            <w:r w:rsidRPr="00420853">
              <w:rPr>
                <w:rFonts w:ascii="Calibri" w:hAnsi="Calibri" w:cs="Calibri"/>
                <w:sz w:val="22"/>
                <w:szCs w:val="22"/>
                <w:lang w:val="en-US"/>
              </w:rPr>
              <w:t>4</w:t>
            </w:r>
          </w:p>
        </w:tc>
        <w:tc>
          <w:tcPr>
            <w:tcW w:w="369" w:type="dxa"/>
            <w:tcBorders>
              <w:top w:val="nil"/>
              <w:left w:val="nil"/>
              <w:bottom w:val="nil"/>
              <w:right w:val="nil"/>
            </w:tcBorders>
            <w:shd w:val="clear" w:color="000000" w:fill="FFFFFF"/>
            <w:noWrap/>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r w:rsidRPr="00420853">
              <w:rPr>
                <w:rFonts w:ascii="Calibri" w:hAnsi="Calibri" w:cs="Calibri"/>
                <w:sz w:val="22"/>
                <w:szCs w:val="22"/>
                <w:lang w:val="en-US"/>
              </w:rPr>
              <w:t> </w:t>
            </w:r>
          </w:p>
        </w:tc>
        <w:tc>
          <w:tcPr>
            <w:tcW w:w="1039" w:type="dxa"/>
            <w:tcBorders>
              <w:top w:val="nil"/>
              <w:left w:val="nil"/>
              <w:bottom w:val="nil"/>
              <w:right w:val="nil"/>
            </w:tcBorders>
            <w:shd w:val="clear" w:color="auto" w:fill="auto"/>
            <w:noWrap/>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p>
        </w:tc>
        <w:tc>
          <w:tcPr>
            <w:tcW w:w="1232" w:type="dxa"/>
            <w:tcBorders>
              <w:top w:val="nil"/>
              <w:left w:val="nil"/>
              <w:bottom w:val="nil"/>
              <w:right w:val="nil"/>
            </w:tcBorders>
            <w:shd w:val="clear" w:color="auto" w:fill="auto"/>
            <w:noWrap/>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p>
        </w:tc>
        <w:tc>
          <w:tcPr>
            <w:tcW w:w="275" w:type="dxa"/>
            <w:tcBorders>
              <w:top w:val="nil"/>
              <w:left w:val="nil"/>
              <w:bottom w:val="nil"/>
              <w:right w:val="nil"/>
            </w:tcBorders>
            <w:shd w:val="clear" w:color="auto" w:fill="auto"/>
            <w:noWrap/>
            <w:vAlign w:val="bottom"/>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p>
        </w:tc>
        <w:tc>
          <w:tcPr>
            <w:tcW w:w="1170" w:type="dxa"/>
            <w:tcBorders>
              <w:top w:val="nil"/>
              <w:left w:val="nil"/>
              <w:bottom w:val="nil"/>
              <w:right w:val="nil"/>
            </w:tcBorders>
            <w:shd w:val="clear" w:color="auto" w:fill="auto"/>
            <w:noWrap/>
            <w:vAlign w:val="bottom"/>
            <w:hideMark/>
          </w:tcPr>
          <w:p w:rsidR="00420853" w:rsidRPr="00420853" w:rsidRDefault="00420853" w:rsidP="00420853">
            <w:pPr>
              <w:overflowPunct/>
              <w:autoSpaceDE/>
              <w:autoSpaceDN/>
              <w:adjustRightInd/>
              <w:spacing w:line="240" w:lineRule="auto"/>
              <w:jc w:val="right"/>
              <w:textAlignment w:val="auto"/>
              <w:rPr>
                <w:rFonts w:ascii="Calibri" w:hAnsi="Calibri" w:cs="Calibri"/>
                <w:sz w:val="22"/>
                <w:szCs w:val="22"/>
                <w:lang w:val="en-US"/>
              </w:rPr>
            </w:pPr>
          </w:p>
        </w:tc>
        <w:tc>
          <w:tcPr>
            <w:tcW w:w="1196" w:type="dxa"/>
            <w:tcBorders>
              <w:top w:val="nil"/>
              <w:left w:val="nil"/>
              <w:bottom w:val="nil"/>
              <w:right w:val="single" w:sz="4" w:space="0" w:color="auto"/>
            </w:tcBorders>
            <w:shd w:val="clear" w:color="auto" w:fill="auto"/>
            <w:noWrap/>
            <w:vAlign w:val="bottom"/>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r w:rsidRPr="00420853">
              <w:rPr>
                <w:rFonts w:ascii="Calibri" w:hAnsi="Calibri" w:cs="Calibri"/>
                <w:sz w:val="22"/>
                <w:szCs w:val="22"/>
                <w:lang w:val="en-US"/>
              </w:rPr>
              <w:t> </w:t>
            </w:r>
          </w:p>
        </w:tc>
      </w:tr>
      <w:tr w:rsidR="00420853" w:rsidRPr="00420853" w:rsidTr="00420853">
        <w:trPr>
          <w:trHeight w:val="300"/>
        </w:trPr>
        <w:tc>
          <w:tcPr>
            <w:tcW w:w="3399" w:type="dxa"/>
            <w:tcBorders>
              <w:top w:val="nil"/>
              <w:left w:val="single" w:sz="4" w:space="0" w:color="auto"/>
              <w:bottom w:val="nil"/>
              <w:right w:val="nil"/>
            </w:tcBorders>
            <w:shd w:val="clear" w:color="000000" w:fill="FFFFFF"/>
            <w:noWrap/>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r w:rsidRPr="00420853">
              <w:rPr>
                <w:rFonts w:ascii="Calibri" w:hAnsi="Calibri" w:cs="Calibri"/>
                <w:sz w:val="22"/>
                <w:szCs w:val="22"/>
                <w:lang w:val="en-US"/>
              </w:rPr>
              <w:t>Paid-up and called-up share capital</w:t>
            </w:r>
          </w:p>
        </w:tc>
        <w:tc>
          <w:tcPr>
            <w:tcW w:w="694" w:type="dxa"/>
            <w:tcBorders>
              <w:top w:val="nil"/>
              <w:left w:val="nil"/>
              <w:bottom w:val="nil"/>
              <w:right w:val="nil"/>
            </w:tcBorders>
            <w:shd w:val="clear" w:color="000000" w:fill="FFFFFF"/>
            <w:hideMark/>
          </w:tcPr>
          <w:p w:rsidR="00420853" w:rsidRPr="00420853" w:rsidRDefault="00420853" w:rsidP="00420853">
            <w:pPr>
              <w:overflowPunct/>
              <w:autoSpaceDE/>
              <w:autoSpaceDN/>
              <w:adjustRightInd/>
              <w:spacing w:line="240" w:lineRule="auto"/>
              <w:jc w:val="center"/>
              <w:textAlignment w:val="auto"/>
              <w:rPr>
                <w:rFonts w:ascii="Calibri" w:hAnsi="Calibri" w:cs="Calibri"/>
                <w:sz w:val="22"/>
                <w:szCs w:val="22"/>
                <w:lang w:val="en-US"/>
              </w:rPr>
            </w:pPr>
            <w:r w:rsidRPr="00420853">
              <w:rPr>
                <w:rFonts w:ascii="Calibri" w:hAnsi="Calibri" w:cs="Calibri"/>
                <w:sz w:val="22"/>
                <w:szCs w:val="22"/>
                <w:lang w:val="en-US"/>
              </w:rPr>
              <w:t> </w:t>
            </w:r>
          </w:p>
        </w:tc>
        <w:tc>
          <w:tcPr>
            <w:tcW w:w="369" w:type="dxa"/>
            <w:tcBorders>
              <w:top w:val="nil"/>
              <w:left w:val="nil"/>
              <w:bottom w:val="nil"/>
              <w:right w:val="nil"/>
            </w:tcBorders>
            <w:shd w:val="clear" w:color="000000" w:fill="FFFFFF"/>
            <w:noWrap/>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r w:rsidRPr="00420853">
              <w:rPr>
                <w:rFonts w:ascii="Calibri" w:hAnsi="Calibri" w:cs="Calibri"/>
                <w:sz w:val="22"/>
                <w:szCs w:val="22"/>
                <w:lang w:val="en-US"/>
              </w:rPr>
              <w:t> </w:t>
            </w:r>
          </w:p>
        </w:tc>
        <w:tc>
          <w:tcPr>
            <w:tcW w:w="1039" w:type="dxa"/>
            <w:tcBorders>
              <w:top w:val="nil"/>
              <w:left w:val="nil"/>
              <w:bottom w:val="nil"/>
              <w:right w:val="nil"/>
            </w:tcBorders>
            <w:shd w:val="clear" w:color="auto" w:fill="auto"/>
            <w:hideMark/>
          </w:tcPr>
          <w:p w:rsidR="00420853" w:rsidRPr="00420853" w:rsidRDefault="000104B8" w:rsidP="00420853">
            <w:pPr>
              <w:overflowPunct/>
              <w:autoSpaceDE/>
              <w:autoSpaceDN/>
              <w:adjustRightInd/>
              <w:spacing w:line="240" w:lineRule="auto"/>
              <w:jc w:val="right"/>
              <w:textAlignment w:val="auto"/>
              <w:rPr>
                <w:rFonts w:ascii="Calibri" w:hAnsi="Calibri" w:cs="Calibri"/>
                <w:sz w:val="22"/>
                <w:szCs w:val="22"/>
                <w:lang w:val="en-US"/>
              </w:rPr>
            </w:pPr>
            <w:r>
              <w:rPr>
                <w:rFonts w:ascii="Calibri" w:hAnsi="Calibri" w:cs="Calibri"/>
                <w:sz w:val="22"/>
                <w:szCs w:val="22"/>
                <w:lang w:val="en-US"/>
              </w:rPr>
              <w:t>59</w:t>
            </w:r>
          </w:p>
        </w:tc>
        <w:tc>
          <w:tcPr>
            <w:tcW w:w="1232" w:type="dxa"/>
            <w:tcBorders>
              <w:top w:val="nil"/>
              <w:left w:val="nil"/>
              <w:bottom w:val="nil"/>
              <w:right w:val="nil"/>
            </w:tcBorders>
            <w:shd w:val="clear" w:color="auto" w:fill="auto"/>
            <w:noWrap/>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p>
        </w:tc>
        <w:tc>
          <w:tcPr>
            <w:tcW w:w="275" w:type="dxa"/>
            <w:tcBorders>
              <w:top w:val="nil"/>
              <w:left w:val="nil"/>
              <w:bottom w:val="nil"/>
              <w:right w:val="nil"/>
            </w:tcBorders>
            <w:shd w:val="clear" w:color="auto" w:fill="auto"/>
            <w:noWrap/>
            <w:vAlign w:val="bottom"/>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p>
        </w:tc>
        <w:tc>
          <w:tcPr>
            <w:tcW w:w="1170" w:type="dxa"/>
            <w:tcBorders>
              <w:top w:val="nil"/>
              <w:left w:val="nil"/>
              <w:bottom w:val="nil"/>
              <w:right w:val="nil"/>
            </w:tcBorders>
            <w:shd w:val="clear" w:color="auto" w:fill="auto"/>
            <w:hideMark/>
          </w:tcPr>
          <w:p w:rsidR="00420853" w:rsidRPr="00420853" w:rsidRDefault="00420853" w:rsidP="000104B8">
            <w:pPr>
              <w:overflowPunct/>
              <w:autoSpaceDE/>
              <w:autoSpaceDN/>
              <w:adjustRightInd/>
              <w:spacing w:line="240" w:lineRule="auto"/>
              <w:jc w:val="right"/>
              <w:textAlignment w:val="auto"/>
              <w:rPr>
                <w:rFonts w:ascii="Calibri" w:hAnsi="Calibri" w:cs="Calibri"/>
                <w:sz w:val="22"/>
                <w:szCs w:val="22"/>
                <w:lang w:val="en-US"/>
              </w:rPr>
            </w:pPr>
            <w:r w:rsidRPr="00420853">
              <w:rPr>
                <w:rFonts w:ascii="Calibri" w:hAnsi="Calibri" w:cs="Calibri"/>
                <w:sz w:val="22"/>
                <w:szCs w:val="22"/>
                <w:lang w:val="en-US"/>
              </w:rPr>
              <w:t>6</w:t>
            </w:r>
            <w:r w:rsidR="000104B8">
              <w:rPr>
                <w:rFonts w:ascii="Calibri" w:hAnsi="Calibri" w:cs="Calibri"/>
                <w:sz w:val="22"/>
                <w:szCs w:val="22"/>
                <w:lang w:val="en-US"/>
              </w:rPr>
              <w:t>0</w:t>
            </w:r>
          </w:p>
        </w:tc>
        <w:tc>
          <w:tcPr>
            <w:tcW w:w="1196" w:type="dxa"/>
            <w:tcBorders>
              <w:top w:val="nil"/>
              <w:left w:val="nil"/>
              <w:bottom w:val="nil"/>
              <w:right w:val="single" w:sz="4" w:space="0" w:color="auto"/>
            </w:tcBorders>
            <w:shd w:val="clear" w:color="auto" w:fill="auto"/>
            <w:noWrap/>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r w:rsidRPr="00420853">
              <w:rPr>
                <w:rFonts w:ascii="Calibri" w:hAnsi="Calibri" w:cs="Calibri"/>
                <w:sz w:val="22"/>
                <w:szCs w:val="22"/>
                <w:lang w:val="en-US"/>
              </w:rPr>
              <w:t> </w:t>
            </w:r>
          </w:p>
        </w:tc>
      </w:tr>
      <w:tr w:rsidR="00420853" w:rsidRPr="00420853" w:rsidTr="00420853">
        <w:trPr>
          <w:trHeight w:val="300"/>
        </w:trPr>
        <w:tc>
          <w:tcPr>
            <w:tcW w:w="3399" w:type="dxa"/>
            <w:tcBorders>
              <w:top w:val="nil"/>
              <w:left w:val="single" w:sz="4" w:space="0" w:color="auto"/>
              <w:bottom w:val="nil"/>
              <w:right w:val="nil"/>
            </w:tcBorders>
            <w:shd w:val="clear" w:color="000000" w:fill="FFFFFF"/>
            <w:noWrap/>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r w:rsidRPr="00420853">
              <w:rPr>
                <w:rFonts w:ascii="Calibri" w:hAnsi="Calibri" w:cs="Calibri"/>
                <w:sz w:val="22"/>
                <w:szCs w:val="22"/>
                <w:lang w:val="en-US"/>
              </w:rPr>
              <w:t>Retained earnings</w:t>
            </w:r>
          </w:p>
        </w:tc>
        <w:tc>
          <w:tcPr>
            <w:tcW w:w="694" w:type="dxa"/>
            <w:tcBorders>
              <w:top w:val="nil"/>
              <w:left w:val="nil"/>
              <w:bottom w:val="nil"/>
              <w:right w:val="nil"/>
            </w:tcBorders>
            <w:shd w:val="clear" w:color="000000" w:fill="FFFFFF"/>
            <w:hideMark/>
          </w:tcPr>
          <w:p w:rsidR="00420853" w:rsidRPr="00420853" w:rsidRDefault="00420853" w:rsidP="00420853">
            <w:pPr>
              <w:overflowPunct/>
              <w:autoSpaceDE/>
              <w:autoSpaceDN/>
              <w:adjustRightInd/>
              <w:spacing w:line="240" w:lineRule="auto"/>
              <w:jc w:val="center"/>
              <w:textAlignment w:val="auto"/>
              <w:rPr>
                <w:rFonts w:ascii="Calibri" w:hAnsi="Calibri" w:cs="Calibri"/>
                <w:sz w:val="22"/>
                <w:szCs w:val="22"/>
                <w:lang w:val="en-US"/>
              </w:rPr>
            </w:pPr>
            <w:r w:rsidRPr="00420853">
              <w:rPr>
                <w:rFonts w:ascii="Calibri" w:hAnsi="Calibri" w:cs="Calibri"/>
                <w:sz w:val="22"/>
                <w:szCs w:val="22"/>
                <w:lang w:val="en-US"/>
              </w:rPr>
              <w:t> </w:t>
            </w:r>
          </w:p>
        </w:tc>
        <w:tc>
          <w:tcPr>
            <w:tcW w:w="369" w:type="dxa"/>
            <w:tcBorders>
              <w:top w:val="nil"/>
              <w:left w:val="nil"/>
              <w:bottom w:val="nil"/>
              <w:right w:val="nil"/>
            </w:tcBorders>
            <w:shd w:val="clear" w:color="000000" w:fill="FFFFFF"/>
            <w:noWrap/>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r w:rsidRPr="00420853">
              <w:rPr>
                <w:rFonts w:ascii="Calibri" w:hAnsi="Calibri" w:cs="Calibri"/>
                <w:sz w:val="22"/>
                <w:szCs w:val="22"/>
                <w:lang w:val="en-US"/>
              </w:rPr>
              <w:t> </w:t>
            </w:r>
          </w:p>
        </w:tc>
        <w:tc>
          <w:tcPr>
            <w:tcW w:w="1039" w:type="dxa"/>
            <w:tcBorders>
              <w:top w:val="nil"/>
              <w:left w:val="nil"/>
              <w:bottom w:val="nil"/>
              <w:right w:val="nil"/>
            </w:tcBorders>
            <w:shd w:val="clear" w:color="auto" w:fill="auto"/>
            <w:hideMark/>
          </w:tcPr>
          <w:p w:rsidR="00420853" w:rsidRPr="00420853" w:rsidRDefault="00420853" w:rsidP="00420853">
            <w:pPr>
              <w:overflowPunct/>
              <w:autoSpaceDE/>
              <w:autoSpaceDN/>
              <w:adjustRightInd/>
              <w:spacing w:line="240" w:lineRule="auto"/>
              <w:jc w:val="right"/>
              <w:textAlignment w:val="auto"/>
              <w:rPr>
                <w:rFonts w:ascii="Calibri" w:hAnsi="Calibri" w:cs="Calibri"/>
                <w:sz w:val="22"/>
                <w:szCs w:val="22"/>
                <w:lang w:val="en-US"/>
              </w:rPr>
            </w:pPr>
            <w:r w:rsidRPr="00420853">
              <w:rPr>
                <w:rFonts w:ascii="Calibri" w:hAnsi="Calibri" w:cs="Calibri"/>
                <w:sz w:val="22"/>
                <w:szCs w:val="22"/>
                <w:lang w:val="en-US"/>
              </w:rPr>
              <w:t>3'5</w:t>
            </w:r>
            <w:r w:rsidR="000104B8">
              <w:rPr>
                <w:rFonts w:ascii="Calibri" w:hAnsi="Calibri" w:cs="Calibri"/>
                <w:sz w:val="22"/>
                <w:szCs w:val="22"/>
                <w:lang w:val="en-US"/>
              </w:rPr>
              <w:t>80</w:t>
            </w:r>
          </w:p>
        </w:tc>
        <w:tc>
          <w:tcPr>
            <w:tcW w:w="1232" w:type="dxa"/>
            <w:tcBorders>
              <w:top w:val="nil"/>
              <w:left w:val="nil"/>
              <w:bottom w:val="nil"/>
              <w:right w:val="nil"/>
            </w:tcBorders>
            <w:shd w:val="clear" w:color="auto" w:fill="auto"/>
            <w:noWrap/>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p>
        </w:tc>
        <w:tc>
          <w:tcPr>
            <w:tcW w:w="275" w:type="dxa"/>
            <w:tcBorders>
              <w:top w:val="nil"/>
              <w:left w:val="nil"/>
              <w:bottom w:val="nil"/>
              <w:right w:val="nil"/>
            </w:tcBorders>
            <w:shd w:val="clear" w:color="auto" w:fill="auto"/>
            <w:noWrap/>
            <w:vAlign w:val="bottom"/>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p>
        </w:tc>
        <w:tc>
          <w:tcPr>
            <w:tcW w:w="1170" w:type="dxa"/>
            <w:tcBorders>
              <w:top w:val="nil"/>
              <w:left w:val="nil"/>
              <w:bottom w:val="nil"/>
              <w:right w:val="nil"/>
            </w:tcBorders>
            <w:shd w:val="clear" w:color="auto" w:fill="auto"/>
            <w:hideMark/>
          </w:tcPr>
          <w:p w:rsidR="00420853" w:rsidRPr="00420853" w:rsidRDefault="00420853" w:rsidP="00420853">
            <w:pPr>
              <w:overflowPunct/>
              <w:autoSpaceDE/>
              <w:autoSpaceDN/>
              <w:adjustRightInd/>
              <w:spacing w:line="240" w:lineRule="auto"/>
              <w:jc w:val="right"/>
              <w:textAlignment w:val="auto"/>
              <w:rPr>
                <w:rFonts w:ascii="Calibri" w:hAnsi="Calibri" w:cs="Calibri"/>
                <w:sz w:val="22"/>
                <w:szCs w:val="22"/>
                <w:lang w:val="en-US"/>
              </w:rPr>
            </w:pPr>
            <w:r w:rsidRPr="00420853">
              <w:rPr>
                <w:rFonts w:ascii="Calibri" w:hAnsi="Calibri" w:cs="Calibri"/>
                <w:sz w:val="22"/>
                <w:szCs w:val="22"/>
                <w:lang w:val="en-US"/>
              </w:rPr>
              <w:t>48</w:t>
            </w:r>
            <w:r w:rsidR="000104B8">
              <w:rPr>
                <w:rFonts w:ascii="Calibri" w:hAnsi="Calibri" w:cs="Calibri"/>
                <w:sz w:val="22"/>
                <w:szCs w:val="22"/>
                <w:lang w:val="en-US"/>
              </w:rPr>
              <w:t>9</w:t>
            </w:r>
          </w:p>
        </w:tc>
        <w:tc>
          <w:tcPr>
            <w:tcW w:w="1196" w:type="dxa"/>
            <w:tcBorders>
              <w:top w:val="nil"/>
              <w:left w:val="nil"/>
              <w:bottom w:val="nil"/>
              <w:right w:val="single" w:sz="4" w:space="0" w:color="auto"/>
            </w:tcBorders>
            <w:shd w:val="clear" w:color="auto" w:fill="auto"/>
            <w:noWrap/>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r w:rsidRPr="00420853">
              <w:rPr>
                <w:rFonts w:ascii="Calibri" w:hAnsi="Calibri" w:cs="Calibri"/>
                <w:sz w:val="22"/>
                <w:szCs w:val="22"/>
                <w:lang w:val="en-US"/>
              </w:rPr>
              <w:t> </w:t>
            </w:r>
          </w:p>
        </w:tc>
      </w:tr>
      <w:tr w:rsidR="00420853" w:rsidRPr="00420853" w:rsidTr="00420853">
        <w:trPr>
          <w:trHeight w:val="300"/>
        </w:trPr>
        <w:tc>
          <w:tcPr>
            <w:tcW w:w="3399" w:type="dxa"/>
            <w:tcBorders>
              <w:top w:val="nil"/>
              <w:left w:val="single" w:sz="4" w:space="0" w:color="auto"/>
              <w:bottom w:val="nil"/>
              <w:right w:val="nil"/>
            </w:tcBorders>
            <w:shd w:val="clear" w:color="000000" w:fill="FFFFFF"/>
            <w:noWrap/>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r w:rsidRPr="00420853">
              <w:rPr>
                <w:rFonts w:ascii="Calibri" w:hAnsi="Calibri" w:cs="Calibri"/>
                <w:sz w:val="22"/>
                <w:szCs w:val="22"/>
                <w:lang w:val="en-US"/>
              </w:rPr>
              <w:t>Profit for the year</w:t>
            </w:r>
          </w:p>
        </w:tc>
        <w:tc>
          <w:tcPr>
            <w:tcW w:w="694" w:type="dxa"/>
            <w:tcBorders>
              <w:top w:val="nil"/>
              <w:left w:val="nil"/>
              <w:bottom w:val="nil"/>
              <w:right w:val="nil"/>
            </w:tcBorders>
            <w:shd w:val="clear" w:color="000000" w:fill="FFFFFF"/>
            <w:hideMark/>
          </w:tcPr>
          <w:p w:rsidR="00420853" w:rsidRPr="00420853" w:rsidRDefault="00420853" w:rsidP="00420853">
            <w:pPr>
              <w:overflowPunct/>
              <w:autoSpaceDE/>
              <w:autoSpaceDN/>
              <w:adjustRightInd/>
              <w:spacing w:line="240" w:lineRule="auto"/>
              <w:jc w:val="center"/>
              <w:textAlignment w:val="auto"/>
              <w:rPr>
                <w:rFonts w:ascii="Calibri" w:hAnsi="Calibri" w:cs="Calibri"/>
                <w:sz w:val="22"/>
                <w:szCs w:val="22"/>
                <w:lang w:val="en-US"/>
              </w:rPr>
            </w:pPr>
            <w:r w:rsidRPr="00420853">
              <w:rPr>
                <w:rFonts w:ascii="Calibri" w:hAnsi="Calibri" w:cs="Calibri"/>
                <w:sz w:val="22"/>
                <w:szCs w:val="22"/>
                <w:lang w:val="en-US"/>
              </w:rPr>
              <w:t> </w:t>
            </w:r>
          </w:p>
        </w:tc>
        <w:tc>
          <w:tcPr>
            <w:tcW w:w="369" w:type="dxa"/>
            <w:tcBorders>
              <w:top w:val="nil"/>
              <w:left w:val="nil"/>
              <w:bottom w:val="nil"/>
              <w:right w:val="nil"/>
            </w:tcBorders>
            <w:shd w:val="clear" w:color="000000" w:fill="FFFFFF"/>
            <w:noWrap/>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r w:rsidRPr="00420853">
              <w:rPr>
                <w:rFonts w:ascii="Calibri" w:hAnsi="Calibri" w:cs="Calibri"/>
                <w:sz w:val="22"/>
                <w:szCs w:val="22"/>
                <w:lang w:val="en-US"/>
              </w:rPr>
              <w:t> </w:t>
            </w:r>
          </w:p>
        </w:tc>
        <w:tc>
          <w:tcPr>
            <w:tcW w:w="1039" w:type="dxa"/>
            <w:tcBorders>
              <w:top w:val="nil"/>
              <w:left w:val="nil"/>
              <w:bottom w:val="single" w:sz="4" w:space="0" w:color="auto"/>
              <w:right w:val="nil"/>
            </w:tcBorders>
            <w:shd w:val="clear" w:color="auto" w:fill="auto"/>
            <w:hideMark/>
          </w:tcPr>
          <w:p w:rsidR="00420853" w:rsidRPr="00420853" w:rsidRDefault="00420853" w:rsidP="00420853">
            <w:pPr>
              <w:overflowPunct/>
              <w:autoSpaceDE/>
              <w:autoSpaceDN/>
              <w:adjustRightInd/>
              <w:spacing w:line="240" w:lineRule="auto"/>
              <w:jc w:val="right"/>
              <w:textAlignment w:val="auto"/>
              <w:rPr>
                <w:rFonts w:ascii="Calibri" w:hAnsi="Calibri" w:cs="Calibri"/>
                <w:sz w:val="22"/>
                <w:szCs w:val="22"/>
                <w:lang w:val="en-US"/>
              </w:rPr>
            </w:pPr>
            <w:r w:rsidRPr="00420853">
              <w:rPr>
                <w:rFonts w:ascii="Calibri" w:hAnsi="Calibri" w:cs="Calibri"/>
                <w:sz w:val="22"/>
                <w:szCs w:val="22"/>
                <w:lang w:val="en-US"/>
              </w:rPr>
              <w:t xml:space="preserve"> 1'083 </w:t>
            </w:r>
          </w:p>
        </w:tc>
        <w:tc>
          <w:tcPr>
            <w:tcW w:w="1232" w:type="dxa"/>
            <w:tcBorders>
              <w:top w:val="nil"/>
              <w:left w:val="nil"/>
              <w:bottom w:val="nil"/>
              <w:right w:val="nil"/>
            </w:tcBorders>
            <w:shd w:val="clear" w:color="auto" w:fill="auto"/>
            <w:noWrap/>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p>
        </w:tc>
        <w:tc>
          <w:tcPr>
            <w:tcW w:w="275" w:type="dxa"/>
            <w:tcBorders>
              <w:top w:val="nil"/>
              <w:left w:val="nil"/>
              <w:bottom w:val="nil"/>
              <w:right w:val="nil"/>
            </w:tcBorders>
            <w:shd w:val="clear" w:color="auto" w:fill="auto"/>
            <w:noWrap/>
            <w:vAlign w:val="bottom"/>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p>
        </w:tc>
        <w:tc>
          <w:tcPr>
            <w:tcW w:w="1170" w:type="dxa"/>
            <w:tcBorders>
              <w:top w:val="nil"/>
              <w:left w:val="nil"/>
              <w:bottom w:val="single" w:sz="4" w:space="0" w:color="auto"/>
              <w:right w:val="nil"/>
            </w:tcBorders>
            <w:shd w:val="clear" w:color="auto" w:fill="auto"/>
            <w:hideMark/>
          </w:tcPr>
          <w:p w:rsidR="00420853" w:rsidRPr="00420853" w:rsidRDefault="00420853" w:rsidP="00420853">
            <w:pPr>
              <w:overflowPunct/>
              <w:autoSpaceDE/>
              <w:autoSpaceDN/>
              <w:adjustRightInd/>
              <w:spacing w:line="240" w:lineRule="auto"/>
              <w:jc w:val="right"/>
              <w:textAlignment w:val="auto"/>
              <w:rPr>
                <w:rFonts w:ascii="Calibri" w:hAnsi="Calibri" w:cs="Calibri"/>
                <w:sz w:val="22"/>
                <w:szCs w:val="22"/>
                <w:lang w:val="en-US"/>
              </w:rPr>
            </w:pPr>
            <w:r w:rsidRPr="00420853">
              <w:rPr>
                <w:rFonts w:ascii="Calibri" w:hAnsi="Calibri" w:cs="Calibri"/>
                <w:sz w:val="22"/>
                <w:szCs w:val="22"/>
                <w:lang w:val="en-US"/>
              </w:rPr>
              <w:t xml:space="preserve"> 3'090 </w:t>
            </w:r>
          </w:p>
        </w:tc>
        <w:tc>
          <w:tcPr>
            <w:tcW w:w="1196" w:type="dxa"/>
            <w:tcBorders>
              <w:top w:val="nil"/>
              <w:left w:val="nil"/>
              <w:bottom w:val="nil"/>
              <w:right w:val="single" w:sz="4" w:space="0" w:color="auto"/>
            </w:tcBorders>
            <w:shd w:val="clear" w:color="auto" w:fill="auto"/>
            <w:noWrap/>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r w:rsidRPr="00420853">
              <w:rPr>
                <w:rFonts w:ascii="Calibri" w:hAnsi="Calibri" w:cs="Calibri"/>
                <w:sz w:val="22"/>
                <w:szCs w:val="22"/>
                <w:lang w:val="en-US"/>
              </w:rPr>
              <w:t> </w:t>
            </w:r>
          </w:p>
        </w:tc>
      </w:tr>
      <w:tr w:rsidR="00420853" w:rsidRPr="00420853" w:rsidTr="00420853">
        <w:trPr>
          <w:trHeight w:val="300"/>
        </w:trPr>
        <w:tc>
          <w:tcPr>
            <w:tcW w:w="3399" w:type="dxa"/>
            <w:tcBorders>
              <w:top w:val="nil"/>
              <w:left w:val="single" w:sz="4" w:space="0" w:color="auto"/>
              <w:bottom w:val="nil"/>
              <w:right w:val="nil"/>
            </w:tcBorders>
            <w:shd w:val="clear" w:color="000000" w:fill="FFFFFF"/>
            <w:noWrap/>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r w:rsidRPr="00420853">
              <w:rPr>
                <w:rFonts w:ascii="Calibri" w:hAnsi="Calibri" w:cs="Calibri"/>
                <w:sz w:val="22"/>
                <w:szCs w:val="22"/>
                <w:lang w:val="en-US"/>
              </w:rPr>
              <w:t> </w:t>
            </w:r>
          </w:p>
        </w:tc>
        <w:tc>
          <w:tcPr>
            <w:tcW w:w="694" w:type="dxa"/>
            <w:tcBorders>
              <w:top w:val="nil"/>
              <w:left w:val="nil"/>
              <w:bottom w:val="nil"/>
              <w:right w:val="nil"/>
            </w:tcBorders>
            <w:shd w:val="clear" w:color="000000" w:fill="FFFFFF"/>
            <w:hideMark/>
          </w:tcPr>
          <w:p w:rsidR="00420853" w:rsidRPr="00420853" w:rsidRDefault="00420853" w:rsidP="00420853">
            <w:pPr>
              <w:overflowPunct/>
              <w:autoSpaceDE/>
              <w:autoSpaceDN/>
              <w:adjustRightInd/>
              <w:spacing w:line="240" w:lineRule="auto"/>
              <w:jc w:val="center"/>
              <w:textAlignment w:val="auto"/>
              <w:rPr>
                <w:rFonts w:ascii="Calibri" w:hAnsi="Calibri" w:cs="Calibri"/>
                <w:sz w:val="22"/>
                <w:szCs w:val="22"/>
                <w:lang w:val="en-US"/>
              </w:rPr>
            </w:pPr>
            <w:r w:rsidRPr="00420853">
              <w:rPr>
                <w:rFonts w:ascii="Calibri" w:hAnsi="Calibri" w:cs="Calibri"/>
                <w:sz w:val="22"/>
                <w:szCs w:val="22"/>
                <w:lang w:val="en-US"/>
              </w:rPr>
              <w:t> </w:t>
            </w:r>
          </w:p>
        </w:tc>
        <w:tc>
          <w:tcPr>
            <w:tcW w:w="369" w:type="dxa"/>
            <w:tcBorders>
              <w:top w:val="nil"/>
              <w:left w:val="nil"/>
              <w:bottom w:val="nil"/>
              <w:right w:val="nil"/>
            </w:tcBorders>
            <w:shd w:val="clear" w:color="000000" w:fill="FFFFFF"/>
            <w:noWrap/>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r w:rsidRPr="00420853">
              <w:rPr>
                <w:rFonts w:ascii="Calibri" w:hAnsi="Calibri" w:cs="Calibri"/>
                <w:sz w:val="22"/>
                <w:szCs w:val="22"/>
                <w:lang w:val="en-US"/>
              </w:rPr>
              <w:t> </w:t>
            </w:r>
          </w:p>
        </w:tc>
        <w:tc>
          <w:tcPr>
            <w:tcW w:w="1039" w:type="dxa"/>
            <w:tcBorders>
              <w:top w:val="nil"/>
              <w:left w:val="nil"/>
              <w:bottom w:val="nil"/>
              <w:right w:val="nil"/>
            </w:tcBorders>
            <w:shd w:val="clear" w:color="auto" w:fill="auto"/>
            <w:noWrap/>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p>
        </w:tc>
        <w:tc>
          <w:tcPr>
            <w:tcW w:w="1232" w:type="dxa"/>
            <w:tcBorders>
              <w:top w:val="nil"/>
              <w:left w:val="nil"/>
              <w:bottom w:val="nil"/>
              <w:right w:val="nil"/>
            </w:tcBorders>
            <w:shd w:val="clear" w:color="auto" w:fill="auto"/>
            <w:noWrap/>
            <w:hideMark/>
          </w:tcPr>
          <w:p w:rsidR="00420853" w:rsidRPr="00420853" w:rsidRDefault="00420853" w:rsidP="00420853">
            <w:pPr>
              <w:overflowPunct/>
              <w:autoSpaceDE/>
              <w:autoSpaceDN/>
              <w:adjustRightInd/>
              <w:spacing w:line="240" w:lineRule="auto"/>
              <w:jc w:val="right"/>
              <w:textAlignment w:val="auto"/>
              <w:rPr>
                <w:rFonts w:ascii="Calibri" w:hAnsi="Calibri" w:cs="Calibri"/>
                <w:sz w:val="22"/>
                <w:szCs w:val="22"/>
                <w:lang w:val="en-US"/>
              </w:rPr>
            </w:pPr>
            <w:r w:rsidRPr="00420853">
              <w:rPr>
                <w:rFonts w:ascii="Calibri" w:hAnsi="Calibri" w:cs="Calibri"/>
                <w:sz w:val="22"/>
                <w:szCs w:val="22"/>
                <w:lang w:val="en-US"/>
              </w:rPr>
              <w:t xml:space="preserve"> 4'722 </w:t>
            </w:r>
          </w:p>
        </w:tc>
        <w:tc>
          <w:tcPr>
            <w:tcW w:w="275" w:type="dxa"/>
            <w:tcBorders>
              <w:top w:val="nil"/>
              <w:left w:val="nil"/>
              <w:bottom w:val="nil"/>
              <w:right w:val="nil"/>
            </w:tcBorders>
            <w:shd w:val="clear" w:color="auto" w:fill="auto"/>
            <w:noWrap/>
            <w:vAlign w:val="bottom"/>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p>
        </w:tc>
        <w:tc>
          <w:tcPr>
            <w:tcW w:w="1170" w:type="dxa"/>
            <w:tcBorders>
              <w:top w:val="nil"/>
              <w:left w:val="nil"/>
              <w:bottom w:val="nil"/>
              <w:right w:val="nil"/>
            </w:tcBorders>
            <w:shd w:val="clear" w:color="auto" w:fill="auto"/>
            <w:noWrap/>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p>
        </w:tc>
        <w:tc>
          <w:tcPr>
            <w:tcW w:w="1196" w:type="dxa"/>
            <w:tcBorders>
              <w:top w:val="nil"/>
              <w:left w:val="nil"/>
              <w:bottom w:val="nil"/>
              <w:right w:val="single" w:sz="4" w:space="0" w:color="auto"/>
            </w:tcBorders>
            <w:shd w:val="clear" w:color="auto" w:fill="auto"/>
            <w:noWrap/>
            <w:hideMark/>
          </w:tcPr>
          <w:p w:rsidR="00420853" w:rsidRPr="00420853" w:rsidRDefault="00420853" w:rsidP="00420853">
            <w:pPr>
              <w:overflowPunct/>
              <w:autoSpaceDE/>
              <w:autoSpaceDN/>
              <w:adjustRightInd/>
              <w:spacing w:line="240" w:lineRule="auto"/>
              <w:jc w:val="right"/>
              <w:textAlignment w:val="auto"/>
              <w:rPr>
                <w:rFonts w:ascii="Calibri" w:hAnsi="Calibri" w:cs="Calibri"/>
                <w:sz w:val="22"/>
                <w:szCs w:val="22"/>
                <w:lang w:val="en-US"/>
              </w:rPr>
            </w:pPr>
            <w:r w:rsidRPr="00420853">
              <w:rPr>
                <w:rFonts w:ascii="Calibri" w:hAnsi="Calibri" w:cs="Calibri"/>
                <w:sz w:val="22"/>
                <w:szCs w:val="22"/>
                <w:lang w:val="en-US"/>
              </w:rPr>
              <w:t xml:space="preserve"> 3'639 </w:t>
            </w:r>
          </w:p>
        </w:tc>
      </w:tr>
      <w:tr w:rsidR="00420853" w:rsidRPr="00420853" w:rsidTr="00420853">
        <w:trPr>
          <w:trHeight w:val="300"/>
        </w:trPr>
        <w:tc>
          <w:tcPr>
            <w:tcW w:w="3399" w:type="dxa"/>
            <w:tcBorders>
              <w:top w:val="nil"/>
              <w:left w:val="single" w:sz="4" w:space="0" w:color="auto"/>
              <w:bottom w:val="nil"/>
              <w:right w:val="nil"/>
            </w:tcBorders>
            <w:shd w:val="clear" w:color="000000" w:fill="FFFFFF"/>
            <w:noWrap/>
            <w:hideMark/>
          </w:tcPr>
          <w:p w:rsidR="00420853" w:rsidRPr="00420853" w:rsidRDefault="00420853" w:rsidP="00420853">
            <w:pPr>
              <w:overflowPunct/>
              <w:autoSpaceDE/>
              <w:autoSpaceDN/>
              <w:adjustRightInd/>
              <w:spacing w:line="240" w:lineRule="auto"/>
              <w:jc w:val="both"/>
              <w:textAlignment w:val="auto"/>
              <w:rPr>
                <w:rFonts w:ascii="Calibri" w:hAnsi="Calibri" w:cs="Calibri"/>
                <w:sz w:val="22"/>
                <w:szCs w:val="22"/>
                <w:lang w:val="en-US"/>
              </w:rPr>
            </w:pPr>
            <w:r w:rsidRPr="00420853">
              <w:rPr>
                <w:rFonts w:ascii="Calibri" w:hAnsi="Calibri" w:cs="Calibri"/>
                <w:sz w:val="22"/>
                <w:szCs w:val="22"/>
                <w:lang w:val="en-US"/>
              </w:rPr>
              <w:t> </w:t>
            </w:r>
          </w:p>
        </w:tc>
        <w:tc>
          <w:tcPr>
            <w:tcW w:w="694" w:type="dxa"/>
            <w:tcBorders>
              <w:top w:val="nil"/>
              <w:left w:val="nil"/>
              <w:bottom w:val="nil"/>
              <w:right w:val="nil"/>
            </w:tcBorders>
            <w:shd w:val="clear" w:color="000000" w:fill="FFFFFF"/>
            <w:hideMark/>
          </w:tcPr>
          <w:p w:rsidR="00420853" w:rsidRPr="00420853" w:rsidRDefault="00420853" w:rsidP="00420853">
            <w:pPr>
              <w:overflowPunct/>
              <w:autoSpaceDE/>
              <w:autoSpaceDN/>
              <w:adjustRightInd/>
              <w:spacing w:line="240" w:lineRule="auto"/>
              <w:jc w:val="center"/>
              <w:textAlignment w:val="auto"/>
              <w:rPr>
                <w:rFonts w:ascii="Calibri" w:hAnsi="Calibri" w:cs="Calibri"/>
                <w:sz w:val="22"/>
                <w:szCs w:val="22"/>
                <w:lang w:val="en-US"/>
              </w:rPr>
            </w:pPr>
            <w:r w:rsidRPr="00420853">
              <w:rPr>
                <w:rFonts w:ascii="Calibri" w:hAnsi="Calibri" w:cs="Calibri"/>
                <w:sz w:val="22"/>
                <w:szCs w:val="22"/>
                <w:lang w:val="en-US"/>
              </w:rPr>
              <w:t> </w:t>
            </w:r>
          </w:p>
        </w:tc>
        <w:tc>
          <w:tcPr>
            <w:tcW w:w="369" w:type="dxa"/>
            <w:tcBorders>
              <w:top w:val="nil"/>
              <w:left w:val="nil"/>
              <w:bottom w:val="nil"/>
              <w:right w:val="nil"/>
            </w:tcBorders>
            <w:shd w:val="clear" w:color="000000" w:fill="FFFFFF"/>
            <w:noWrap/>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r w:rsidRPr="00420853">
              <w:rPr>
                <w:rFonts w:ascii="Calibri" w:hAnsi="Calibri" w:cs="Calibri"/>
                <w:sz w:val="22"/>
                <w:szCs w:val="22"/>
                <w:lang w:val="en-US"/>
              </w:rPr>
              <w:t> </w:t>
            </w:r>
          </w:p>
        </w:tc>
        <w:tc>
          <w:tcPr>
            <w:tcW w:w="1039" w:type="dxa"/>
            <w:tcBorders>
              <w:top w:val="nil"/>
              <w:left w:val="nil"/>
              <w:bottom w:val="nil"/>
              <w:right w:val="nil"/>
            </w:tcBorders>
            <w:shd w:val="clear" w:color="auto" w:fill="auto"/>
            <w:noWrap/>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p>
        </w:tc>
        <w:tc>
          <w:tcPr>
            <w:tcW w:w="1232" w:type="dxa"/>
            <w:tcBorders>
              <w:top w:val="nil"/>
              <w:left w:val="nil"/>
              <w:bottom w:val="nil"/>
              <w:right w:val="nil"/>
            </w:tcBorders>
            <w:shd w:val="clear" w:color="auto" w:fill="auto"/>
            <w:noWrap/>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p>
        </w:tc>
        <w:tc>
          <w:tcPr>
            <w:tcW w:w="275" w:type="dxa"/>
            <w:tcBorders>
              <w:top w:val="nil"/>
              <w:left w:val="nil"/>
              <w:bottom w:val="nil"/>
              <w:right w:val="nil"/>
            </w:tcBorders>
            <w:shd w:val="clear" w:color="auto" w:fill="auto"/>
            <w:noWrap/>
            <w:vAlign w:val="bottom"/>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p>
        </w:tc>
        <w:tc>
          <w:tcPr>
            <w:tcW w:w="1170" w:type="dxa"/>
            <w:tcBorders>
              <w:top w:val="nil"/>
              <w:left w:val="nil"/>
              <w:bottom w:val="nil"/>
              <w:right w:val="nil"/>
            </w:tcBorders>
            <w:shd w:val="clear" w:color="auto" w:fill="auto"/>
            <w:noWrap/>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p>
        </w:tc>
        <w:tc>
          <w:tcPr>
            <w:tcW w:w="1196" w:type="dxa"/>
            <w:tcBorders>
              <w:top w:val="nil"/>
              <w:left w:val="nil"/>
              <w:bottom w:val="nil"/>
              <w:right w:val="single" w:sz="4" w:space="0" w:color="auto"/>
            </w:tcBorders>
            <w:shd w:val="clear" w:color="auto" w:fill="auto"/>
            <w:noWrap/>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r w:rsidRPr="00420853">
              <w:rPr>
                <w:rFonts w:ascii="Calibri" w:hAnsi="Calibri" w:cs="Calibri"/>
                <w:sz w:val="22"/>
                <w:szCs w:val="22"/>
                <w:lang w:val="en-US"/>
              </w:rPr>
              <w:t> </w:t>
            </w:r>
          </w:p>
        </w:tc>
      </w:tr>
      <w:tr w:rsidR="00420853" w:rsidRPr="00420853" w:rsidTr="00420853">
        <w:trPr>
          <w:trHeight w:val="300"/>
        </w:trPr>
        <w:tc>
          <w:tcPr>
            <w:tcW w:w="3399" w:type="dxa"/>
            <w:tcBorders>
              <w:top w:val="nil"/>
              <w:left w:val="single" w:sz="4" w:space="0" w:color="auto"/>
              <w:bottom w:val="nil"/>
              <w:right w:val="nil"/>
            </w:tcBorders>
            <w:shd w:val="clear" w:color="000000" w:fill="FFFFFF"/>
            <w:hideMark/>
          </w:tcPr>
          <w:p w:rsidR="00420853" w:rsidRPr="00420853" w:rsidRDefault="00420853" w:rsidP="00420853">
            <w:pPr>
              <w:overflowPunct/>
              <w:autoSpaceDE/>
              <w:autoSpaceDN/>
              <w:adjustRightInd/>
              <w:spacing w:line="240" w:lineRule="auto"/>
              <w:textAlignment w:val="auto"/>
              <w:rPr>
                <w:rFonts w:ascii="Calibri" w:hAnsi="Calibri" w:cs="Calibri"/>
                <w:b/>
                <w:bCs/>
                <w:sz w:val="22"/>
                <w:szCs w:val="22"/>
                <w:lang w:val="en-US"/>
              </w:rPr>
            </w:pPr>
            <w:r w:rsidRPr="00420853">
              <w:rPr>
                <w:rFonts w:ascii="Calibri" w:hAnsi="Calibri" w:cs="Calibri"/>
                <w:b/>
                <w:bCs/>
                <w:sz w:val="22"/>
                <w:szCs w:val="22"/>
                <w:lang w:val="en-US"/>
              </w:rPr>
              <w:t>Long-term liabilities</w:t>
            </w:r>
          </w:p>
        </w:tc>
        <w:tc>
          <w:tcPr>
            <w:tcW w:w="694" w:type="dxa"/>
            <w:tcBorders>
              <w:top w:val="nil"/>
              <w:left w:val="nil"/>
              <w:bottom w:val="nil"/>
              <w:right w:val="nil"/>
            </w:tcBorders>
            <w:shd w:val="clear" w:color="000000" w:fill="FFFFFF"/>
            <w:hideMark/>
          </w:tcPr>
          <w:p w:rsidR="00420853" w:rsidRPr="00420853" w:rsidRDefault="00420853" w:rsidP="00420853">
            <w:pPr>
              <w:overflowPunct/>
              <w:autoSpaceDE/>
              <w:autoSpaceDN/>
              <w:adjustRightInd/>
              <w:spacing w:line="240" w:lineRule="auto"/>
              <w:jc w:val="center"/>
              <w:textAlignment w:val="auto"/>
              <w:rPr>
                <w:rFonts w:ascii="Calibri" w:hAnsi="Calibri" w:cs="Calibri"/>
                <w:sz w:val="22"/>
                <w:szCs w:val="22"/>
                <w:lang w:val="en-US"/>
              </w:rPr>
            </w:pPr>
            <w:r w:rsidRPr="00420853">
              <w:rPr>
                <w:rFonts w:ascii="Calibri" w:hAnsi="Calibri" w:cs="Calibri"/>
                <w:sz w:val="22"/>
                <w:szCs w:val="22"/>
                <w:lang w:val="en-US"/>
              </w:rPr>
              <w:t>5</w:t>
            </w:r>
          </w:p>
        </w:tc>
        <w:tc>
          <w:tcPr>
            <w:tcW w:w="369" w:type="dxa"/>
            <w:tcBorders>
              <w:top w:val="nil"/>
              <w:left w:val="nil"/>
              <w:bottom w:val="nil"/>
              <w:right w:val="nil"/>
            </w:tcBorders>
            <w:shd w:val="clear" w:color="000000" w:fill="FFFFFF"/>
            <w:noWrap/>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r w:rsidRPr="00420853">
              <w:rPr>
                <w:rFonts w:ascii="Calibri" w:hAnsi="Calibri" w:cs="Calibri"/>
                <w:sz w:val="22"/>
                <w:szCs w:val="22"/>
                <w:lang w:val="en-US"/>
              </w:rPr>
              <w:t> </w:t>
            </w:r>
          </w:p>
        </w:tc>
        <w:tc>
          <w:tcPr>
            <w:tcW w:w="1039" w:type="dxa"/>
            <w:tcBorders>
              <w:top w:val="nil"/>
              <w:left w:val="nil"/>
              <w:bottom w:val="nil"/>
              <w:right w:val="nil"/>
            </w:tcBorders>
            <w:shd w:val="clear" w:color="auto" w:fill="auto"/>
            <w:noWrap/>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p>
        </w:tc>
        <w:tc>
          <w:tcPr>
            <w:tcW w:w="1232" w:type="dxa"/>
            <w:tcBorders>
              <w:top w:val="nil"/>
              <w:left w:val="nil"/>
              <w:bottom w:val="nil"/>
              <w:right w:val="nil"/>
            </w:tcBorders>
            <w:shd w:val="clear" w:color="auto" w:fill="auto"/>
            <w:noWrap/>
            <w:hideMark/>
          </w:tcPr>
          <w:p w:rsidR="00420853" w:rsidRPr="00420853" w:rsidRDefault="00420853" w:rsidP="00420853">
            <w:pPr>
              <w:overflowPunct/>
              <w:autoSpaceDE/>
              <w:autoSpaceDN/>
              <w:adjustRightInd/>
              <w:spacing w:line="240" w:lineRule="auto"/>
              <w:jc w:val="right"/>
              <w:textAlignment w:val="auto"/>
              <w:rPr>
                <w:rFonts w:ascii="Calibri" w:hAnsi="Calibri" w:cs="Calibri"/>
                <w:sz w:val="22"/>
                <w:szCs w:val="22"/>
                <w:lang w:val="en-US"/>
              </w:rPr>
            </w:pPr>
            <w:r w:rsidRPr="00420853">
              <w:rPr>
                <w:rFonts w:ascii="Calibri" w:hAnsi="Calibri" w:cs="Calibri"/>
                <w:sz w:val="22"/>
                <w:szCs w:val="22"/>
                <w:lang w:val="en-US"/>
              </w:rPr>
              <w:t xml:space="preserve"> 1'490'561 </w:t>
            </w:r>
          </w:p>
        </w:tc>
        <w:tc>
          <w:tcPr>
            <w:tcW w:w="275" w:type="dxa"/>
            <w:tcBorders>
              <w:top w:val="nil"/>
              <w:left w:val="nil"/>
              <w:bottom w:val="nil"/>
              <w:right w:val="nil"/>
            </w:tcBorders>
            <w:shd w:val="clear" w:color="auto" w:fill="auto"/>
            <w:noWrap/>
            <w:vAlign w:val="bottom"/>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p>
        </w:tc>
        <w:tc>
          <w:tcPr>
            <w:tcW w:w="1170" w:type="dxa"/>
            <w:tcBorders>
              <w:top w:val="nil"/>
              <w:left w:val="nil"/>
              <w:bottom w:val="nil"/>
              <w:right w:val="nil"/>
            </w:tcBorders>
            <w:shd w:val="clear" w:color="auto" w:fill="auto"/>
            <w:noWrap/>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p>
        </w:tc>
        <w:tc>
          <w:tcPr>
            <w:tcW w:w="1196" w:type="dxa"/>
            <w:tcBorders>
              <w:top w:val="nil"/>
              <w:left w:val="nil"/>
              <w:bottom w:val="nil"/>
              <w:right w:val="single" w:sz="4" w:space="0" w:color="auto"/>
            </w:tcBorders>
            <w:shd w:val="clear" w:color="auto" w:fill="auto"/>
            <w:noWrap/>
            <w:hideMark/>
          </w:tcPr>
          <w:p w:rsidR="00420853" w:rsidRPr="00420853" w:rsidRDefault="00420853" w:rsidP="00420853">
            <w:pPr>
              <w:overflowPunct/>
              <w:autoSpaceDE/>
              <w:autoSpaceDN/>
              <w:adjustRightInd/>
              <w:spacing w:line="240" w:lineRule="auto"/>
              <w:jc w:val="right"/>
              <w:textAlignment w:val="auto"/>
              <w:rPr>
                <w:rFonts w:ascii="Calibri" w:hAnsi="Calibri" w:cs="Calibri"/>
                <w:sz w:val="22"/>
                <w:szCs w:val="22"/>
                <w:lang w:val="en-US"/>
              </w:rPr>
            </w:pPr>
            <w:r w:rsidRPr="00420853">
              <w:rPr>
                <w:rFonts w:ascii="Calibri" w:hAnsi="Calibri" w:cs="Calibri"/>
                <w:sz w:val="22"/>
                <w:szCs w:val="22"/>
                <w:lang w:val="en-US"/>
              </w:rPr>
              <w:t xml:space="preserve"> 1'523'487 </w:t>
            </w:r>
          </w:p>
        </w:tc>
      </w:tr>
      <w:tr w:rsidR="00420853" w:rsidRPr="00420853" w:rsidTr="00420853">
        <w:trPr>
          <w:trHeight w:val="300"/>
        </w:trPr>
        <w:tc>
          <w:tcPr>
            <w:tcW w:w="3399" w:type="dxa"/>
            <w:tcBorders>
              <w:top w:val="nil"/>
              <w:left w:val="single" w:sz="4" w:space="0" w:color="auto"/>
              <w:bottom w:val="nil"/>
              <w:right w:val="nil"/>
            </w:tcBorders>
            <w:shd w:val="clear" w:color="000000" w:fill="FFFFFF"/>
            <w:noWrap/>
            <w:hideMark/>
          </w:tcPr>
          <w:p w:rsidR="00420853" w:rsidRPr="00420853" w:rsidRDefault="00420853" w:rsidP="00420853">
            <w:pPr>
              <w:overflowPunct/>
              <w:autoSpaceDE/>
              <w:autoSpaceDN/>
              <w:adjustRightInd/>
              <w:spacing w:line="240" w:lineRule="auto"/>
              <w:ind w:firstLineChars="300" w:firstLine="660"/>
              <w:textAlignment w:val="auto"/>
              <w:rPr>
                <w:rFonts w:ascii="Calibri" w:hAnsi="Calibri" w:cs="Calibri"/>
                <w:sz w:val="22"/>
                <w:szCs w:val="22"/>
                <w:lang w:val="en-US"/>
              </w:rPr>
            </w:pPr>
            <w:r w:rsidRPr="00420853">
              <w:rPr>
                <w:rFonts w:ascii="Calibri" w:hAnsi="Calibri" w:cs="Calibri"/>
                <w:sz w:val="22"/>
                <w:szCs w:val="22"/>
                <w:lang w:val="en-US"/>
              </w:rPr>
              <w:t> </w:t>
            </w:r>
          </w:p>
        </w:tc>
        <w:tc>
          <w:tcPr>
            <w:tcW w:w="694" w:type="dxa"/>
            <w:tcBorders>
              <w:top w:val="nil"/>
              <w:left w:val="nil"/>
              <w:bottom w:val="nil"/>
              <w:right w:val="nil"/>
            </w:tcBorders>
            <w:shd w:val="clear" w:color="000000" w:fill="FFFFFF"/>
            <w:hideMark/>
          </w:tcPr>
          <w:p w:rsidR="00420853" w:rsidRPr="00420853" w:rsidRDefault="00420853" w:rsidP="00420853">
            <w:pPr>
              <w:overflowPunct/>
              <w:autoSpaceDE/>
              <w:autoSpaceDN/>
              <w:adjustRightInd/>
              <w:spacing w:line="240" w:lineRule="auto"/>
              <w:jc w:val="center"/>
              <w:textAlignment w:val="auto"/>
              <w:rPr>
                <w:rFonts w:ascii="Calibri" w:hAnsi="Calibri" w:cs="Calibri"/>
                <w:sz w:val="22"/>
                <w:szCs w:val="22"/>
                <w:lang w:val="en-US"/>
              </w:rPr>
            </w:pPr>
            <w:r w:rsidRPr="00420853">
              <w:rPr>
                <w:rFonts w:ascii="Calibri" w:hAnsi="Calibri" w:cs="Calibri"/>
                <w:sz w:val="22"/>
                <w:szCs w:val="22"/>
                <w:lang w:val="en-US"/>
              </w:rPr>
              <w:t> </w:t>
            </w:r>
          </w:p>
        </w:tc>
        <w:tc>
          <w:tcPr>
            <w:tcW w:w="369" w:type="dxa"/>
            <w:tcBorders>
              <w:top w:val="nil"/>
              <w:left w:val="nil"/>
              <w:bottom w:val="nil"/>
              <w:right w:val="nil"/>
            </w:tcBorders>
            <w:shd w:val="clear" w:color="000000" w:fill="FFFFFF"/>
            <w:noWrap/>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r w:rsidRPr="00420853">
              <w:rPr>
                <w:rFonts w:ascii="Calibri" w:hAnsi="Calibri" w:cs="Calibri"/>
                <w:sz w:val="22"/>
                <w:szCs w:val="22"/>
                <w:lang w:val="en-US"/>
              </w:rPr>
              <w:t> </w:t>
            </w:r>
          </w:p>
        </w:tc>
        <w:tc>
          <w:tcPr>
            <w:tcW w:w="1039" w:type="dxa"/>
            <w:tcBorders>
              <w:top w:val="nil"/>
              <w:left w:val="nil"/>
              <w:bottom w:val="nil"/>
              <w:right w:val="nil"/>
            </w:tcBorders>
            <w:shd w:val="clear" w:color="auto" w:fill="auto"/>
            <w:noWrap/>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p>
        </w:tc>
        <w:tc>
          <w:tcPr>
            <w:tcW w:w="1232" w:type="dxa"/>
            <w:tcBorders>
              <w:top w:val="nil"/>
              <w:left w:val="nil"/>
              <w:bottom w:val="nil"/>
              <w:right w:val="nil"/>
            </w:tcBorders>
            <w:shd w:val="clear" w:color="auto" w:fill="auto"/>
            <w:noWrap/>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p>
        </w:tc>
        <w:tc>
          <w:tcPr>
            <w:tcW w:w="275" w:type="dxa"/>
            <w:tcBorders>
              <w:top w:val="nil"/>
              <w:left w:val="nil"/>
              <w:bottom w:val="nil"/>
              <w:right w:val="nil"/>
            </w:tcBorders>
            <w:shd w:val="clear" w:color="auto" w:fill="auto"/>
            <w:noWrap/>
            <w:vAlign w:val="bottom"/>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p>
        </w:tc>
        <w:tc>
          <w:tcPr>
            <w:tcW w:w="1170" w:type="dxa"/>
            <w:tcBorders>
              <w:top w:val="nil"/>
              <w:left w:val="nil"/>
              <w:bottom w:val="nil"/>
              <w:right w:val="nil"/>
            </w:tcBorders>
            <w:shd w:val="clear" w:color="auto" w:fill="auto"/>
            <w:noWrap/>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p>
        </w:tc>
        <w:tc>
          <w:tcPr>
            <w:tcW w:w="1196" w:type="dxa"/>
            <w:tcBorders>
              <w:top w:val="nil"/>
              <w:left w:val="nil"/>
              <w:bottom w:val="nil"/>
              <w:right w:val="single" w:sz="4" w:space="0" w:color="auto"/>
            </w:tcBorders>
            <w:shd w:val="clear" w:color="auto" w:fill="auto"/>
            <w:noWrap/>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r w:rsidRPr="00420853">
              <w:rPr>
                <w:rFonts w:ascii="Calibri" w:hAnsi="Calibri" w:cs="Calibri"/>
                <w:sz w:val="22"/>
                <w:szCs w:val="22"/>
                <w:lang w:val="en-US"/>
              </w:rPr>
              <w:t> </w:t>
            </w:r>
          </w:p>
        </w:tc>
      </w:tr>
      <w:tr w:rsidR="00420853" w:rsidRPr="00420853" w:rsidTr="00420853">
        <w:trPr>
          <w:trHeight w:val="300"/>
        </w:trPr>
        <w:tc>
          <w:tcPr>
            <w:tcW w:w="3399" w:type="dxa"/>
            <w:tcBorders>
              <w:top w:val="nil"/>
              <w:left w:val="single" w:sz="4" w:space="0" w:color="auto"/>
              <w:bottom w:val="nil"/>
              <w:right w:val="nil"/>
            </w:tcBorders>
            <w:shd w:val="clear" w:color="000000" w:fill="FFFFFF"/>
            <w:hideMark/>
          </w:tcPr>
          <w:p w:rsidR="00420853" w:rsidRPr="00420853" w:rsidRDefault="00420853" w:rsidP="00420853">
            <w:pPr>
              <w:overflowPunct/>
              <w:autoSpaceDE/>
              <w:autoSpaceDN/>
              <w:adjustRightInd/>
              <w:spacing w:line="240" w:lineRule="auto"/>
              <w:textAlignment w:val="auto"/>
              <w:rPr>
                <w:rFonts w:ascii="Calibri" w:hAnsi="Calibri" w:cs="Calibri"/>
                <w:b/>
                <w:bCs/>
                <w:sz w:val="22"/>
                <w:szCs w:val="22"/>
                <w:lang w:val="en-US"/>
              </w:rPr>
            </w:pPr>
            <w:r w:rsidRPr="00420853">
              <w:rPr>
                <w:rFonts w:ascii="Calibri" w:hAnsi="Calibri" w:cs="Calibri"/>
                <w:b/>
                <w:bCs/>
                <w:sz w:val="22"/>
                <w:szCs w:val="22"/>
                <w:lang w:val="en-US"/>
              </w:rPr>
              <w:t>Current liabilities</w:t>
            </w:r>
          </w:p>
        </w:tc>
        <w:tc>
          <w:tcPr>
            <w:tcW w:w="694" w:type="dxa"/>
            <w:tcBorders>
              <w:top w:val="nil"/>
              <w:left w:val="nil"/>
              <w:bottom w:val="nil"/>
              <w:right w:val="nil"/>
            </w:tcBorders>
            <w:shd w:val="clear" w:color="000000" w:fill="FFFFFF"/>
            <w:hideMark/>
          </w:tcPr>
          <w:p w:rsidR="00420853" w:rsidRPr="00420853" w:rsidRDefault="00420853" w:rsidP="00420853">
            <w:pPr>
              <w:overflowPunct/>
              <w:autoSpaceDE/>
              <w:autoSpaceDN/>
              <w:adjustRightInd/>
              <w:spacing w:line="240" w:lineRule="auto"/>
              <w:jc w:val="center"/>
              <w:textAlignment w:val="auto"/>
              <w:rPr>
                <w:rFonts w:ascii="Calibri" w:hAnsi="Calibri" w:cs="Calibri"/>
                <w:sz w:val="22"/>
                <w:szCs w:val="22"/>
                <w:lang w:val="en-US"/>
              </w:rPr>
            </w:pPr>
            <w:r w:rsidRPr="00420853">
              <w:rPr>
                <w:rFonts w:ascii="Calibri" w:hAnsi="Calibri" w:cs="Calibri"/>
                <w:sz w:val="22"/>
                <w:szCs w:val="22"/>
                <w:lang w:val="en-US"/>
              </w:rPr>
              <w:t>6</w:t>
            </w:r>
          </w:p>
        </w:tc>
        <w:tc>
          <w:tcPr>
            <w:tcW w:w="369" w:type="dxa"/>
            <w:tcBorders>
              <w:top w:val="nil"/>
              <w:left w:val="nil"/>
              <w:bottom w:val="nil"/>
              <w:right w:val="nil"/>
            </w:tcBorders>
            <w:shd w:val="clear" w:color="000000" w:fill="FFFFFF"/>
            <w:noWrap/>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r w:rsidRPr="00420853">
              <w:rPr>
                <w:rFonts w:ascii="Calibri" w:hAnsi="Calibri" w:cs="Calibri"/>
                <w:sz w:val="22"/>
                <w:szCs w:val="22"/>
                <w:lang w:val="en-US"/>
              </w:rPr>
              <w:t> </w:t>
            </w:r>
          </w:p>
        </w:tc>
        <w:tc>
          <w:tcPr>
            <w:tcW w:w="1039" w:type="dxa"/>
            <w:tcBorders>
              <w:top w:val="nil"/>
              <w:left w:val="nil"/>
              <w:bottom w:val="nil"/>
              <w:right w:val="nil"/>
            </w:tcBorders>
            <w:shd w:val="clear" w:color="auto" w:fill="auto"/>
            <w:noWrap/>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p>
        </w:tc>
        <w:tc>
          <w:tcPr>
            <w:tcW w:w="1232" w:type="dxa"/>
            <w:tcBorders>
              <w:top w:val="nil"/>
              <w:left w:val="nil"/>
              <w:bottom w:val="nil"/>
              <w:right w:val="nil"/>
            </w:tcBorders>
            <w:shd w:val="clear" w:color="auto" w:fill="auto"/>
            <w:noWrap/>
            <w:hideMark/>
          </w:tcPr>
          <w:p w:rsidR="00420853" w:rsidRPr="00420853" w:rsidRDefault="00420853" w:rsidP="00420853">
            <w:pPr>
              <w:overflowPunct/>
              <w:autoSpaceDE/>
              <w:autoSpaceDN/>
              <w:adjustRightInd/>
              <w:spacing w:line="240" w:lineRule="auto"/>
              <w:jc w:val="right"/>
              <w:textAlignment w:val="auto"/>
              <w:rPr>
                <w:rFonts w:ascii="Calibri" w:hAnsi="Calibri" w:cs="Calibri"/>
                <w:sz w:val="22"/>
                <w:szCs w:val="22"/>
                <w:lang w:val="en-US"/>
              </w:rPr>
            </w:pPr>
            <w:r w:rsidRPr="00420853">
              <w:rPr>
                <w:rFonts w:ascii="Calibri" w:hAnsi="Calibri" w:cs="Calibri"/>
                <w:sz w:val="22"/>
                <w:szCs w:val="22"/>
                <w:lang w:val="en-US"/>
              </w:rPr>
              <w:t xml:space="preserve"> 34'037 </w:t>
            </w:r>
          </w:p>
        </w:tc>
        <w:tc>
          <w:tcPr>
            <w:tcW w:w="275" w:type="dxa"/>
            <w:tcBorders>
              <w:top w:val="nil"/>
              <w:left w:val="nil"/>
              <w:bottom w:val="nil"/>
              <w:right w:val="nil"/>
            </w:tcBorders>
            <w:shd w:val="clear" w:color="auto" w:fill="auto"/>
            <w:noWrap/>
            <w:vAlign w:val="bottom"/>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p>
        </w:tc>
        <w:tc>
          <w:tcPr>
            <w:tcW w:w="1170" w:type="dxa"/>
            <w:tcBorders>
              <w:top w:val="nil"/>
              <w:left w:val="nil"/>
              <w:bottom w:val="nil"/>
              <w:right w:val="nil"/>
            </w:tcBorders>
            <w:shd w:val="clear" w:color="auto" w:fill="auto"/>
            <w:noWrap/>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p>
        </w:tc>
        <w:tc>
          <w:tcPr>
            <w:tcW w:w="1196" w:type="dxa"/>
            <w:tcBorders>
              <w:top w:val="nil"/>
              <w:left w:val="nil"/>
              <w:bottom w:val="nil"/>
              <w:right w:val="single" w:sz="4" w:space="0" w:color="auto"/>
            </w:tcBorders>
            <w:shd w:val="clear" w:color="auto" w:fill="auto"/>
            <w:noWrap/>
            <w:hideMark/>
          </w:tcPr>
          <w:p w:rsidR="00420853" w:rsidRPr="00420853" w:rsidRDefault="00420853" w:rsidP="00420853">
            <w:pPr>
              <w:overflowPunct/>
              <w:autoSpaceDE/>
              <w:autoSpaceDN/>
              <w:adjustRightInd/>
              <w:spacing w:line="240" w:lineRule="auto"/>
              <w:jc w:val="right"/>
              <w:textAlignment w:val="auto"/>
              <w:rPr>
                <w:rFonts w:ascii="Calibri" w:hAnsi="Calibri" w:cs="Calibri"/>
                <w:sz w:val="22"/>
                <w:szCs w:val="22"/>
                <w:lang w:val="en-US"/>
              </w:rPr>
            </w:pPr>
            <w:r w:rsidRPr="00420853">
              <w:rPr>
                <w:rFonts w:ascii="Calibri" w:hAnsi="Calibri" w:cs="Calibri"/>
                <w:sz w:val="22"/>
                <w:szCs w:val="22"/>
                <w:lang w:val="en-US"/>
              </w:rPr>
              <w:t xml:space="preserve"> 701'873 </w:t>
            </w:r>
          </w:p>
        </w:tc>
      </w:tr>
      <w:tr w:rsidR="00420853" w:rsidRPr="00420853" w:rsidTr="00420853">
        <w:trPr>
          <w:trHeight w:val="300"/>
        </w:trPr>
        <w:tc>
          <w:tcPr>
            <w:tcW w:w="3399" w:type="dxa"/>
            <w:tcBorders>
              <w:top w:val="nil"/>
              <w:left w:val="single" w:sz="4" w:space="0" w:color="auto"/>
              <w:bottom w:val="nil"/>
              <w:right w:val="nil"/>
            </w:tcBorders>
            <w:shd w:val="clear" w:color="000000" w:fill="FFFFFF"/>
            <w:noWrap/>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r w:rsidRPr="00420853">
              <w:rPr>
                <w:rFonts w:ascii="Calibri" w:hAnsi="Calibri" w:cs="Calibri"/>
                <w:sz w:val="22"/>
                <w:szCs w:val="22"/>
                <w:lang w:val="en-US"/>
              </w:rPr>
              <w:t> </w:t>
            </w:r>
          </w:p>
        </w:tc>
        <w:tc>
          <w:tcPr>
            <w:tcW w:w="694" w:type="dxa"/>
            <w:tcBorders>
              <w:top w:val="nil"/>
              <w:left w:val="nil"/>
              <w:bottom w:val="nil"/>
              <w:right w:val="nil"/>
            </w:tcBorders>
            <w:shd w:val="clear" w:color="000000" w:fill="FFFFFF"/>
            <w:hideMark/>
          </w:tcPr>
          <w:p w:rsidR="00420853" w:rsidRPr="00420853" w:rsidRDefault="00420853" w:rsidP="00420853">
            <w:pPr>
              <w:overflowPunct/>
              <w:autoSpaceDE/>
              <w:autoSpaceDN/>
              <w:adjustRightInd/>
              <w:spacing w:line="240" w:lineRule="auto"/>
              <w:jc w:val="center"/>
              <w:textAlignment w:val="auto"/>
              <w:rPr>
                <w:rFonts w:ascii="Calibri" w:hAnsi="Calibri" w:cs="Calibri"/>
                <w:sz w:val="22"/>
                <w:szCs w:val="22"/>
                <w:lang w:val="en-US"/>
              </w:rPr>
            </w:pPr>
            <w:r w:rsidRPr="00420853">
              <w:rPr>
                <w:rFonts w:ascii="Calibri" w:hAnsi="Calibri" w:cs="Calibri"/>
                <w:sz w:val="22"/>
                <w:szCs w:val="22"/>
                <w:lang w:val="en-US"/>
              </w:rPr>
              <w:t> </w:t>
            </w:r>
          </w:p>
        </w:tc>
        <w:tc>
          <w:tcPr>
            <w:tcW w:w="369" w:type="dxa"/>
            <w:tcBorders>
              <w:top w:val="nil"/>
              <w:left w:val="nil"/>
              <w:bottom w:val="nil"/>
              <w:right w:val="nil"/>
            </w:tcBorders>
            <w:shd w:val="clear" w:color="000000" w:fill="FFFFFF"/>
            <w:noWrap/>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r w:rsidRPr="00420853">
              <w:rPr>
                <w:rFonts w:ascii="Calibri" w:hAnsi="Calibri" w:cs="Calibri"/>
                <w:sz w:val="22"/>
                <w:szCs w:val="22"/>
                <w:lang w:val="en-US"/>
              </w:rPr>
              <w:t> </w:t>
            </w:r>
          </w:p>
        </w:tc>
        <w:tc>
          <w:tcPr>
            <w:tcW w:w="1039" w:type="dxa"/>
            <w:tcBorders>
              <w:top w:val="nil"/>
              <w:left w:val="nil"/>
              <w:bottom w:val="nil"/>
              <w:right w:val="nil"/>
            </w:tcBorders>
            <w:shd w:val="clear" w:color="auto" w:fill="auto"/>
            <w:noWrap/>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p>
        </w:tc>
        <w:tc>
          <w:tcPr>
            <w:tcW w:w="1232" w:type="dxa"/>
            <w:tcBorders>
              <w:top w:val="nil"/>
              <w:left w:val="nil"/>
              <w:bottom w:val="nil"/>
              <w:right w:val="nil"/>
            </w:tcBorders>
            <w:shd w:val="clear" w:color="auto" w:fill="auto"/>
            <w:noWrap/>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p>
        </w:tc>
        <w:tc>
          <w:tcPr>
            <w:tcW w:w="275" w:type="dxa"/>
            <w:tcBorders>
              <w:top w:val="nil"/>
              <w:left w:val="nil"/>
              <w:bottom w:val="nil"/>
              <w:right w:val="nil"/>
            </w:tcBorders>
            <w:shd w:val="clear" w:color="auto" w:fill="auto"/>
            <w:noWrap/>
            <w:vAlign w:val="bottom"/>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p>
        </w:tc>
        <w:tc>
          <w:tcPr>
            <w:tcW w:w="1170" w:type="dxa"/>
            <w:tcBorders>
              <w:top w:val="nil"/>
              <w:left w:val="nil"/>
              <w:bottom w:val="nil"/>
              <w:right w:val="nil"/>
            </w:tcBorders>
            <w:shd w:val="clear" w:color="auto" w:fill="auto"/>
            <w:noWrap/>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p>
        </w:tc>
        <w:tc>
          <w:tcPr>
            <w:tcW w:w="1196" w:type="dxa"/>
            <w:tcBorders>
              <w:top w:val="nil"/>
              <w:left w:val="nil"/>
              <w:bottom w:val="nil"/>
              <w:right w:val="single" w:sz="4" w:space="0" w:color="auto"/>
            </w:tcBorders>
            <w:shd w:val="clear" w:color="auto" w:fill="auto"/>
            <w:noWrap/>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r w:rsidRPr="00420853">
              <w:rPr>
                <w:rFonts w:ascii="Calibri" w:hAnsi="Calibri" w:cs="Calibri"/>
                <w:sz w:val="22"/>
                <w:szCs w:val="22"/>
                <w:lang w:val="en-US"/>
              </w:rPr>
              <w:t> </w:t>
            </w:r>
          </w:p>
        </w:tc>
      </w:tr>
      <w:tr w:rsidR="00420853" w:rsidRPr="00420853" w:rsidTr="00420853">
        <w:trPr>
          <w:trHeight w:val="315"/>
        </w:trPr>
        <w:tc>
          <w:tcPr>
            <w:tcW w:w="4093" w:type="dxa"/>
            <w:gridSpan w:val="2"/>
            <w:tcBorders>
              <w:top w:val="nil"/>
              <w:left w:val="single" w:sz="4" w:space="0" w:color="auto"/>
              <w:bottom w:val="nil"/>
              <w:right w:val="nil"/>
            </w:tcBorders>
            <w:shd w:val="clear" w:color="000000" w:fill="FFFFFF"/>
            <w:noWrap/>
            <w:hideMark/>
          </w:tcPr>
          <w:p w:rsidR="00420853" w:rsidRPr="00420853" w:rsidRDefault="00420853" w:rsidP="00420853">
            <w:pPr>
              <w:overflowPunct/>
              <w:autoSpaceDE/>
              <w:autoSpaceDN/>
              <w:adjustRightInd/>
              <w:spacing w:line="240" w:lineRule="auto"/>
              <w:textAlignment w:val="auto"/>
              <w:rPr>
                <w:rFonts w:ascii="Calibri" w:hAnsi="Calibri" w:cs="Calibri"/>
                <w:b/>
                <w:bCs/>
                <w:sz w:val="22"/>
                <w:szCs w:val="22"/>
                <w:lang w:val="en-US"/>
              </w:rPr>
            </w:pPr>
            <w:r w:rsidRPr="00420853">
              <w:rPr>
                <w:rFonts w:ascii="Calibri" w:hAnsi="Calibri" w:cs="Calibri"/>
                <w:b/>
                <w:bCs/>
                <w:sz w:val="22"/>
                <w:szCs w:val="22"/>
                <w:lang w:val="en-US"/>
              </w:rPr>
              <w:t>Total shareholder's equity and liabilities</w:t>
            </w:r>
          </w:p>
        </w:tc>
        <w:tc>
          <w:tcPr>
            <w:tcW w:w="369" w:type="dxa"/>
            <w:tcBorders>
              <w:top w:val="nil"/>
              <w:left w:val="nil"/>
              <w:bottom w:val="nil"/>
              <w:right w:val="nil"/>
            </w:tcBorders>
            <w:shd w:val="clear" w:color="000000" w:fill="FFFFFF"/>
            <w:noWrap/>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r w:rsidRPr="00420853">
              <w:rPr>
                <w:rFonts w:ascii="Calibri" w:hAnsi="Calibri" w:cs="Calibri"/>
                <w:sz w:val="22"/>
                <w:szCs w:val="22"/>
                <w:lang w:val="en-US"/>
              </w:rPr>
              <w:t> </w:t>
            </w:r>
          </w:p>
        </w:tc>
        <w:tc>
          <w:tcPr>
            <w:tcW w:w="1039" w:type="dxa"/>
            <w:tcBorders>
              <w:top w:val="nil"/>
              <w:left w:val="nil"/>
              <w:bottom w:val="nil"/>
              <w:right w:val="nil"/>
            </w:tcBorders>
            <w:shd w:val="clear" w:color="auto" w:fill="auto"/>
            <w:noWrap/>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p>
        </w:tc>
        <w:tc>
          <w:tcPr>
            <w:tcW w:w="1232" w:type="dxa"/>
            <w:tcBorders>
              <w:top w:val="single" w:sz="4" w:space="0" w:color="auto"/>
              <w:left w:val="nil"/>
              <w:bottom w:val="double" w:sz="6" w:space="0" w:color="auto"/>
              <w:right w:val="nil"/>
            </w:tcBorders>
            <w:shd w:val="clear" w:color="auto" w:fill="auto"/>
            <w:noWrap/>
            <w:vAlign w:val="bottom"/>
            <w:hideMark/>
          </w:tcPr>
          <w:p w:rsidR="00420853" w:rsidRPr="00420853" w:rsidRDefault="00420853" w:rsidP="00420853">
            <w:pPr>
              <w:overflowPunct/>
              <w:autoSpaceDE/>
              <w:autoSpaceDN/>
              <w:adjustRightInd/>
              <w:spacing w:line="240" w:lineRule="auto"/>
              <w:jc w:val="right"/>
              <w:textAlignment w:val="auto"/>
              <w:rPr>
                <w:rFonts w:ascii="Calibri" w:hAnsi="Calibri" w:cs="Calibri"/>
                <w:sz w:val="22"/>
                <w:szCs w:val="22"/>
                <w:lang w:val="en-US"/>
              </w:rPr>
            </w:pPr>
            <w:r w:rsidRPr="00420853">
              <w:rPr>
                <w:rFonts w:ascii="Calibri" w:hAnsi="Calibri" w:cs="Calibri"/>
                <w:sz w:val="22"/>
                <w:szCs w:val="22"/>
                <w:lang w:val="en-US"/>
              </w:rPr>
              <w:t xml:space="preserve"> 1'529'320 </w:t>
            </w:r>
          </w:p>
        </w:tc>
        <w:tc>
          <w:tcPr>
            <w:tcW w:w="275" w:type="dxa"/>
            <w:tcBorders>
              <w:top w:val="nil"/>
              <w:left w:val="nil"/>
              <w:bottom w:val="nil"/>
              <w:right w:val="nil"/>
            </w:tcBorders>
            <w:shd w:val="clear" w:color="auto" w:fill="auto"/>
            <w:noWrap/>
            <w:vAlign w:val="bottom"/>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p>
        </w:tc>
        <w:tc>
          <w:tcPr>
            <w:tcW w:w="1170" w:type="dxa"/>
            <w:tcBorders>
              <w:top w:val="nil"/>
              <w:left w:val="nil"/>
              <w:bottom w:val="nil"/>
              <w:right w:val="nil"/>
            </w:tcBorders>
            <w:shd w:val="clear" w:color="auto" w:fill="auto"/>
            <w:noWrap/>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p>
        </w:tc>
        <w:tc>
          <w:tcPr>
            <w:tcW w:w="1196" w:type="dxa"/>
            <w:tcBorders>
              <w:top w:val="single" w:sz="4" w:space="0" w:color="auto"/>
              <w:left w:val="nil"/>
              <w:bottom w:val="double" w:sz="6" w:space="0" w:color="auto"/>
              <w:right w:val="single" w:sz="4" w:space="0" w:color="auto"/>
            </w:tcBorders>
            <w:shd w:val="clear" w:color="auto" w:fill="auto"/>
            <w:noWrap/>
            <w:vAlign w:val="bottom"/>
            <w:hideMark/>
          </w:tcPr>
          <w:p w:rsidR="00420853" w:rsidRPr="00420853" w:rsidRDefault="00420853" w:rsidP="00420853">
            <w:pPr>
              <w:overflowPunct/>
              <w:autoSpaceDE/>
              <w:autoSpaceDN/>
              <w:adjustRightInd/>
              <w:spacing w:line="240" w:lineRule="auto"/>
              <w:jc w:val="right"/>
              <w:textAlignment w:val="auto"/>
              <w:rPr>
                <w:rFonts w:ascii="Calibri" w:hAnsi="Calibri" w:cs="Calibri"/>
                <w:sz w:val="22"/>
                <w:szCs w:val="22"/>
                <w:lang w:val="en-US"/>
              </w:rPr>
            </w:pPr>
            <w:r w:rsidRPr="00420853">
              <w:rPr>
                <w:rFonts w:ascii="Calibri" w:hAnsi="Calibri" w:cs="Calibri"/>
                <w:sz w:val="22"/>
                <w:szCs w:val="22"/>
                <w:lang w:val="en-US"/>
              </w:rPr>
              <w:t xml:space="preserve"> 2'228'999 </w:t>
            </w:r>
          </w:p>
        </w:tc>
      </w:tr>
      <w:tr w:rsidR="00420853" w:rsidRPr="00420853" w:rsidTr="00420853">
        <w:trPr>
          <w:trHeight w:val="315"/>
        </w:trPr>
        <w:tc>
          <w:tcPr>
            <w:tcW w:w="3399" w:type="dxa"/>
            <w:tcBorders>
              <w:top w:val="nil"/>
              <w:left w:val="single" w:sz="4" w:space="0" w:color="auto"/>
              <w:bottom w:val="single" w:sz="4" w:space="0" w:color="auto"/>
              <w:right w:val="nil"/>
            </w:tcBorders>
            <w:shd w:val="clear" w:color="000000" w:fill="FFFFFF"/>
            <w:noWrap/>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r w:rsidRPr="00420853">
              <w:rPr>
                <w:rFonts w:ascii="Calibri" w:hAnsi="Calibri" w:cs="Calibri"/>
                <w:sz w:val="22"/>
                <w:szCs w:val="22"/>
                <w:lang w:val="en-US"/>
              </w:rPr>
              <w:t> </w:t>
            </w:r>
          </w:p>
        </w:tc>
        <w:tc>
          <w:tcPr>
            <w:tcW w:w="694" w:type="dxa"/>
            <w:tcBorders>
              <w:top w:val="nil"/>
              <w:left w:val="nil"/>
              <w:bottom w:val="single" w:sz="4" w:space="0" w:color="auto"/>
              <w:right w:val="nil"/>
            </w:tcBorders>
            <w:shd w:val="clear" w:color="000000" w:fill="FFFFFF"/>
            <w:noWrap/>
            <w:hideMark/>
          </w:tcPr>
          <w:p w:rsidR="00420853" w:rsidRPr="00420853" w:rsidRDefault="00420853" w:rsidP="00420853">
            <w:pPr>
              <w:overflowPunct/>
              <w:autoSpaceDE/>
              <w:autoSpaceDN/>
              <w:adjustRightInd/>
              <w:spacing w:line="240" w:lineRule="auto"/>
              <w:jc w:val="center"/>
              <w:textAlignment w:val="auto"/>
              <w:rPr>
                <w:rFonts w:ascii="Calibri" w:hAnsi="Calibri" w:cs="Calibri"/>
                <w:sz w:val="22"/>
                <w:szCs w:val="22"/>
                <w:lang w:val="en-US"/>
              </w:rPr>
            </w:pPr>
            <w:r w:rsidRPr="00420853">
              <w:rPr>
                <w:rFonts w:ascii="Calibri" w:hAnsi="Calibri" w:cs="Calibri"/>
                <w:sz w:val="22"/>
                <w:szCs w:val="22"/>
                <w:lang w:val="en-US"/>
              </w:rPr>
              <w:t> </w:t>
            </w:r>
          </w:p>
        </w:tc>
        <w:tc>
          <w:tcPr>
            <w:tcW w:w="369" w:type="dxa"/>
            <w:tcBorders>
              <w:top w:val="nil"/>
              <w:left w:val="nil"/>
              <w:bottom w:val="single" w:sz="4" w:space="0" w:color="auto"/>
              <w:right w:val="nil"/>
            </w:tcBorders>
            <w:shd w:val="clear" w:color="000000" w:fill="FFFFFF"/>
            <w:hideMark/>
          </w:tcPr>
          <w:p w:rsidR="00420853" w:rsidRPr="00420853" w:rsidRDefault="00420853" w:rsidP="00420853">
            <w:pPr>
              <w:overflowPunct/>
              <w:autoSpaceDE/>
              <w:autoSpaceDN/>
              <w:adjustRightInd/>
              <w:spacing w:line="240" w:lineRule="auto"/>
              <w:ind w:firstLineChars="100" w:firstLine="221"/>
              <w:jc w:val="right"/>
              <w:textAlignment w:val="auto"/>
              <w:rPr>
                <w:rFonts w:ascii="Calibri" w:hAnsi="Calibri" w:cs="Calibri"/>
                <w:b/>
                <w:bCs/>
                <w:sz w:val="22"/>
                <w:szCs w:val="22"/>
                <w:lang w:val="en-US"/>
              </w:rPr>
            </w:pPr>
            <w:r w:rsidRPr="00420853">
              <w:rPr>
                <w:rFonts w:ascii="Calibri" w:hAnsi="Calibri" w:cs="Calibri"/>
                <w:b/>
                <w:bCs/>
                <w:sz w:val="22"/>
                <w:szCs w:val="22"/>
                <w:lang w:val="en-US"/>
              </w:rPr>
              <w:t> </w:t>
            </w:r>
          </w:p>
        </w:tc>
        <w:tc>
          <w:tcPr>
            <w:tcW w:w="1039" w:type="dxa"/>
            <w:tcBorders>
              <w:top w:val="nil"/>
              <w:left w:val="nil"/>
              <w:bottom w:val="single" w:sz="4" w:space="0" w:color="auto"/>
              <w:right w:val="nil"/>
            </w:tcBorders>
            <w:shd w:val="clear" w:color="auto" w:fill="auto"/>
            <w:hideMark/>
          </w:tcPr>
          <w:p w:rsidR="00420853" w:rsidRPr="00420853" w:rsidRDefault="00420853" w:rsidP="00420853">
            <w:pPr>
              <w:overflowPunct/>
              <w:autoSpaceDE/>
              <w:autoSpaceDN/>
              <w:adjustRightInd/>
              <w:spacing w:line="240" w:lineRule="auto"/>
              <w:ind w:firstLineChars="100" w:firstLine="221"/>
              <w:jc w:val="right"/>
              <w:textAlignment w:val="auto"/>
              <w:rPr>
                <w:rFonts w:ascii="Calibri" w:hAnsi="Calibri" w:cs="Calibri"/>
                <w:b/>
                <w:bCs/>
                <w:sz w:val="22"/>
                <w:szCs w:val="22"/>
                <w:lang w:val="en-US"/>
              </w:rPr>
            </w:pPr>
            <w:r w:rsidRPr="00420853">
              <w:rPr>
                <w:rFonts w:ascii="Calibri" w:hAnsi="Calibri" w:cs="Calibri"/>
                <w:b/>
                <w:bCs/>
                <w:sz w:val="22"/>
                <w:szCs w:val="22"/>
                <w:lang w:val="en-US"/>
              </w:rPr>
              <w:t> </w:t>
            </w:r>
          </w:p>
        </w:tc>
        <w:tc>
          <w:tcPr>
            <w:tcW w:w="1232" w:type="dxa"/>
            <w:tcBorders>
              <w:top w:val="nil"/>
              <w:left w:val="nil"/>
              <w:bottom w:val="single" w:sz="4" w:space="0" w:color="auto"/>
              <w:right w:val="nil"/>
            </w:tcBorders>
            <w:shd w:val="clear" w:color="auto" w:fill="auto"/>
            <w:hideMark/>
          </w:tcPr>
          <w:p w:rsidR="00420853" w:rsidRPr="00420853" w:rsidRDefault="00420853" w:rsidP="00420853">
            <w:pPr>
              <w:overflowPunct/>
              <w:autoSpaceDE/>
              <w:autoSpaceDN/>
              <w:adjustRightInd/>
              <w:spacing w:line="240" w:lineRule="auto"/>
              <w:ind w:firstLineChars="100" w:firstLine="221"/>
              <w:jc w:val="right"/>
              <w:textAlignment w:val="auto"/>
              <w:rPr>
                <w:rFonts w:ascii="Calibri" w:hAnsi="Calibri" w:cs="Calibri"/>
                <w:b/>
                <w:bCs/>
                <w:sz w:val="22"/>
                <w:szCs w:val="22"/>
                <w:lang w:val="en-US"/>
              </w:rPr>
            </w:pPr>
            <w:r w:rsidRPr="00420853">
              <w:rPr>
                <w:rFonts w:ascii="Calibri" w:hAnsi="Calibri" w:cs="Calibri"/>
                <w:b/>
                <w:bCs/>
                <w:sz w:val="22"/>
                <w:szCs w:val="22"/>
                <w:lang w:val="en-US"/>
              </w:rPr>
              <w:t> </w:t>
            </w:r>
          </w:p>
        </w:tc>
        <w:tc>
          <w:tcPr>
            <w:tcW w:w="275" w:type="dxa"/>
            <w:tcBorders>
              <w:top w:val="nil"/>
              <w:left w:val="nil"/>
              <w:bottom w:val="single" w:sz="4" w:space="0" w:color="auto"/>
              <w:right w:val="nil"/>
            </w:tcBorders>
            <w:shd w:val="clear" w:color="auto" w:fill="auto"/>
            <w:noWrap/>
            <w:vAlign w:val="bottom"/>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r w:rsidRPr="00420853">
              <w:rPr>
                <w:rFonts w:ascii="Calibri" w:hAnsi="Calibri" w:cs="Calibri"/>
                <w:sz w:val="22"/>
                <w:szCs w:val="22"/>
                <w:lang w:val="en-US"/>
              </w:rPr>
              <w:t> </w:t>
            </w:r>
          </w:p>
        </w:tc>
        <w:tc>
          <w:tcPr>
            <w:tcW w:w="1170" w:type="dxa"/>
            <w:tcBorders>
              <w:top w:val="nil"/>
              <w:left w:val="nil"/>
              <w:bottom w:val="single" w:sz="4" w:space="0" w:color="auto"/>
              <w:right w:val="nil"/>
            </w:tcBorders>
            <w:shd w:val="clear" w:color="auto" w:fill="auto"/>
            <w:hideMark/>
          </w:tcPr>
          <w:p w:rsidR="00420853" w:rsidRPr="00420853" w:rsidRDefault="00420853" w:rsidP="00420853">
            <w:pPr>
              <w:overflowPunct/>
              <w:autoSpaceDE/>
              <w:autoSpaceDN/>
              <w:adjustRightInd/>
              <w:spacing w:line="240" w:lineRule="auto"/>
              <w:ind w:firstLineChars="100" w:firstLine="221"/>
              <w:jc w:val="right"/>
              <w:textAlignment w:val="auto"/>
              <w:rPr>
                <w:rFonts w:ascii="Calibri" w:hAnsi="Calibri" w:cs="Calibri"/>
                <w:b/>
                <w:bCs/>
                <w:sz w:val="22"/>
                <w:szCs w:val="22"/>
                <w:lang w:val="en-US"/>
              </w:rPr>
            </w:pPr>
            <w:r w:rsidRPr="00420853">
              <w:rPr>
                <w:rFonts w:ascii="Calibri" w:hAnsi="Calibri" w:cs="Calibri"/>
                <w:b/>
                <w:bCs/>
                <w:sz w:val="22"/>
                <w:szCs w:val="22"/>
                <w:lang w:val="en-US"/>
              </w:rPr>
              <w:t> </w:t>
            </w:r>
          </w:p>
        </w:tc>
        <w:tc>
          <w:tcPr>
            <w:tcW w:w="1196" w:type="dxa"/>
            <w:tcBorders>
              <w:top w:val="nil"/>
              <w:left w:val="nil"/>
              <w:bottom w:val="single" w:sz="4" w:space="0" w:color="auto"/>
              <w:right w:val="single" w:sz="4" w:space="0" w:color="auto"/>
            </w:tcBorders>
            <w:shd w:val="clear" w:color="auto" w:fill="auto"/>
            <w:hideMark/>
          </w:tcPr>
          <w:p w:rsidR="00420853" w:rsidRPr="00420853" w:rsidRDefault="00420853" w:rsidP="00420853">
            <w:pPr>
              <w:overflowPunct/>
              <w:autoSpaceDE/>
              <w:autoSpaceDN/>
              <w:adjustRightInd/>
              <w:spacing w:line="240" w:lineRule="auto"/>
              <w:ind w:firstLineChars="100" w:firstLine="221"/>
              <w:jc w:val="right"/>
              <w:textAlignment w:val="auto"/>
              <w:rPr>
                <w:rFonts w:ascii="Calibri" w:hAnsi="Calibri" w:cs="Calibri"/>
                <w:b/>
                <w:bCs/>
                <w:sz w:val="22"/>
                <w:szCs w:val="22"/>
                <w:lang w:val="en-US"/>
              </w:rPr>
            </w:pPr>
            <w:r w:rsidRPr="00420853">
              <w:rPr>
                <w:rFonts w:ascii="Calibri" w:hAnsi="Calibri" w:cs="Calibri"/>
                <w:b/>
                <w:bCs/>
                <w:sz w:val="22"/>
                <w:szCs w:val="22"/>
                <w:lang w:val="en-US"/>
              </w:rPr>
              <w:t> </w:t>
            </w:r>
          </w:p>
        </w:tc>
      </w:tr>
    </w:tbl>
    <w:p w:rsidR="00420853" w:rsidRDefault="00420853" w:rsidP="003A5625">
      <w:pPr>
        <w:pStyle w:val="000"/>
      </w:pPr>
    </w:p>
    <w:p w:rsidR="003A5625" w:rsidRPr="003A5625" w:rsidRDefault="003A5625" w:rsidP="003A5625">
      <w:pPr>
        <w:pStyle w:val="000"/>
      </w:pPr>
    </w:p>
    <w:p w:rsidR="000F5CCC" w:rsidRPr="00D756D3" w:rsidRDefault="000F5CCC" w:rsidP="000F5CCC">
      <w:pPr>
        <w:pStyle w:val="Style000"/>
        <w:rPr>
          <w:rFonts w:cs="Arial"/>
        </w:rPr>
      </w:pPr>
    </w:p>
    <w:p w:rsidR="000039D1" w:rsidRPr="000039D1" w:rsidRDefault="000039D1" w:rsidP="000039D1">
      <w:pPr>
        <w:pStyle w:val="407"/>
        <w:rPr>
          <w:rFonts w:ascii="Arial" w:hAnsi="Arial" w:cs="Arial"/>
          <w:szCs w:val="24"/>
        </w:rPr>
        <w:sectPr w:rsidR="000039D1" w:rsidRPr="000039D1" w:rsidSect="00280409">
          <w:headerReference w:type="default" r:id="rId10"/>
          <w:footerReference w:type="default" r:id="rId11"/>
          <w:pgSz w:w="11907" w:h="16840" w:code="9"/>
          <w:pgMar w:top="2591" w:right="1247" w:bottom="1814" w:left="1247" w:header="941" w:footer="720" w:gutter="0"/>
          <w:cols w:space="720"/>
        </w:sectPr>
      </w:pPr>
      <w:r w:rsidRPr="00D756D3">
        <w:tab/>
      </w:r>
      <w:r w:rsidRPr="00D756D3">
        <w:tab/>
      </w:r>
    </w:p>
    <w:p w:rsidR="000F5CCC" w:rsidRPr="00D756D3" w:rsidRDefault="000F5CCC" w:rsidP="000F5CCC">
      <w:pPr>
        <w:pStyle w:val="Style000"/>
        <w:rPr>
          <w:rFonts w:cs="Arial"/>
        </w:rPr>
      </w:pPr>
    </w:p>
    <w:p w:rsidR="000F5CCC" w:rsidRDefault="00CD1EB2" w:rsidP="000F5CCC">
      <w:pPr>
        <w:pStyle w:val="080"/>
        <w:rPr>
          <w:rFonts w:cs="Arial"/>
          <w:bCs/>
          <w:color w:val="FF0000"/>
        </w:rPr>
      </w:pPr>
      <w:bookmarkStart w:id="8" w:name="OLE_LINK3"/>
      <w:bookmarkStart w:id="9" w:name="OLE_LINK4"/>
      <w:bookmarkStart w:id="10" w:name="_Toc166662863"/>
      <w:bookmarkStart w:id="11" w:name="_Toc170721825"/>
      <w:bookmarkStart w:id="12" w:name="_Toc170726639"/>
      <w:bookmarkStart w:id="13" w:name="_Toc171138764"/>
      <w:r w:rsidRPr="00D756D3">
        <w:rPr>
          <w:rFonts w:cs="Arial"/>
          <w:bCs/>
        </w:rPr>
        <w:t xml:space="preserve">profit and loss account </w:t>
      </w:r>
      <w:bookmarkEnd w:id="10"/>
      <w:bookmarkEnd w:id="11"/>
      <w:bookmarkEnd w:id="12"/>
      <w:bookmarkEnd w:id="13"/>
      <w:r w:rsidR="006B76C0">
        <w:rPr>
          <w:rFonts w:cs="Arial"/>
          <w:bCs/>
        </w:rPr>
        <w:t>2011</w:t>
      </w:r>
    </w:p>
    <w:tbl>
      <w:tblPr>
        <w:tblW w:w="9375" w:type="dxa"/>
        <w:tblInd w:w="103" w:type="dxa"/>
        <w:tblLook w:val="04A0"/>
      </w:tblPr>
      <w:tblGrid>
        <w:gridCol w:w="3399"/>
        <w:gridCol w:w="694"/>
        <w:gridCol w:w="370"/>
        <w:gridCol w:w="1036"/>
        <w:gridCol w:w="1237"/>
        <w:gridCol w:w="274"/>
        <w:gridCol w:w="1167"/>
        <w:gridCol w:w="1198"/>
      </w:tblGrid>
      <w:tr w:rsidR="00420853" w:rsidRPr="00420853" w:rsidTr="00420853">
        <w:trPr>
          <w:trHeight w:val="292"/>
        </w:trPr>
        <w:tc>
          <w:tcPr>
            <w:tcW w:w="3399" w:type="dxa"/>
            <w:tcBorders>
              <w:top w:val="single" w:sz="4" w:space="0" w:color="auto"/>
              <w:left w:val="single" w:sz="4" w:space="0" w:color="auto"/>
              <w:bottom w:val="single" w:sz="4" w:space="0" w:color="auto"/>
              <w:right w:val="nil"/>
            </w:tcBorders>
            <w:shd w:val="clear" w:color="000000" w:fill="FFFFFF"/>
            <w:noWrap/>
            <w:vAlign w:val="bottom"/>
            <w:hideMark/>
          </w:tcPr>
          <w:p w:rsidR="00420853" w:rsidRPr="00420853" w:rsidRDefault="00420853" w:rsidP="00420853">
            <w:pPr>
              <w:overflowPunct/>
              <w:autoSpaceDE/>
              <w:autoSpaceDN/>
              <w:adjustRightInd/>
              <w:spacing w:line="240" w:lineRule="auto"/>
              <w:textAlignment w:val="auto"/>
              <w:rPr>
                <w:rFonts w:ascii="Calibri" w:hAnsi="Calibri" w:cs="Calibri"/>
                <w:i/>
                <w:iCs/>
                <w:sz w:val="22"/>
                <w:szCs w:val="22"/>
                <w:lang w:val="en-US"/>
              </w:rPr>
            </w:pPr>
            <w:r w:rsidRPr="00420853">
              <w:rPr>
                <w:rFonts w:ascii="Calibri" w:hAnsi="Calibri" w:cs="Calibri"/>
                <w:i/>
                <w:iCs/>
                <w:sz w:val="22"/>
                <w:szCs w:val="22"/>
                <w:lang w:val="en-US"/>
              </w:rPr>
              <w:t> </w:t>
            </w:r>
          </w:p>
        </w:tc>
        <w:tc>
          <w:tcPr>
            <w:tcW w:w="694" w:type="dxa"/>
            <w:tcBorders>
              <w:top w:val="single" w:sz="4" w:space="0" w:color="auto"/>
              <w:left w:val="nil"/>
              <w:bottom w:val="single" w:sz="4" w:space="0" w:color="auto"/>
              <w:right w:val="nil"/>
            </w:tcBorders>
            <w:shd w:val="clear" w:color="000000" w:fill="FFFFFF"/>
            <w:noWrap/>
            <w:vAlign w:val="bottom"/>
            <w:hideMark/>
          </w:tcPr>
          <w:p w:rsidR="00420853" w:rsidRPr="00420853" w:rsidRDefault="00420853" w:rsidP="00420853">
            <w:pPr>
              <w:overflowPunct/>
              <w:autoSpaceDE/>
              <w:autoSpaceDN/>
              <w:adjustRightInd/>
              <w:spacing w:line="240" w:lineRule="auto"/>
              <w:jc w:val="center"/>
              <w:textAlignment w:val="auto"/>
              <w:rPr>
                <w:rFonts w:ascii="Calibri" w:hAnsi="Calibri" w:cs="Calibri"/>
                <w:sz w:val="22"/>
                <w:szCs w:val="22"/>
                <w:lang w:val="en-US"/>
              </w:rPr>
            </w:pPr>
            <w:r w:rsidRPr="00420853">
              <w:rPr>
                <w:rFonts w:ascii="Calibri" w:hAnsi="Calibri" w:cs="Calibri"/>
                <w:sz w:val="22"/>
                <w:szCs w:val="22"/>
                <w:lang w:val="en-US"/>
              </w:rPr>
              <w:t>Note</w:t>
            </w:r>
          </w:p>
        </w:tc>
        <w:tc>
          <w:tcPr>
            <w:tcW w:w="370" w:type="dxa"/>
            <w:tcBorders>
              <w:top w:val="single" w:sz="4" w:space="0" w:color="auto"/>
              <w:left w:val="nil"/>
              <w:bottom w:val="nil"/>
              <w:right w:val="nil"/>
            </w:tcBorders>
            <w:shd w:val="clear" w:color="000000" w:fill="FFFFFF"/>
            <w:noWrap/>
            <w:vAlign w:val="bottom"/>
            <w:hideMark/>
          </w:tcPr>
          <w:p w:rsidR="00420853" w:rsidRPr="00420853" w:rsidRDefault="00420853" w:rsidP="00420853">
            <w:pPr>
              <w:overflowPunct/>
              <w:autoSpaceDE/>
              <w:autoSpaceDN/>
              <w:adjustRightInd/>
              <w:spacing w:line="240" w:lineRule="auto"/>
              <w:jc w:val="center"/>
              <w:textAlignment w:val="auto"/>
              <w:rPr>
                <w:rFonts w:ascii="Calibri" w:hAnsi="Calibri" w:cs="Calibri"/>
                <w:sz w:val="22"/>
                <w:szCs w:val="22"/>
                <w:lang w:val="en-US"/>
              </w:rPr>
            </w:pPr>
            <w:r w:rsidRPr="00420853">
              <w:rPr>
                <w:rFonts w:ascii="Calibri" w:hAnsi="Calibri" w:cs="Calibri"/>
                <w:sz w:val="22"/>
                <w:szCs w:val="22"/>
                <w:lang w:val="en-US"/>
              </w:rPr>
              <w:t> </w:t>
            </w:r>
          </w:p>
        </w:tc>
        <w:tc>
          <w:tcPr>
            <w:tcW w:w="2272" w:type="dxa"/>
            <w:gridSpan w:val="2"/>
            <w:tcBorders>
              <w:top w:val="single" w:sz="4" w:space="0" w:color="auto"/>
              <w:left w:val="nil"/>
              <w:bottom w:val="single" w:sz="4" w:space="0" w:color="auto"/>
              <w:right w:val="nil"/>
            </w:tcBorders>
            <w:shd w:val="clear" w:color="auto" w:fill="auto"/>
            <w:vAlign w:val="bottom"/>
            <w:hideMark/>
          </w:tcPr>
          <w:p w:rsidR="00420853" w:rsidRPr="00420853" w:rsidRDefault="00420853" w:rsidP="00420853">
            <w:pPr>
              <w:overflowPunct/>
              <w:autoSpaceDE/>
              <w:autoSpaceDN/>
              <w:adjustRightInd/>
              <w:spacing w:line="240" w:lineRule="auto"/>
              <w:jc w:val="center"/>
              <w:textAlignment w:val="auto"/>
              <w:rPr>
                <w:rFonts w:ascii="Calibri" w:hAnsi="Calibri" w:cs="Calibri"/>
                <w:sz w:val="22"/>
                <w:szCs w:val="22"/>
                <w:lang w:val="en-US"/>
              </w:rPr>
            </w:pPr>
            <w:r w:rsidRPr="00420853">
              <w:rPr>
                <w:rFonts w:ascii="Calibri" w:hAnsi="Calibri" w:cs="Calibri"/>
                <w:sz w:val="22"/>
                <w:szCs w:val="22"/>
                <w:lang w:val="en-US"/>
              </w:rPr>
              <w:t>2011</w:t>
            </w:r>
          </w:p>
        </w:tc>
        <w:tc>
          <w:tcPr>
            <w:tcW w:w="274" w:type="dxa"/>
            <w:tcBorders>
              <w:top w:val="single" w:sz="4" w:space="0" w:color="auto"/>
              <w:left w:val="nil"/>
              <w:bottom w:val="nil"/>
              <w:right w:val="nil"/>
            </w:tcBorders>
            <w:shd w:val="clear" w:color="auto" w:fill="auto"/>
            <w:noWrap/>
            <w:vAlign w:val="bottom"/>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r w:rsidRPr="00420853">
              <w:rPr>
                <w:rFonts w:ascii="Calibri" w:hAnsi="Calibri" w:cs="Calibri"/>
                <w:sz w:val="22"/>
                <w:szCs w:val="22"/>
                <w:lang w:val="en-US"/>
              </w:rPr>
              <w:t> </w:t>
            </w:r>
          </w:p>
        </w:tc>
        <w:tc>
          <w:tcPr>
            <w:tcW w:w="2365" w:type="dxa"/>
            <w:gridSpan w:val="2"/>
            <w:tcBorders>
              <w:top w:val="single" w:sz="4" w:space="0" w:color="auto"/>
              <w:left w:val="nil"/>
              <w:bottom w:val="single" w:sz="4" w:space="0" w:color="auto"/>
              <w:right w:val="single" w:sz="4" w:space="0" w:color="000000"/>
            </w:tcBorders>
            <w:shd w:val="clear" w:color="auto" w:fill="auto"/>
            <w:vAlign w:val="bottom"/>
            <w:hideMark/>
          </w:tcPr>
          <w:p w:rsidR="00420853" w:rsidRPr="00420853" w:rsidRDefault="00420853" w:rsidP="00420853">
            <w:pPr>
              <w:overflowPunct/>
              <w:autoSpaceDE/>
              <w:autoSpaceDN/>
              <w:adjustRightInd/>
              <w:spacing w:line="240" w:lineRule="auto"/>
              <w:jc w:val="center"/>
              <w:textAlignment w:val="auto"/>
              <w:rPr>
                <w:rFonts w:ascii="Calibri" w:hAnsi="Calibri" w:cs="Calibri"/>
                <w:sz w:val="22"/>
                <w:szCs w:val="22"/>
                <w:lang w:val="en-US"/>
              </w:rPr>
            </w:pPr>
            <w:r w:rsidRPr="00420853">
              <w:rPr>
                <w:rFonts w:ascii="Calibri" w:hAnsi="Calibri" w:cs="Calibri"/>
                <w:sz w:val="22"/>
                <w:szCs w:val="22"/>
                <w:lang w:val="en-US"/>
              </w:rPr>
              <w:t>2010</w:t>
            </w:r>
          </w:p>
        </w:tc>
      </w:tr>
      <w:tr w:rsidR="00420853" w:rsidRPr="00420853" w:rsidTr="00420853">
        <w:trPr>
          <w:trHeight w:val="292"/>
        </w:trPr>
        <w:tc>
          <w:tcPr>
            <w:tcW w:w="3399" w:type="dxa"/>
            <w:tcBorders>
              <w:top w:val="nil"/>
              <w:left w:val="single" w:sz="4" w:space="0" w:color="auto"/>
              <w:bottom w:val="nil"/>
              <w:right w:val="nil"/>
            </w:tcBorders>
            <w:shd w:val="clear" w:color="000000" w:fill="FFFFFF"/>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r w:rsidRPr="00420853">
              <w:rPr>
                <w:rFonts w:ascii="Calibri" w:hAnsi="Calibri" w:cs="Calibri"/>
                <w:sz w:val="22"/>
                <w:szCs w:val="22"/>
                <w:lang w:val="en-US"/>
              </w:rPr>
              <w:t>(in thousands of USD)</w:t>
            </w:r>
          </w:p>
        </w:tc>
        <w:tc>
          <w:tcPr>
            <w:tcW w:w="694" w:type="dxa"/>
            <w:tcBorders>
              <w:top w:val="nil"/>
              <w:left w:val="nil"/>
              <w:bottom w:val="nil"/>
              <w:right w:val="nil"/>
            </w:tcBorders>
            <w:shd w:val="clear" w:color="000000" w:fill="FFFFFF"/>
            <w:hideMark/>
          </w:tcPr>
          <w:p w:rsidR="00420853" w:rsidRPr="00420853" w:rsidRDefault="00420853" w:rsidP="00420853">
            <w:pPr>
              <w:overflowPunct/>
              <w:autoSpaceDE/>
              <w:autoSpaceDN/>
              <w:adjustRightInd/>
              <w:spacing w:line="240" w:lineRule="auto"/>
              <w:jc w:val="center"/>
              <w:textAlignment w:val="auto"/>
              <w:rPr>
                <w:rFonts w:ascii="Calibri" w:hAnsi="Calibri" w:cs="Calibri"/>
                <w:sz w:val="22"/>
                <w:szCs w:val="22"/>
                <w:lang w:val="en-US"/>
              </w:rPr>
            </w:pPr>
            <w:r w:rsidRPr="00420853">
              <w:rPr>
                <w:rFonts w:ascii="Calibri" w:hAnsi="Calibri" w:cs="Calibri"/>
                <w:sz w:val="22"/>
                <w:szCs w:val="22"/>
                <w:lang w:val="en-US"/>
              </w:rPr>
              <w:t> </w:t>
            </w:r>
          </w:p>
        </w:tc>
        <w:tc>
          <w:tcPr>
            <w:tcW w:w="370" w:type="dxa"/>
            <w:tcBorders>
              <w:top w:val="nil"/>
              <w:left w:val="nil"/>
              <w:bottom w:val="nil"/>
              <w:right w:val="nil"/>
            </w:tcBorders>
            <w:shd w:val="clear" w:color="000000" w:fill="FFFFFF"/>
            <w:hideMark/>
          </w:tcPr>
          <w:p w:rsidR="00420853" w:rsidRPr="00420853" w:rsidRDefault="00420853" w:rsidP="00420853">
            <w:pPr>
              <w:overflowPunct/>
              <w:autoSpaceDE/>
              <w:autoSpaceDN/>
              <w:adjustRightInd/>
              <w:spacing w:line="240" w:lineRule="auto"/>
              <w:ind w:firstLineChars="100" w:firstLine="220"/>
              <w:jc w:val="right"/>
              <w:textAlignment w:val="auto"/>
              <w:rPr>
                <w:rFonts w:ascii="Calibri" w:hAnsi="Calibri" w:cs="Calibri"/>
                <w:sz w:val="22"/>
                <w:szCs w:val="22"/>
                <w:lang w:val="en-US"/>
              </w:rPr>
            </w:pPr>
            <w:r w:rsidRPr="00420853">
              <w:rPr>
                <w:rFonts w:ascii="Calibri" w:hAnsi="Calibri" w:cs="Calibri"/>
                <w:sz w:val="22"/>
                <w:szCs w:val="22"/>
                <w:lang w:val="en-US"/>
              </w:rPr>
              <w:t> </w:t>
            </w:r>
          </w:p>
        </w:tc>
        <w:tc>
          <w:tcPr>
            <w:tcW w:w="1036" w:type="dxa"/>
            <w:tcBorders>
              <w:top w:val="nil"/>
              <w:left w:val="nil"/>
              <w:bottom w:val="nil"/>
              <w:right w:val="nil"/>
            </w:tcBorders>
            <w:shd w:val="clear" w:color="auto" w:fill="auto"/>
            <w:hideMark/>
          </w:tcPr>
          <w:p w:rsidR="00420853" w:rsidRPr="00420853" w:rsidRDefault="00420853" w:rsidP="00420853">
            <w:pPr>
              <w:overflowPunct/>
              <w:autoSpaceDE/>
              <w:autoSpaceDN/>
              <w:adjustRightInd/>
              <w:spacing w:line="240" w:lineRule="auto"/>
              <w:ind w:firstLineChars="100" w:firstLine="220"/>
              <w:jc w:val="right"/>
              <w:textAlignment w:val="auto"/>
              <w:rPr>
                <w:rFonts w:ascii="Calibri" w:hAnsi="Calibri" w:cs="Calibri"/>
                <w:sz w:val="22"/>
                <w:szCs w:val="22"/>
                <w:lang w:val="en-US"/>
              </w:rPr>
            </w:pPr>
          </w:p>
        </w:tc>
        <w:tc>
          <w:tcPr>
            <w:tcW w:w="1237" w:type="dxa"/>
            <w:tcBorders>
              <w:top w:val="nil"/>
              <w:left w:val="nil"/>
              <w:bottom w:val="nil"/>
              <w:right w:val="nil"/>
            </w:tcBorders>
            <w:shd w:val="clear" w:color="auto" w:fill="auto"/>
            <w:hideMark/>
          </w:tcPr>
          <w:p w:rsidR="00420853" w:rsidRPr="00420853" w:rsidRDefault="00420853" w:rsidP="00420853">
            <w:pPr>
              <w:overflowPunct/>
              <w:autoSpaceDE/>
              <w:autoSpaceDN/>
              <w:adjustRightInd/>
              <w:spacing w:line="240" w:lineRule="auto"/>
              <w:ind w:firstLineChars="100" w:firstLine="220"/>
              <w:jc w:val="right"/>
              <w:textAlignment w:val="auto"/>
              <w:rPr>
                <w:rFonts w:ascii="Calibri" w:hAnsi="Calibri" w:cs="Calibri"/>
                <w:sz w:val="22"/>
                <w:szCs w:val="22"/>
                <w:lang w:val="en-US"/>
              </w:rPr>
            </w:pPr>
          </w:p>
        </w:tc>
        <w:tc>
          <w:tcPr>
            <w:tcW w:w="274" w:type="dxa"/>
            <w:tcBorders>
              <w:top w:val="nil"/>
              <w:left w:val="nil"/>
              <w:bottom w:val="nil"/>
              <w:right w:val="nil"/>
            </w:tcBorders>
            <w:shd w:val="clear" w:color="auto" w:fill="auto"/>
            <w:noWrap/>
            <w:vAlign w:val="bottom"/>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p>
        </w:tc>
        <w:tc>
          <w:tcPr>
            <w:tcW w:w="1167" w:type="dxa"/>
            <w:tcBorders>
              <w:top w:val="nil"/>
              <w:left w:val="nil"/>
              <w:bottom w:val="nil"/>
              <w:right w:val="nil"/>
            </w:tcBorders>
            <w:shd w:val="clear" w:color="auto" w:fill="auto"/>
            <w:hideMark/>
          </w:tcPr>
          <w:p w:rsidR="00420853" w:rsidRPr="00420853" w:rsidRDefault="00420853" w:rsidP="00420853">
            <w:pPr>
              <w:overflowPunct/>
              <w:autoSpaceDE/>
              <w:autoSpaceDN/>
              <w:adjustRightInd/>
              <w:spacing w:line="240" w:lineRule="auto"/>
              <w:ind w:firstLineChars="100" w:firstLine="220"/>
              <w:jc w:val="right"/>
              <w:textAlignment w:val="auto"/>
              <w:rPr>
                <w:rFonts w:ascii="Calibri" w:hAnsi="Calibri" w:cs="Calibri"/>
                <w:sz w:val="22"/>
                <w:szCs w:val="22"/>
                <w:lang w:val="en-US"/>
              </w:rPr>
            </w:pPr>
          </w:p>
        </w:tc>
        <w:tc>
          <w:tcPr>
            <w:tcW w:w="1198" w:type="dxa"/>
            <w:tcBorders>
              <w:top w:val="nil"/>
              <w:left w:val="nil"/>
              <w:bottom w:val="nil"/>
              <w:right w:val="single" w:sz="4" w:space="0" w:color="auto"/>
            </w:tcBorders>
            <w:shd w:val="clear" w:color="auto" w:fill="auto"/>
            <w:hideMark/>
          </w:tcPr>
          <w:p w:rsidR="00420853" w:rsidRPr="00420853" w:rsidRDefault="00420853" w:rsidP="00420853">
            <w:pPr>
              <w:overflowPunct/>
              <w:autoSpaceDE/>
              <w:autoSpaceDN/>
              <w:adjustRightInd/>
              <w:spacing w:line="240" w:lineRule="auto"/>
              <w:ind w:firstLineChars="100" w:firstLine="220"/>
              <w:jc w:val="right"/>
              <w:textAlignment w:val="auto"/>
              <w:rPr>
                <w:rFonts w:ascii="Calibri" w:hAnsi="Calibri" w:cs="Calibri"/>
                <w:sz w:val="22"/>
                <w:szCs w:val="22"/>
                <w:lang w:val="en-US"/>
              </w:rPr>
            </w:pPr>
            <w:r w:rsidRPr="00420853">
              <w:rPr>
                <w:rFonts w:ascii="Calibri" w:hAnsi="Calibri" w:cs="Calibri"/>
                <w:sz w:val="22"/>
                <w:szCs w:val="22"/>
                <w:lang w:val="en-US"/>
              </w:rPr>
              <w:t> </w:t>
            </w:r>
          </w:p>
        </w:tc>
      </w:tr>
      <w:tr w:rsidR="00420853" w:rsidRPr="00420853" w:rsidTr="00420853">
        <w:trPr>
          <w:trHeight w:val="292"/>
        </w:trPr>
        <w:tc>
          <w:tcPr>
            <w:tcW w:w="3399" w:type="dxa"/>
            <w:tcBorders>
              <w:top w:val="nil"/>
              <w:left w:val="single" w:sz="4" w:space="0" w:color="auto"/>
              <w:bottom w:val="nil"/>
              <w:right w:val="nil"/>
            </w:tcBorders>
            <w:shd w:val="clear" w:color="000000" w:fill="FFFFFF"/>
            <w:noWrap/>
            <w:vAlign w:val="bottom"/>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r w:rsidRPr="00420853">
              <w:rPr>
                <w:rFonts w:ascii="Calibri" w:hAnsi="Calibri" w:cs="Calibri"/>
                <w:sz w:val="22"/>
                <w:szCs w:val="22"/>
                <w:lang w:val="en-US"/>
              </w:rPr>
              <w:t> </w:t>
            </w:r>
          </w:p>
        </w:tc>
        <w:tc>
          <w:tcPr>
            <w:tcW w:w="694" w:type="dxa"/>
            <w:tcBorders>
              <w:top w:val="nil"/>
              <w:left w:val="nil"/>
              <w:bottom w:val="nil"/>
              <w:right w:val="nil"/>
            </w:tcBorders>
            <w:shd w:val="clear" w:color="000000" w:fill="FFFFFF"/>
            <w:hideMark/>
          </w:tcPr>
          <w:p w:rsidR="00420853" w:rsidRPr="00420853" w:rsidRDefault="00420853" w:rsidP="00420853">
            <w:pPr>
              <w:overflowPunct/>
              <w:autoSpaceDE/>
              <w:autoSpaceDN/>
              <w:adjustRightInd/>
              <w:spacing w:line="240" w:lineRule="auto"/>
              <w:jc w:val="center"/>
              <w:textAlignment w:val="auto"/>
              <w:rPr>
                <w:rFonts w:ascii="Calibri" w:hAnsi="Calibri" w:cs="Calibri"/>
                <w:sz w:val="22"/>
                <w:szCs w:val="22"/>
                <w:lang w:val="en-US"/>
              </w:rPr>
            </w:pPr>
            <w:r w:rsidRPr="00420853">
              <w:rPr>
                <w:rFonts w:ascii="Calibri" w:hAnsi="Calibri" w:cs="Calibri"/>
                <w:sz w:val="22"/>
                <w:szCs w:val="22"/>
                <w:lang w:val="en-US"/>
              </w:rPr>
              <w:t> </w:t>
            </w:r>
          </w:p>
        </w:tc>
        <w:tc>
          <w:tcPr>
            <w:tcW w:w="370" w:type="dxa"/>
            <w:tcBorders>
              <w:top w:val="nil"/>
              <w:left w:val="nil"/>
              <w:bottom w:val="nil"/>
              <w:right w:val="nil"/>
            </w:tcBorders>
            <w:shd w:val="clear" w:color="000000" w:fill="FFFFFF"/>
            <w:noWrap/>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r w:rsidRPr="00420853">
              <w:rPr>
                <w:rFonts w:ascii="Calibri" w:hAnsi="Calibri" w:cs="Calibri"/>
                <w:sz w:val="22"/>
                <w:szCs w:val="22"/>
                <w:lang w:val="en-US"/>
              </w:rPr>
              <w:t> </w:t>
            </w:r>
          </w:p>
        </w:tc>
        <w:tc>
          <w:tcPr>
            <w:tcW w:w="1036" w:type="dxa"/>
            <w:tcBorders>
              <w:top w:val="nil"/>
              <w:left w:val="nil"/>
              <w:bottom w:val="nil"/>
              <w:right w:val="nil"/>
            </w:tcBorders>
            <w:shd w:val="clear" w:color="auto" w:fill="auto"/>
            <w:noWrap/>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p>
        </w:tc>
        <w:tc>
          <w:tcPr>
            <w:tcW w:w="1237" w:type="dxa"/>
            <w:tcBorders>
              <w:top w:val="nil"/>
              <w:left w:val="nil"/>
              <w:bottom w:val="nil"/>
              <w:right w:val="nil"/>
            </w:tcBorders>
            <w:shd w:val="clear" w:color="auto" w:fill="auto"/>
            <w:noWrap/>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p>
        </w:tc>
        <w:tc>
          <w:tcPr>
            <w:tcW w:w="274" w:type="dxa"/>
            <w:tcBorders>
              <w:top w:val="nil"/>
              <w:left w:val="nil"/>
              <w:bottom w:val="nil"/>
              <w:right w:val="nil"/>
            </w:tcBorders>
            <w:shd w:val="clear" w:color="auto" w:fill="auto"/>
            <w:noWrap/>
            <w:vAlign w:val="bottom"/>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p>
        </w:tc>
        <w:tc>
          <w:tcPr>
            <w:tcW w:w="1167" w:type="dxa"/>
            <w:tcBorders>
              <w:top w:val="nil"/>
              <w:left w:val="nil"/>
              <w:bottom w:val="nil"/>
              <w:right w:val="nil"/>
            </w:tcBorders>
            <w:shd w:val="clear" w:color="auto" w:fill="auto"/>
            <w:noWrap/>
            <w:vAlign w:val="bottom"/>
            <w:hideMark/>
          </w:tcPr>
          <w:p w:rsidR="00420853" w:rsidRPr="00420853" w:rsidRDefault="00420853" w:rsidP="00420853">
            <w:pPr>
              <w:overflowPunct/>
              <w:autoSpaceDE/>
              <w:autoSpaceDN/>
              <w:adjustRightInd/>
              <w:spacing w:line="240" w:lineRule="auto"/>
              <w:jc w:val="right"/>
              <w:textAlignment w:val="auto"/>
              <w:rPr>
                <w:rFonts w:ascii="Calibri" w:hAnsi="Calibri" w:cs="Calibri"/>
                <w:sz w:val="22"/>
                <w:szCs w:val="22"/>
                <w:lang w:val="en-US"/>
              </w:rPr>
            </w:pPr>
          </w:p>
        </w:tc>
        <w:tc>
          <w:tcPr>
            <w:tcW w:w="1198" w:type="dxa"/>
            <w:tcBorders>
              <w:top w:val="nil"/>
              <w:left w:val="nil"/>
              <w:bottom w:val="nil"/>
              <w:right w:val="single" w:sz="4" w:space="0" w:color="auto"/>
            </w:tcBorders>
            <w:shd w:val="clear" w:color="auto" w:fill="auto"/>
            <w:noWrap/>
            <w:vAlign w:val="bottom"/>
            <w:hideMark/>
          </w:tcPr>
          <w:p w:rsidR="00420853" w:rsidRPr="00420853" w:rsidRDefault="00420853" w:rsidP="00420853">
            <w:pPr>
              <w:overflowPunct/>
              <w:autoSpaceDE/>
              <w:autoSpaceDN/>
              <w:adjustRightInd/>
              <w:spacing w:line="240" w:lineRule="auto"/>
              <w:jc w:val="right"/>
              <w:textAlignment w:val="auto"/>
              <w:rPr>
                <w:rFonts w:ascii="Calibri" w:hAnsi="Calibri" w:cs="Calibri"/>
                <w:sz w:val="22"/>
                <w:szCs w:val="22"/>
                <w:lang w:val="en-US"/>
              </w:rPr>
            </w:pPr>
            <w:r w:rsidRPr="00420853">
              <w:rPr>
                <w:rFonts w:ascii="Calibri" w:hAnsi="Calibri" w:cs="Calibri"/>
                <w:sz w:val="22"/>
                <w:szCs w:val="22"/>
                <w:lang w:val="en-US"/>
              </w:rPr>
              <w:t> </w:t>
            </w:r>
          </w:p>
        </w:tc>
      </w:tr>
      <w:tr w:rsidR="00420853" w:rsidRPr="00420853" w:rsidTr="00420853">
        <w:trPr>
          <w:trHeight w:val="292"/>
        </w:trPr>
        <w:tc>
          <w:tcPr>
            <w:tcW w:w="3399" w:type="dxa"/>
            <w:tcBorders>
              <w:top w:val="nil"/>
              <w:left w:val="single" w:sz="4" w:space="0" w:color="auto"/>
              <w:bottom w:val="nil"/>
              <w:right w:val="nil"/>
            </w:tcBorders>
            <w:shd w:val="clear" w:color="000000" w:fill="FFFFFF"/>
            <w:hideMark/>
          </w:tcPr>
          <w:p w:rsidR="00420853" w:rsidRPr="00420853" w:rsidRDefault="00420853" w:rsidP="00420853">
            <w:pPr>
              <w:overflowPunct/>
              <w:autoSpaceDE/>
              <w:autoSpaceDN/>
              <w:adjustRightInd/>
              <w:spacing w:line="240" w:lineRule="auto"/>
              <w:textAlignment w:val="auto"/>
              <w:rPr>
                <w:rFonts w:ascii="Calibri" w:hAnsi="Calibri" w:cs="Calibri"/>
                <w:b/>
                <w:bCs/>
                <w:sz w:val="22"/>
                <w:szCs w:val="22"/>
                <w:lang w:val="en-US"/>
              </w:rPr>
            </w:pPr>
            <w:r w:rsidRPr="00420853">
              <w:rPr>
                <w:rFonts w:ascii="Calibri" w:hAnsi="Calibri" w:cs="Calibri"/>
                <w:b/>
                <w:bCs/>
                <w:sz w:val="22"/>
                <w:szCs w:val="22"/>
                <w:lang w:val="en-US"/>
              </w:rPr>
              <w:t>Gross interest margin</w:t>
            </w:r>
          </w:p>
        </w:tc>
        <w:tc>
          <w:tcPr>
            <w:tcW w:w="694" w:type="dxa"/>
            <w:tcBorders>
              <w:top w:val="nil"/>
              <w:left w:val="nil"/>
              <w:bottom w:val="nil"/>
              <w:right w:val="nil"/>
            </w:tcBorders>
            <w:shd w:val="clear" w:color="000000" w:fill="FFFFFF"/>
            <w:hideMark/>
          </w:tcPr>
          <w:p w:rsidR="00420853" w:rsidRPr="00420853" w:rsidRDefault="00420853" w:rsidP="00420853">
            <w:pPr>
              <w:overflowPunct/>
              <w:autoSpaceDE/>
              <w:autoSpaceDN/>
              <w:adjustRightInd/>
              <w:spacing w:line="240" w:lineRule="auto"/>
              <w:jc w:val="center"/>
              <w:textAlignment w:val="auto"/>
              <w:rPr>
                <w:rFonts w:ascii="Calibri" w:hAnsi="Calibri" w:cs="Calibri"/>
                <w:sz w:val="22"/>
                <w:szCs w:val="22"/>
                <w:lang w:val="en-US"/>
              </w:rPr>
            </w:pPr>
            <w:r w:rsidRPr="00420853">
              <w:rPr>
                <w:rFonts w:ascii="Calibri" w:hAnsi="Calibri" w:cs="Calibri"/>
                <w:sz w:val="22"/>
                <w:szCs w:val="22"/>
                <w:lang w:val="en-US"/>
              </w:rPr>
              <w:t>7</w:t>
            </w:r>
          </w:p>
        </w:tc>
        <w:tc>
          <w:tcPr>
            <w:tcW w:w="370" w:type="dxa"/>
            <w:tcBorders>
              <w:top w:val="nil"/>
              <w:left w:val="nil"/>
              <w:bottom w:val="nil"/>
              <w:right w:val="nil"/>
            </w:tcBorders>
            <w:shd w:val="clear" w:color="000000" w:fill="FFFFFF"/>
            <w:noWrap/>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r w:rsidRPr="00420853">
              <w:rPr>
                <w:rFonts w:ascii="Calibri" w:hAnsi="Calibri" w:cs="Calibri"/>
                <w:sz w:val="22"/>
                <w:szCs w:val="22"/>
                <w:lang w:val="en-US"/>
              </w:rPr>
              <w:t> </w:t>
            </w:r>
          </w:p>
        </w:tc>
        <w:tc>
          <w:tcPr>
            <w:tcW w:w="1036" w:type="dxa"/>
            <w:tcBorders>
              <w:top w:val="nil"/>
              <w:left w:val="nil"/>
              <w:bottom w:val="nil"/>
              <w:right w:val="nil"/>
            </w:tcBorders>
            <w:shd w:val="clear" w:color="auto" w:fill="auto"/>
            <w:noWrap/>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p>
        </w:tc>
        <w:tc>
          <w:tcPr>
            <w:tcW w:w="1237" w:type="dxa"/>
            <w:tcBorders>
              <w:top w:val="nil"/>
              <w:left w:val="nil"/>
              <w:bottom w:val="nil"/>
              <w:right w:val="nil"/>
            </w:tcBorders>
            <w:shd w:val="clear" w:color="auto" w:fill="auto"/>
            <w:noWrap/>
            <w:vAlign w:val="bottom"/>
            <w:hideMark/>
          </w:tcPr>
          <w:p w:rsidR="00420853" w:rsidRPr="00420853" w:rsidRDefault="00420853" w:rsidP="00420853">
            <w:pPr>
              <w:overflowPunct/>
              <w:autoSpaceDE/>
              <w:autoSpaceDN/>
              <w:adjustRightInd/>
              <w:spacing w:line="240" w:lineRule="auto"/>
              <w:jc w:val="right"/>
              <w:textAlignment w:val="auto"/>
              <w:rPr>
                <w:rFonts w:ascii="Calibri" w:hAnsi="Calibri" w:cs="Calibri"/>
                <w:sz w:val="22"/>
                <w:szCs w:val="22"/>
                <w:lang w:val="en-US"/>
              </w:rPr>
            </w:pPr>
            <w:r w:rsidRPr="00420853">
              <w:rPr>
                <w:rFonts w:ascii="Calibri" w:hAnsi="Calibri" w:cs="Calibri"/>
                <w:sz w:val="22"/>
                <w:szCs w:val="22"/>
                <w:lang w:val="en-US"/>
              </w:rPr>
              <w:t xml:space="preserve"> 738 </w:t>
            </w:r>
          </w:p>
        </w:tc>
        <w:tc>
          <w:tcPr>
            <w:tcW w:w="274" w:type="dxa"/>
            <w:tcBorders>
              <w:top w:val="nil"/>
              <w:left w:val="nil"/>
              <w:bottom w:val="nil"/>
              <w:right w:val="nil"/>
            </w:tcBorders>
            <w:shd w:val="clear" w:color="auto" w:fill="auto"/>
            <w:noWrap/>
            <w:vAlign w:val="bottom"/>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p>
        </w:tc>
        <w:tc>
          <w:tcPr>
            <w:tcW w:w="1167" w:type="dxa"/>
            <w:tcBorders>
              <w:top w:val="nil"/>
              <w:left w:val="nil"/>
              <w:bottom w:val="nil"/>
              <w:right w:val="nil"/>
            </w:tcBorders>
            <w:shd w:val="clear" w:color="auto" w:fill="auto"/>
            <w:noWrap/>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p>
        </w:tc>
        <w:tc>
          <w:tcPr>
            <w:tcW w:w="1198" w:type="dxa"/>
            <w:tcBorders>
              <w:top w:val="nil"/>
              <w:left w:val="nil"/>
              <w:bottom w:val="nil"/>
              <w:right w:val="single" w:sz="4" w:space="0" w:color="auto"/>
            </w:tcBorders>
            <w:shd w:val="clear" w:color="auto" w:fill="auto"/>
            <w:noWrap/>
            <w:vAlign w:val="bottom"/>
            <w:hideMark/>
          </w:tcPr>
          <w:p w:rsidR="00420853" w:rsidRPr="00420853" w:rsidRDefault="00420853" w:rsidP="00420853">
            <w:pPr>
              <w:overflowPunct/>
              <w:autoSpaceDE/>
              <w:autoSpaceDN/>
              <w:adjustRightInd/>
              <w:spacing w:line="240" w:lineRule="auto"/>
              <w:jc w:val="right"/>
              <w:textAlignment w:val="auto"/>
              <w:rPr>
                <w:rFonts w:ascii="Calibri" w:hAnsi="Calibri" w:cs="Calibri"/>
                <w:sz w:val="22"/>
                <w:szCs w:val="22"/>
                <w:lang w:val="en-US"/>
              </w:rPr>
            </w:pPr>
            <w:r w:rsidRPr="00420853">
              <w:rPr>
                <w:rFonts w:ascii="Calibri" w:hAnsi="Calibri" w:cs="Calibri"/>
                <w:sz w:val="22"/>
                <w:szCs w:val="22"/>
                <w:lang w:val="en-US"/>
              </w:rPr>
              <w:t xml:space="preserve"> 2'759 </w:t>
            </w:r>
          </w:p>
        </w:tc>
      </w:tr>
      <w:tr w:rsidR="00420853" w:rsidRPr="00420853" w:rsidTr="00420853">
        <w:trPr>
          <w:trHeight w:val="292"/>
        </w:trPr>
        <w:tc>
          <w:tcPr>
            <w:tcW w:w="3399" w:type="dxa"/>
            <w:tcBorders>
              <w:top w:val="nil"/>
              <w:left w:val="single" w:sz="4" w:space="0" w:color="auto"/>
              <w:bottom w:val="nil"/>
              <w:right w:val="nil"/>
            </w:tcBorders>
            <w:shd w:val="clear" w:color="000000" w:fill="FFFFFF"/>
            <w:noWrap/>
            <w:hideMark/>
          </w:tcPr>
          <w:p w:rsidR="00420853" w:rsidRPr="00420853" w:rsidRDefault="00420853" w:rsidP="00420853">
            <w:pPr>
              <w:overflowPunct/>
              <w:autoSpaceDE/>
              <w:autoSpaceDN/>
              <w:adjustRightInd/>
              <w:spacing w:line="240" w:lineRule="auto"/>
              <w:jc w:val="both"/>
              <w:textAlignment w:val="auto"/>
              <w:rPr>
                <w:rFonts w:ascii="Calibri" w:hAnsi="Calibri" w:cs="Calibri"/>
                <w:sz w:val="22"/>
                <w:szCs w:val="22"/>
                <w:lang w:val="en-US"/>
              </w:rPr>
            </w:pPr>
            <w:r w:rsidRPr="00420853">
              <w:rPr>
                <w:rFonts w:ascii="Calibri" w:hAnsi="Calibri" w:cs="Calibri"/>
                <w:sz w:val="22"/>
                <w:szCs w:val="22"/>
                <w:lang w:val="en-US"/>
              </w:rPr>
              <w:t> </w:t>
            </w:r>
          </w:p>
        </w:tc>
        <w:tc>
          <w:tcPr>
            <w:tcW w:w="694" w:type="dxa"/>
            <w:tcBorders>
              <w:top w:val="nil"/>
              <w:left w:val="nil"/>
              <w:bottom w:val="nil"/>
              <w:right w:val="nil"/>
            </w:tcBorders>
            <w:shd w:val="clear" w:color="000000" w:fill="FFFFFF"/>
            <w:hideMark/>
          </w:tcPr>
          <w:p w:rsidR="00420853" w:rsidRPr="00420853" w:rsidRDefault="00420853" w:rsidP="00420853">
            <w:pPr>
              <w:overflowPunct/>
              <w:autoSpaceDE/>
              <w:autoSpaceDN/>
              <w:adjustRightInd/>
              <w:spacing w:line="240" w:lineRule="auto"/>
              <w:jc w:val="center"/>
              <w:textAlignment w:val="auto"/>
              <w:rPr>
                <w:rFonts w:ascii="Calibri" w:hAnsi="Calibri" w:cs="Calibri"/>
                <w:sz w:val="22"/>
                <w:szCs w:val="22"/>
                <w:lang w:val="en-US"/>
              </w:rPr>
            </w:pPr>
            <w:r w:rsidRPr="00420853">
              <w:rPr>
                <w:rFonts w:ascii="Calibri" w:hAnsi="Calibri" w:cs="Calibri"/>
                <w:sz w:val="22"/>
                <w:szCs w:val="22"/>
                <w:lang w:val="en-US"/>
              </w:rPr>
              <w:t> </w:t>
            </w:r>
          </w:p>
        </w:tc>
        <w:tc>
          <w:tcPr>
            <w:tcW w:w="370" w:type="dxa"/>
            <w:tcBorders>
              <w:top w:val="nil"/>
              <w:left w:val="nil"/>
              <w:bottom w:val="nil"/>
              <w:right w:val="nil"/>
            </w:tcBorders>
            <w:shd w:val="clear" w:color="000000" w:fill="FFFFFF"/>
            <w:noWrap/>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r w:rsidRPr="00420853">
              <w:rPr>
                <w:rFonts w:ascii="Calibri" w:hAnsi="Calibri" w:cs="Calibri"/>
                <w:sz w:val="22"/>
                <w:szCs w:val="22"/>
                <w:lang w:val="en-US"/>
              </w:rPr>
              <w:t> </w:t>
            </w:r>
          </w:p>
        </w:tc>
        <w:tc>
          <w:tcPr>
            <w:tcW w:w="1036" w:type="dxa"/>
            <w:tcBorders>
              <w:top w:val="nil"/>
              <w:left w:val="nil"/>
              <w:bottom w:val="nil"/>
              <w:right w:val="nil"/>
            </w:tcBorders>
            <w:shd w:val="clear" w:color="auto" w:fill="auto"/>
            <w:noWrap/>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p>
        </w:tc>
        <w:tc>
          <w:tcPr>
            <w:tcW w:w="1237" w:type="dxa"/>
            <w:tcBorders>
              <w:top w:val="nil"/>
              <w:left w:val="nil"/>
              <w:bottom w:val="nil"/>
              <w:right w:val="nil"/>
            </w:tcBorders>
            <w:shd w:val="clear" w:color="auto" w:fill="auto"/>
            <w:noWrap/>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p>
        </w:tc>
        <w:tc>
          <w:tcPr>
            <w:tcW w:w="274" w:type="dxa"/>
            <w:tcBorders>
              <w:top w:val="nil"/>
              <w:left w:val="nil"/>
              <w:bottom w:val="nil"/>
              <w:right w:val="nil"/>
            </w:tcBorders>
            <w:shd w:val="clear" w:color="auto" w:fill="auto"/>
            <w:noWrap/>
            <w:vAlign w:val="bottom"/>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p>
        </w:tc>
        <w:tc>
          <w:tcPr>
            <w:tcW w:w="1167" w:type="dxa"/>
            <w:tcBorders>
              <w:top w:val="nil"/>
              <w:left w:val="nil"/>
              <w:bottom w:val="nil"/>
              <w:right w:val="nil"/>
            </w:tcBorders>
            <w:shd w:val="clear" w:color="auto" w:fill="auto"/>
            <w:noWrap/>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p>
        </w:tc>
        <w:tc>
          <w:tcPr>
            <w:tcW w:w="1198" w:type="dxa"/>
            <w:tcBorders>
              <w:top w:val="nil"/>
              <w:left w:val="nil"/>
              <w:bottom w:val="nil"/>
              <w:right w:val="single" w:sz="4" w:space="0" w:color="auto"/>
            </w:tcBorders>
            <w:shd w:val="clear" w:color="auto" w:fill="auto"/>
            <w:noWrap/>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r w:rsidRPr="00420853">
              <w:rPr>
                <w:rFonts w:ascii="Calibri" w:hAnsi="Calibri" w:cs="Calibri"/>
                <w:sz w:val="22"/>
                <w:szCs w:val="22"/>
                <w:lang w:val="en-US"/>
              </w:rPr>
              <w:t> </w:t>
            </w:r>
          </w:p>
        </w:tc>
      </w:tr>
      <w:tr w:rsidR="00420853" w:rsidRPr="00420853" w:rsidTr="00420853">
        <w:trPr>
          <w:trHeight w:val="292"/>
        </w:trPr>
        <w:tc>
          <w:tcPr>
            <w:tcW w:w="3399" w:type="dxa"/>
            <w:tcBorders>
              <w:top w:val="nil"/>
              <w:left w:val="single" w:sz="4" w:space="0" w:color="auto"/>
              <w:bottom w:val="nil"/>
              <w:right w:val="nil"/>
            </w:tcBorders>
            <w:shd w:val="clear" w:color="000000" w:fill="FFFFFF"/>
            <w:noWrap/>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r w:rsidRPr="00420853">
              <w:rPr>
                <w:rFonts w:ascii="Calibri" w:hAnsi="Calibri" w:cs="Calibri"/>
                <w:sz w:val="22"/>
                <w:szCs w:val="22"/>
                <w:lang w:val="en-US"/>
              </w:rPr>
              <w:t>Net operating income</w:t>
            </w:r>
          </w:p>
        </w:tc>
        <w:tc>
          <w:tcPr>
            <w:tcW w:w="694" w:type="dxa"/>
            <w:tcBorders>
              <w:top w:val="nil"/>
              <w:left w:val="nil"/>
              <w:bottom w:val="nil"/>
              <w:right w:val="nil"/>
            </w:tcBorders>
            <w:shd w:val="clear" w:color="000000" w:fill="FFFFFF"/>
            <w:hideMark/>
          </w:tcPr>
          <w:p w:rsidR="00420853" w:rsidRPr="00420853" w:rsidRDefault="00420853" w:rsidP="00420853">
            <w:pPr>
              <w:overflowPunct/>
              <w:autoSpaceDE/>
              <w:autoSpaceDN/>
              <w:adjustRightInd/>
              <w:spacing w:line="240" w:lineRule="auto"/>
              <w:jc w:val="center"/>
              <w:textAlignment w:val="auto"/>
              <w:rPr>
                <w:rFonts w:ascii="Calibri" w:hAnsi="Calibri" w:cs="Calibri"/>
                <w:sz w:val="22"/>
                <w:szCs w:val="22"/>
                <w:lang w:val="en-US"/>
              </w:rPr>
            </w:pPr>
            <w:r w:rsidRPr="00420853">
              <w:rPr>
                <w:rFonts w:ascii="Calibri" w:hAnsi="Calibri" w:cs="Calibri"/>
                <w:sz w:val="22"/>
                <w:szCs w:val="22"/>
                <w:lang w:val="en-US"/>
              </w:rPr>
              <w:t>8</w:t>
            </w:r>
          </w:p>
        </w:tc>
        <w:tc>
          <w:tcPr>
            <w:tcW w:w="370" w:type="dxa"/>
            <w:tcBorders>
              <w:top w:val="nil"/>
              <w:left w:val="nil"/>
              <w:bottom w:val="nil"/>
              <w:right w:val="nil"/>
            </w:tcBorders>
            <w:shd w:val="clear" w:color="000000" w:fill="FFFFFF"/>
            <w:noWrap/>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r w:rsidRPr="00420853">
              <w:rPr>
                <w:rFonts w:ascii="Calibri" w:hAnsi="Calibri" w:cs="Calibri"/>
                <w:sz w:val="22"/>
                <w:szCs w:val="22"/>
                <w:lang w:val="en-US"/>
              </w:rPr>
              <w:t> </w:t>
            </w:r>
          </w:p>
        </w:tc>
        <w:tc>
          <w:tcPr>
            <w:tcW w:w="1036" w:type="dxa"/>
            <w:tcBorders>
              <w:top w:val="nil"/>
              <w:left w:val="nil"/>
              <w:bottom w:val="nil"/>
              <w:right w:val="nil"/>
            </w:tcBorders>
            <w:shd w:val="clear" w:color="auto" w:fill="auto"/>
            <w:noWrap/>
            <w:vAlign w:val="bottom"/>
            <w:hideMark/>
          </w:tcPr>
          <w:p w:rsidR="00420853" w:rsidRPr="00420853" w:rsidRDefault="00420853" w:rsidP="00420853">
            <w:pPr>
              <w:overflowPunct/>
              <w:autoSpaceDE/>
              <w:autoSpaceDN/>
              <w:adjustRightInd/>
              <w:spacing w:line="240" w:lineRule="auto"/>
              <w:jc w:val="right"/>
              <w:textAlignment w:val="auto"/>
              <w:rPr>
                <w:rFonts w:ascii="Calibri" w:hAnsi="Calibri" w:cs="Calibri"/>
                <w:sz w:val="22"/>
                <w:szCs w:val="22"/>
                <w:lang w:val="en-US"/>
              </w:rPr>
            </w:pPr>
            <w:r w:rsidRPr="00420853">
              <w:rPr>
                <w:rFonts w:ascii="Calibri" w:hAnsi="Calibri" w:cs="Calibri"/>
                <w:sz w:val="22"/>
                <w:szCs w:val="22"/>
                <w:lang w:val="en-US"/>
              </w:rPr>
              <w:t xml:space="preserve"> 345 </w:t>
            </w:r>
          </w:p>
        </w:tc>
        <w:tc>
          <w:tcPr>
            <w:tcW w:w="1237" w:type="dxa"/>
            <w:tcBorders>
              <w:top w:val="nil"/>
              <w:left w:val="nil"/>
              <w:bottom w:val="nil"/>
              <w:right w:val="nil"/>
            </w:tcBorders>
            <w:shd w:val="clear" w:color="auto" w:fill="auto"/>
            <w:noWrap/>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p>
        </w:tc>
        <w:tc>
          <w:tcPr>
            <w:tcW w:w="274" w:type="dxa"/>
            <w:tcBorders>
              <w:top w:val="nil"/>
              <w:left w:val="nil"/>
              <w:bottom w:val="nil"/>
              <w:right w:val="nil"/>
            </w:tcBorders>
            <w:shd w:val="clear" w:color="auto" w:fill="auto"/>
            <w:noWrap/>
            <w:vAlign w:val="bottom"/>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p>
        </w:tc>
        <w:tc>
          <w:tcPr>
            <w:tcW w:w="1167" w:type="dxa"/>
            <w:tcBorders>
              <w:top w:val="nil"/>
              <w:left w:val="nil"/>
              <w:bottom w:val="nil"/>
              <w:right w:val="nil"/>
            </w:tcBorders>
            <w:shd w:val="clear" w:color="auto" w:fill="auto"/>
            <w:noWrap/>
            <w:vAlign w:val="bottom"/>
            <w:hideMark/>
          </w:tcPr>
          <w:p w:rsidR="00420853" w:rsidRPr="00420853" w:rsidRDefault="00420853" w:rsidP="00420853">
            <w:pPr>
              <w:overflowPunct/>
              <w:autoSpaceDE/>
              <w:autoSpaceDN/>
              <w:adjustRightInd/>
              <w:spacing w:line="240" w:lineRule="auto"/>
              <w:jc w:val="right"/>
              <w:textAlignment w:val="auto"/>
              <w:rPr>
                <w:rFonts w:ascii="Calibri" w:hAnsi="Calibri" w:cs="Calibri"/>
                <w:sz w:val="22"/>
                <w:szCs w:val="22"/>
                <w:lang w:val="en-US"/>
              </w:rPr>
            </w:pPr>
            <w:r w:rsidRPr="00420853">
              <w:rPr>
                <w:rFonts w:ascii="Calibri" w:hAnsi="Calibri" w:cs="Calibri"/>
                <w:sz w:val="22"/>
                <w:szCs w:val="22"/>
                <w:lang w:val="en-US"/>
              </w:rPr>
              <w:t xml:space="preserve"> 331 </w:t>
            </w:r>
          </w:p>
        </w:tc>
        <w:tc>
          <w:tcPr>
            <w:tcW w:w="1198" w:type="dxa"/>
            <w:tcBorders>
              <w:top w:val="nil"/>
              <w:left w:val="nil"/>
              <w:bottom w:val="nil"/>
              <w:right w:val="single" w:sz="4" w:space="0" w:color="auto"/>
            </w:tcBorders>
            <w:shd w:val="clear" w:color="auto" w:fill="auto"/>
            <w:noWrap/>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r w:rsidRPr="00420853">
              <w:rPr>
                <w:rFonts w:ascii="Calibri" w:hAnsi="Calibri" w:cs="Calibri"/>
                <w:sz w:val="22"/>
                <w:szCs w:val="22"/>
                <w:lang w:val="en-US"/>
              </w:rPr>
              <w:t> </w:t>
            </w:r>
          </w:p>
        </w:tc>
      </w:tr>
      <w:tr w:rsidR="00420853" w:rsidRPr="00420853" w:rsidTr="00420853">
        <w:trPr>
          <w:trHeight w:val="292"/>
        </w:trPr>
        <w:tc>
          <w:tcPr>
            <w:tcW w:w="3399" w:type="dxa"/>
            <w:tcBorders>
              <w:top w:val="nil"/>
              <w:left w:val="single" w:sz="4" w:space="0" w:color="auto"/>
              <w:bottom w:val="nil"/>
              <w:right w:val="nil"/>
            </w:tcBorders>
            <w:shd w:val="clear" w:color="000000" w:fill="FFFFFF"/>
            <w:hideMark/>
          </w:tcPr>
          <w:p w:rsidR="00420853" w:rsidRPr="00420853" w:rsidRDefault="00420853" w:rsidP="00420853">
            <w:pPr>
              <w:overflowPunct/>
              <w:autoSpaceDE/>
              <w:autoSpaceDN/>
              <w:adjustRightInd/>
              <w:spacing w:line="240" w:lineRule="auto"/>
              <w:textAlignment w:val="auto"/>
              <w:rPr>
                <w:rFonts w:ascii="Calibri" w:hAnsi="Calibri" w:cs="Calibri"/>
                <w:b/>
                <w:bCs/>
                <w:sz w:val="22"/>
                <w:szCs w:val="22"/>
                <w:lang w:val="en-US"/>
              </w:rPr>
            </w:pPr>
            <w:r w:rsidRPr="00420853">
              <w:rPr>
                <w:rFonts w:ascii="Calibri" w:hAnsi="Calibri" w:cs="Calibri"/>
                <w:b/>
                <w:bCs/>
                <w:sz w:val="22"/>
                <w:szCs w:val="22"/>
                <w:lang w:val="en-US"/>
              </w:rPr>
              <w:t>Total net operating income</w:t>
            </w:r>
          </w:p>
        </w:tc>
        <w:tc>
          <w:tcPr>
            <w:tcW w:w="694" w:type="dxa"/>
            <w:tcBorders>
              <w:top w:val="nil"/>
              <w:left w:val="nil"/>
              <w:bottom w:val="nil"/>
              <w:right w:val="nil"/>
            </w:tcBorders>
            <w:shd w:val="clear" w:color="000000" w:fill="FFFFFF"/>
            <w:hideMark/>
          </w:tcPr>
          <w:p w:rsidR="00420853" w:rsidRPr="00420853" w:rsidRDefault="00420853" w:rsidP="00420853">
            <w:pPr>
              <w:overflowPunct/>
              <w:autoSpaceDE/>
              <w:autoSpaceDN/>
              <w:adjustRightInd/>
              <w:spacing w:line="240" w:lineRule="auto"/>
              <w:jc w:val="center"/>
              <w:textAlignment w:val="auto"/>
              <w:rPr>
                <w:rFonts w:ascii="Calibri" w:hAnsi="Calibri" w:cs="Calibri"/>
                <w:sz w:val="22"/>
                <w:szCs w:val="22"/>
                <w:lang w:val="en-US"/>
              </w:rPr>
            </w:pPr>
            <w:r w:rsidRPr="00420853">
              <w:rPr>
                <w:rFonts w:ascii="Calibri" w:hAnsi="Calibri" w:cs="Calibri"/>
                <w:sz w:val="22"/>
                <w:szCs w:val="22"/>
                <w:lang w:val="en-US"/>
              </w:rPr>
              <w:t> </w:t>
            </w:r>
          </w:p>
        </w:tc>
        <w:tc>
          <w:tcPr>
            <w:tcW w:w="370" w:type="dxa"/>
            <w:tcBorders>
              <w:top w:val="nil"/>
              <w:left w:val="nil"/>
              <w:bottom w:val="nil"/>
              <w:right w:val="nil"/>
            </w:tcBorders>
            <w:shd w:val="clear" w:color="000000" w:fill="FFFFFF"/>
            <w:noWrap/>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r w:rsidRPr="00420853">
              <w:rPr>
                <w:rFonts w:ascii="Calibri" w:hAnsi="Calibri" w:cs="Calibri"/>
                <w:sz w:val="22"/>
                <w:szCs w:val="22"/>
                <w:lang w:val="en-US"/>
              </w:rPr>
              <w:t> </w:t>
            </w:r>
          </w:p>
        </w:tc>
        <w:tc>
          <w:tcPr>
            <w:tcW w:w="1036" w:type="dxa"/>
            <w:tcBorders>
              <w:top w:val="nil"/>
              <w:left w:val="nil"/>
              <w:bottom w:val="nil"/>
              <w:right w:val="nil"/>
            </w:tcBorders>
            <w:shd w:val="clear" w:color="auto" w:fill="auto"/>
            <w:noWrap/>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p>
        </w:tc>
        <w:tc>
          <w:tcPr>
            <w:tcW w:w="1237" w:type="dxa"/>
            <w:tcBorders>
              <w:top w:val="nil"/>
              <w:left w:val="nil"/>
              <w:bottom w:val="single" w:sz="4" w:space="0" w:color="auto"/>
              <w:right w:val="nil"/>
            </w:tcBorders>
            <w:shd w:val="clear" w:color="auto" w:fill="auto"/>
            <w:noWrap/>
            <w:vAlign w:val="bottom"/>
            <w:hideMark/>
          </w:tcPr>
          <w:p w:rsidR="00420853" w:rsidRPr="00420853" w:rsidRDefault="00420853" w:rsidP="00420853">
            <w:pPr>
              <w:overflowPunct/>
              <w:autoSpaceDE/>
              <w:autoSpaceDN/>
              <w:adjustRightInd/>
              <w:spacing w:line="240" w:lineRule="auto"/>
              <w:jc w:val="right"/>
              <w:textAlignment w:val="auto"/>
              <w:rPr>
                <w:rFonts w:ascii="Calibri" w:hAnsi="Calibri" w:cs="Calibri"/>
                <w:sz w:val="22"/>
                <w:szCs w:val="22"/>
                <w:lang w:val="en-US"/>
              </w:rPr>
            </w:pPr>
            <w:r w:rsidRPr="00420853">
              <w:rPr>
                <w:rFonts w:ascii="Calibri" w:hAnsi="Calibri" w:cs="Calibri"/>
                <w:sz w:val="22"/>
                <w:szCs w:val="22"/>
                <w:lang w:val="en-US"/>
              </w:rPr>
              <w:t xml:space="preserve"> 345 </w:t>
            </w:r>
          </w:p>
        </w:tc>
        <w:tc>
          <w:tcPr>
            <w:tcW w:w="274" w:type="dxa"/>
            <w:tcBorders>
              <w:top w:val="nil"/>
              <w:left w:val="nil"/>
              <w:bottom w:val="nil"/>
              <w:right w:val="nil"/>
            </w:tcBorders>
            <w:shd w:val="clear" w:color="auto" w:fill="auto"/>
            <w:noWrap/>
            <w:vAlign w:val="bottom"/>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p>
        </w:tc>
        <w:tc>
          <w:tcPr>
            <w:tcW w:w="1167" w:type="dxa"/>
            <w:tcBorders>
              <w:top w:val="nil"/>
              <w:left w:val="nil"/>
              <w:bottom w:val="nil"/>
              <w:right w:val="nil"/>
            </w:tcBorders>
            <w:shd w:val="clear" w:color="auto" w:fill="auto"/>
            <w:noWrap/>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p>
        </w:tc>
        <w:tc>
          <w:tcPr>
            <w:tcW w:w="1198" w:type="dxa"/>
            <w:tcBorders>
              <w:top w:val="nil"/>
              <w:left w:val="nil"/>
              <w:bottom w:val="single" w:sz="4" w:space="0" w:color="auto"/>
              <w:right w:val="single" w:sz="4" w:space="0" w:color="auto"/>
            </w:tcBorders>
            <w:shd w:val="clear" w:color="auto" w:fill="auto"/>
            <w:noWrap/>
            <w:vAlign w:val="bottom"/>
            <w:hideMark/>
          </w:tcPr>
          <w:p w:rsidR="00420853" w:rsidRPr="00420853" w:rsidRDefault="00420853" w:rsidP="00420853">
            <w:pPr>
              <w:overflowPunct/>
              <w:autoSpaceDE/>
              <w:autoSpaceDN/>
              <w:adjustRightInd/>
              <w:spacing w:line="240" w:lineRule="auto"/>
              <w:jc w:val="right"/>
              <w:textAlignment w:val="auto"/>
              <w:rPr>
                <w:rFonts w:ascii="Calibri" w:hAnsi="Calibri" w:cs="Calibri"/>
                <w:sz w:val="22"/>
                <w:szCs w:val="22"/>
                <w:lang w:val="en-US"/>
              </w:rPr>
            </w:pPr>
            <w:r w:rsidRPr="00420853">
              <w:rPr>
                <w:rFonts w:ascii="Calibri" w:hAnsi="Calibri" w:cs="Calibri"/>
                <w:sz w:val="22"/>
                <w:szCs w:val="22"/>
                <w:lang w:val="en-US"/>
              </w:rPr>
              <w:t xml:space="preserve"> 331 </w:t>
            </w:r>
          </w:p>
        </w:tc>
      </w:tr>
      <w:tr w:rsidR="00420853" w:rsidRPr="00420853" w:rsidTr="00420853">
        <w:trPr>
          <w:trHeight w:val="292"/>
        </w:trPr>
        <w:tc>
          <w:tcPr>
            <w:tcW w:w="3399" w:type="dxa"/>
            <w:tcBorders>
              <w:top w:val="nil"/>
              <w:left w:val="single" w:sz="4" w:space="0" w:color="auto"/>
              <w:bottom w:val="nil"/>
              <w:right w:val="nil"/>
            </w:tcBorders>
            <w:shd w:val="clear" w:color="000000" w:fill="FFFFFF"/>
            <w:hideMark/>
          </w:tcPr>
          <w:p w:rsidR="00420853" w:rsidRPr="00420853" w:rsidRDefault="00420853" w:rsidP="00420853">
            <w:pPr>
              <w:overflowPunct/>
              <w:autoSpaceDE/>
              <w:autoSpaceDN/>
              <w:adjustRightInd/>
              <w:spacing w:line="240" w:lineRule="auto"/>
              <w:textAlignment w:val="auto"/>
              <w:rPr>
                <w:rFonts w:ascii="Calibri" w:hAnsi="Calibri" w:cs="Calibri"/>
                <w:b/>
                <w:bCs/>
                <w:sz w:val="22"/>
                <w:szCs w:val="22"/>
                <w:lang w:val="en-US"/>
              </w:rPr>
            </w:pPr>
            <w:r w:rsidRPr="00420853">
              <w:rPr>
                <w:rFonts w:ascii="Calibri" w:hAnsi="Calibri" w:cs="Calibri"/>
                <w:b/>
                <w:bCs/>
                <w:sz w:val="22"/>
                <w:szCs w:val="22"/>
                <w:lang w:val="en-US"/>
              </w:rPr>
              <w:t> </w:t>
            </w:r>
          </w:p>
        </w:tc>
        <w:tc>
          <w:tcPr>
            <w:tcW w:w="694" w:type="dxa"/>
            <w:tcBorders>
              <w:top w:val="nil"/>
              <w:left w:val="nil"/>
              <w:bottom w:val="nil"/>
              <w:right w:val="nil"/>
            </w:tcBorders>
            <w:shd w:val="clear" w:color="000000" w:fill="FFFFFF"/>
            <w:hideMark/>
          </w:tcPr>
          <w:p w:rsidR="00420853" w:rsidRPr="00420853" w:rsidRDefault="00420853" w:rsidP="00420853">
            <w:pPr>
              <w:overflowPunct/>
              <w:autoSpaceDE/>
              <w:autoSpaceDN/>
              <w:adjustRightInd/>
              <w:spacing w:line="240" w:lineRule="auto"/>
              <w:jc w:val="center"/>
              <w:textAlignment w:val="auto"/>
              <w:rPr>
                <w:rFonts w:ascii="Calibri" w:hAnsi="Calibri" w:cs="Calibri"/>
                <w:sz w:val="22"/>
                <w:szCs w:val="22"/>
                <w:lang w:val="en-US"/>
              </w:rPr>
            </w:pPr>
            <w:r w:rsidRPr="00420853">
              <w:rPr>
                <w:rFonts w:ascii="Calibri" w:hAnsi="Calibri" w:cs="Calibri"/>
                <w:sz w:val="22"/>
                <w:szCs w:val="22"/>
                <w:lang w:val="en-US"/>
              </w:rPr>
              <w:t> </w:t>
            </w:r>
          </w:p>
        </w:tc>
        <w:tc>
          <w:tcPr>
            <w:tcW w:w="370" w:type="dxa"/>
            <w:tcBorders>
              <w:top w:val="nil"/>
              <w:left w:val="nil"/>
              <w:bottom w:val="nil"/>
              <w:right w:val="nil"/>
            </w:tcBorders>
            <w:shd w:val="clear" w:color="000000" w:fill="FFFFFF"/>
            <w:noWrap/>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r w:rsidRPr="00420853">
              <w:rPr>
                <w:rFonts w:ascii="Calibri" w:hAnsi="Calibri" w:cs="Calibri"/>
                <w:sz w:val="22"/>
                <w:szCs w:val="22"/>
                <w:lang w:val="en-US"/>
              </w:rPr>
              <w:t> </w:t>
            </w:r>
          </w:p>
        </w:tc>
        <w:tc>
          <w:tcPr>
            <w:tcW w:w="1036" w:type="dxa"/>
            <w:tcBorders>
              <w:top w:val="nil"/>
              <w:left w:val="nil"/>
              <w:bottom w:val="nil"/>
              <w:right w:val="nil"/>
            </w:tcBorders>
            <w:shd w:val="clear" w:color="auto" w:fill="auto"/>
            <w:noWrap/>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p>
        </w:tc>
        <w:tc>
          <w:tcPr>
            <w:tcW w:w="1237" w:type="dxa"/>
            <w:tcBorders>
              <w:top w:val="nil"/>
              <w:left w:val="nil"/>
              <w:bottom w:val="nil"/>
              <w:right w:val="nil"/>
            </w:tcBorders>
            <w:shd w:val="clear" w:color="auto" w:fill="auto"/>
            <w:noWrap/>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p>
        </w:tc>
        <w:tc>
          <w:tcPr>
            <w:tcW w:w="274" w:type="dxa"/>
            <w:tcBorders>
              <w:top w:val="nil"/>
              <w:left w:val="nil"/>
              <w:bottom w:val="nil"/>
              <w:right w:val="nil"/>
            </w:tcBorders>
            <w:shd w:val="clear" w:color="auto" w:fill="auto"/>
            <w:noWrap/>
            <w:vAlign w:val="bottom"/>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p>
        </w:tc>
        <w:tc>
          <w:tcPr>
            <w:tcW w:w="1167" w:type="dxa"/>
            <w:tcBorders>
              <w:top w:val="nil"/>
              <w:left w:val="nil"/>
              <w:bottom w:val="nil"/>
              <w:right w:val="nil"/>
            </w:tcBorders>
            <w:shd w:val="clear" w:color="auto" w:fill="auto"/>
            <w:noWrap/>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p>
        </w:tc>
        <w:tc>
          <w:tcPr>
            <w:tcW w:w="1198" w:type="dxa"/>
            <w:tcBorders>
              <w:top w:val="nil"/>
              <w:left w:val="nil"/>
              <w:bottom w:val="nil"/>
              <w:right w:val="single" w:sz="4" w:space="0" w:color="auto"/>
            </w:tcBorders>
            <w:shd w:val="clear" w:color="auto" w:fill="auto"/>
            <w:noWrap/>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r w:rsidRPr="00420853">
              <w:rPr>
                <w:rFonts w:ascii="Calibri" w:hAnsi="Calibri" w:cs="Calibri"/>
                <w:sz w:val="22"/>
                <w:szCs w:val="22"/>
                <w:lang w:val="en-US"/>
              </w:rPr>
              <w:t> </w:t>
            </w:r>
          </w:p>
        </w:tc>
      </w:tr>
      <w:tr w:rsidR="00420853" w:rsidRPr="00420853" w:rsidTr="00420853">
        <w:trPr>
          <w:trHeight w:val="292"/>
        </w:trPr>
        <w:tc>
          <w:tcPr>
            <w:tcW w:w="3399" w:type="dxa"/>
            <w:tcBorders>
              <w:top w:val="nil"/>
              <w:left w:val="single" w:sz="4" w:space="0" w:color="auto"/>
              <w:bottom w:val="nil"/>
              <w:right w:val="nil"/>
            </w:tcBorders>
            <w:shd w:val="clear" w:color="000000" w:fill="FFFFFF"/>
            <w:hideMark/>
          </w:tcPr>
          <w:p w:rsidR="00420853" w:rsidRPr="00420853" w:rsidRDefault="00420853" w:rsidP="00420853">
            <w:pPr>
              <w:overflowPunct/>
              <w:autoSpaceDE/>
              <w:autoSpaceDN/>
              <w:adjustRightInd/>
              <w:spacing w:line="240" w:lineRule="auto"/>
              <w:textAlignment w:val="auto"/>
              <w:rPr>
                <w:rFonts w:ascii="Calibri" w:hAnsi="Calibri" w:cs="Calibri"/>
                <w:b/>
                <w:bCs/>
                <w:sz w:val="22"/>
                <w:szCs w:val="22"/>
                <w:lang w:val="en-US"/>
              </w:rPr>
            </w:pPr>
            <w:r w:rsidRPr="00420853">
              <w:rPr>
                <w:rFonts w:ascii="Calibri" w:hAnsi="Calibri" w:cs="Calibri"/>
                <w:b/>
                <w:bCs/>
                <w:sz w:val="22"/>
                <w:szCs w:val="22"/>
                <w:lang w:val="en-US"/>
              </w:rPr>
              <w:t>Profit before taxation</w:t>
            </w:r>
          </w:p>
        </w:tc>
        <w:tc>
          <w:tcPr>
            <w:tcW w:w="694" w:type="dxa"/>
            <w:tcBorders>
              <w:top w:val="nil"/>
              <w:left w:val="nil"/>
              <w:bottom w:val="nil"/>
              <w:right w:val="nil"/>
            </w:tcBorders>
            <w:shd w:val="clear" w:color="000000" w:fill="FFFFFF"/>
            <w:hideMark/>
          </w:tcPr>
          <w:p w:rsidR="00420853" w:rsidRPr="00420853" w:rsidRDefault="00420853" w:rsidP="00420853">
            <w:pPr>
              <w:overflowPunct/>
              <w:autoSpaceDE/>
              <w:autoSpaceDN/>
              <w:adjustRightInd/>
              <w:spacing w:line="240" w:lineRule="auto"/>
              <w:jc w:val="center"/>
              <w:textAlignment w:val="auto"/>
              <w:rPr>
                <w:rFonts w:ascii="Calibri" w:hAnsi="Calibri" w:cs="Calibri"/>
                <w:sz w:val="22"/>
                <w:szCs w:val="22"/>
                <w:lang w:val="en-US"/>
              </w:rPr>
            </w:pPr>
            <w:r w:rsidRPr="00420853">
              <w:rPr>
                <w:rFonts w:ascii="Calibri" w:hAnsi="Calibri" w:cs="Calibri"/>
                <w:sz w:val="22"/>
                <w:szCs w:val="22"/>
                <w:lang w:val="en-US"/>
              </w:rPr>
              <w:t> </w:t>
            </w:r>
          </w:p>
        </w:tc>
        <w:tc>
          <w:tcPr>
            <w:tcW w:w="370" w:type="dxa"/>
            <w:tcBorders>
              <w:top w:val="nil"/>
              <w:left w:val="nil"/>
              <w:bottom w:val="nil"/>
              <w:right w:val="nil"/>
            </w:tcBorders>
            <w:shd w:val="clear" w:color="000000" w:fill="FFFFFF"/>
            <w:noWrap/>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r w:rsidRPr="00420853">
              <w:rPr>
                <w:rFonts w:ascii="Calibri" w:hAnsi="Calibri" w:cs="Calibri"/>
                <w:sz w:val="22"/>
                <w:szCs w:val="22"/>
                <w:lang w:val="en-US"/>
              </w:rPr>
              <w:t> </w:t>
            </w:r>
          </w:p>
        </w:tc>
        <w:tc>
          <w:tcPr>
            <w:tcW w:w="1036" w:type="dxa"/>
            <w:tcBorders>
              <w:top w:val="nil"/>
              <w:left w:val="nil"/>
              <w:bottom w:val="nil"/>
              <w:right w:val="nil"/>
            </w:tcBorders>
            <w:shd w:val="clear" w:color="auto" w:fill="auto"/>
            <w:noWrap/>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p>
        </w:tc>
        <w:tc>
          <w:tcPr>
            <w:tcW w:w="1237" w:type="dxa"/>
            <w:tcBorders>
              <w:top w:val="nil"/>
              <w:left w:val="nil"/>
              <w:bottom w:val="nil"/>
              <w:right w:val="nil"/>
            </w:tcBorders>
            <w:shd w:val="clear" w:color="auto" w:fill="auto"/>
            <w:noWrap/>
            <w:hideMark/>
          </w:tcPr>
          <w:p w:rsidR="00420853" w:rsidRPr="00420853" w:rsidRDefault="00420853" w:rsidP="00420853">
            <w:pPr>
              <w:overflowPunct/>
              <w:autoSpaceDE/>
              <w:autoSpaceDN/>
              <w:adjustRightInd/>
              <w:spacing w:line="240" w:lineRule="auto"/>
              <w:jc w:val="right"/>
              <w:textAlignment w:val="auto"/>
              <w:rPr>
                <w:rFonts w:ascii="Calibri" w:hAnsi="Calibri" w:cs="Calibri"/>
                <w:sz w:val="22"/>
                <w:szCs w:val="22"/>
                <w:lang w:val="en-US"/>
              </w:rPr>
            </w:pPr>
            <w:r w:rsidRPr="00420853">
              <w:rPr>
                <w:rFonts w:ascii="Calibri" w:hAnsi="Calibri" w:cs="Calibri"/>
                <w:sz w:val="22"/>
                <w:szCs w:val="22"/>
                <w:lang w:val="en-US"/>
              </w:rPr>
              <w:t xml:space="preserve"> 1'083 </w:t>
            </w:r>
          </w:p>
        </w:tc>
        <w:tc>
          <w:tcPr>
            <w:tcW w:w="274" w:type="dxa"/>
            <w:tcBorders>
              <w:top w:val="nil"/>
              <w:left w:val="nil"/>
              <w:bottom w:val="nil"/>
              <w:right w:val="nil"/>
            </w:tcBorders>
            <w:shd w:val="clear" w:color="auto" w:fill="auto"/>
            <w:noWrap/>
            <w:vAlign w:val="bottom"/>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p>
        </w:tc>
        <w:tc>
          <w:tcPr>
            <w:tcW w:w="1167" w:type="dxa"/>
            <w:tcBorders>
              <w:top w:val="nil"/>
              <w:left w:val="nil"/>
              <w:bottom w:val="nil"/>
              <w:right w:val="nil"/>
            </w:tcBorders>
            <w:shd w:val="clear" w:color="auto" w:fill="auto"/>
            <w:noWrap/>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p>
        </w:tc>
        <w:tc>
          <w:tcPr>
            <w:tcW w:w="1198" w:type="dxa"/>
            <w:tcBorders>
              <w:top w:val="nil"/>
              <w:left w:val="nil"/>
              <w:bottom w:val="nil"/>
              <w:right w:val="single" w:sz="4" w:space="0" w:color="auto"/>
            </w:tcBorders>
            <w:shd w:val="clear" w:color="auto" w:fill="auto"/>
            <w:noWrap/>
            <w:hideMark/>
          </w:tcPr>
          <w:p w:rsidR="00420853" w:rsidRPr="00420853" w:rsidRDefault="00420853" w:rsidP="00420853">
            <w:pPr>
              <w:overflowPunct/>
              <w:autoSpaceDE/>
              <w:autoSpaceDN/>
              <w:adjustRightInd/>
              <w:spacing w:line="240" w:lineRule="auto"/>
              <w:jc w:val="right"/>
              <w:textAlignment w:val="auto"/>
              <w:rPr>
                <w:rFonts w:ascii="Calibri" w:hAnsi="Calibri" w:cs="Calibri"/>
                <w:sz w:val="22"/>
                <w:szCs w:val="22"/>
                <w:lang w:val="en-US"/>
              </w:rPr>
            </w:pPr>
            <w:r w:rsidRPr="00420853">
              <w:rPr>
                <w:rFonts w:ascii="Calibri" w:hAnsi="Calibri" w:cs="Calibri"/>
                <w:sz w:val="22"/>
                <w:szCs w:val="22"/>
                <w:lang w:val="en-US"/>
              </w:rPr>
              <w:t xml:space="preserve"> 3'090 </w:t>
            </w:r>
          </w:p>
        </w:tc>
      </w:tr>
      <w:tr w:rsidR="00420853" w:rsidRPr="00420853" w:rsidTr="00420853">
        <w:trPr>
          <w:trHeight w:val="292"/>
        </w:trPr>
        <w:tc>
          <w:tcPr>
            <w:tcW w:w="3399" w:type="dxa"/>
            <w:tcBorders>
              <w:top w:val="nil"/>
              <w:left w:val="single" w:sz="4" w:space="0" w:color="auto"/>
              <w:bottom w:val="nil"/>
              <w:right w:val="nil"/>
            </w:tcBorders>
            <w:shd w:val="clear" w:color="000000" w:fill="FFFFFF"/>
            <w:noWrap/>
            <w:hideMark/>
          </w:tcPr>
          <w:p w:rsidR="00420853" w:rsidRPr="00420853" w:rsidRDefault="00420853" w:rsidP="00420853">
            <w:pPr>
              <w:overflowPunct/>
              <w:autoSpaceDE/>
              <w:autoSpaceDN/>
              <w:adjustRightInd/>
              <w:spacing w:line="240" w:lineRule="auto"/>
              <w:jc w:val="both"/>
              <w:textAlignment w:val="auto"/>
              <w:rPr>
                <w:rFonts w:ascii="Calibri" w:hAnsi="Calibri" w:cs="Calibri"/>
                <w:sz w:val="22"/>
                <w:szCs w:val="22"/>
                <w:lang w:val="en-US"/>
              </w:rPr>
            </w:pPr>
            <w:r w:rsidRPr="00420853">
              <w:rPr>
                <w:rFonts w:ascii="Calibri" w:hAnsi="Calibri" w:cs="Calibri"/>
                <w:sz w:val="22"/>
                <w:szCs w:val="22"/>
                <w:lang w:val="en-US"/>
              </w:rPr>
              <w:t> </w:t>
            </w:r>
          </w:p>
        </w:tc>
        <w:tc>
          <w:tcPr>
            <w:tcW w:w="694" w:type="dxa"/>
            <w:tcBorders>
              <w:top w:val="nil"/>
              <w:left w:val="nil"/>
              <w:bottom w:val="nil"/>
              <w:right w:val="nil"/>
            </w:tcBorders>
            <w:shd w:val="clear" w:color="000000" w:fill="FFFFFF"/>
            <w:hideMark/>
          </w:tcPr>
          <w:p w:rsidR="00420853" w:rsidRPr="00420853" w:rsidRDefault="00420853" w:rsidP="00420853">
            <w:pPr>
              <w:overflowPunct/>
              <w:autoSpaceDE/>
              <w:autoSpaceDN/>
              <w:adjustRightInd/>
              <w:spacing w:line="240" w:lineRule="auto"/>
              <w:jc w:val="center"/>
              <w:textAlignment w:val="auto"/>
              <w:rPr>
                <w:rFonts w:ascii="Calibri" w:hAnsi="Calibri" w:cs="Calibri"/>
                <w:sz w:val="22"/>
                <w:szCs w:val="22"/>
                <w:lang w:val="en-US"/>
              </w:rPr>
            </w:pPr>
            <w:r w:rsidRPr="00420853">
              <w:rPr>
                <w:rFonts w:ascii="Calibri" w:hAnsi="Calibri" w:cs="Calibri"/>
                <w:sz w:val="22"/>
                <w:szCs w:val="22"/>
                <w:lang w:val="en-US"/>
              </w:rPr>
              <w:t> </w:t>
            </w:r>
          </w:p>
        </w:tc>
        <w:tc>
          <w:tcPr>
            <w:tcW w:w="370" w:type="dxa"/>
            <w:tcBorders>
              <w:top w:val="nil"/>
              <w:left w:val="nil"/>
              <w:bottom w:val="nil"/>
              <w:right w:val="nil"/>
            </w:tcBorders>
            <w:shd w:val="clear" w:color="000000" w:fill="FFFFFF"/>
            <w:noWrap/>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r w:rsidRPr="00420853">
              <w:rPr>
                <w:rFonts w:ascii="Calibri" w:hAnsi="Calibri" w:cs="Calibri"/>
                <w:sz w:val="22"/>
                <w:szCs w:val="22"/>
                <w:lang w:val="en-US"/>
              </w:rPr>
              <w:t> </w:t>
            </w:r>
          </w:p>
        </w:tc>
        <w:tc>
          <w:tcPr>
            <w:tcW w:w="1036" w:type="dxa"/>
            <w:tcBorders>
              <w:top w:val="nil"/>
              <w:left w:val="nil"/>
              <w:bottom w:val="nil"/>
              <w:right w:val="nil"/>
            </w:tcBorders>
            <w:shd w:val="clear" w:color="auto" w:fill="auto"/>
            <w:noWrap/>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p>
        </w:tc>
        <w:tc>
          <w:tcPr>
            <w:tcW w:w="1237" w:type="dxa"/>
            <w:tcBorders>
              <w:top w:val="nil"/>
              <w:left w:val="nil"/>
              <w:bottom w:val="nil"/>
              <w:right w:val="nil"/>
            </w:tcBorders>
            <w:shd w:val="clear" w:color="auto" w:fill="auto"/>
            <w:noWrap/>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p>
        </w:tc>
        <w:tc>
          <w:tcPr>
            <w:tcW w:w="274" w:type="dxa"/>
            <w:tcBorders>
              <w:top w:val="nil"/>
              <w:left w:val="nil"/>
              <w:bottom w:val="nil"/>
              <w:right w:val="nil"/>
            </w:tcBorders>
            <w:shd w:val="clear" w:color="auto" w:fill="auto"/>
            <w:noWrap/>
            <w:vAlign w:val="bottom"/>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p>
        </w:tc>
        <w:tc>
          <w:tcPr>
            <w:tcW w:w="1167" w:type="dxa"/>
            <w:tcBorders>
              <w:top w:val="nil"/>
              <w:left w:val="nil"/>
              <w:bottom w:val="nil"/>
              <w:right w:val="nil"/>
            </w:tcBorders>
            <w:shd w:val="clear" w:color="auto" w:fill="auto"/>
            <w:noWrap/>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p>
        </w:tc>
        <w:tc>
          <w:tcPr>
            <w:tcW w:w="1198" w:type="dxa"/>
            <w:tcBorders>
              <w:top w:val="nil"/>
              <w:left w:val="nil"/>
              <w:bottom w:val="nil"/>
              <w:right w:val="single" w:sz="4" w:space="0" w:color="auto"/>
            </w:tcBorders>
            <w:shd w:val="clear" w:color="auto" w:fill="auto"/>
            <w:noWrap/>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r w:rsidRPr="00420853">
              <w:rPr>
                <w:rFonts w:ascii="Calibri" w:hAnsi="Calibri" w:cs="Calibri"/>
                <w:sz w:val="22"/>
                <w:szCs w:val="22"/>
                <w:lang w:val="en-US"/>
              </w:rPr>
              <w:t> </w:t>
            </w:r>
          </w:p>
        </w:tc>
      </w:tr>
      <w:tr w:rsidR="00420853" w:rsidRPr="00420853" w:rsidTr="00420853">
        <w:trPr>
          <w:trHeight w:val="292"/>
        </w:trPr>
        <w:tc>
          <w:tcPr>
            <w:tcW w:w="3399" w:type="dxa"/>
            <w:tcBorders>
              <w:top w:val="nil"/>
              <w:left w:val="single" w:sz="4" w:space="0" w:color="auto"/>
              <w:bottom w:val="nil"/>
              <w:right w:val="nil"/>
            </w:tcBorders>
            <w:shd w:val="clear" w:color="000000" w:fill="FFFFFF"/>
            <w:noWrap/>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r w:rsidRPr="00420853">
              <w:rPr>
                <w:rFonts w:ascii="Calibri" w:hAnsi="Calibri" w:cs="Calibri"/>
                <w:sz w:val="22"/>
                <w:szCs w:val="22"/>
                <w:lang w:val="en-US"/>
              </w:rPr>
              <w:t>Income taxes</w:t>
            </w:r>
          </w:p>
        </w:tc>
        <w:tc>
          <w:tcPr>
            <w:tcW w:w="694" w:type="dxa"/>
            <w:tcBorders>
              <w:top w:val="nil"/>
              <w:left w:val="nil"/>
              <w:bottom w:val="nil"/>
              <w:right w:val="nil"/>
            </w:tcBorders>
            <w:shd w:val="clear" w:color="000000" w:fill="FFFFFF"/>
            <w:hideMark/>
          </w:tcPr>
          <w:p w:rsidR="00420853" w:rsidRPr="00420853" w:rsidRDefault="00420853" w:rsidP="00420853">
            <w:pPr>
              <w:overflowPunct/>
              <w:autoSpaceDE/>
              <w:autoSpaceDN/>
              <w:adjustRightInd/>
              <w:spacing w:line="240" w:lineRule="auto"/>
              <w:jc w:val="center"/>
              <w:textAlignment w:val="auto"/>
              <w:rPr>
                <w:rFonts w:ascii="Calibri" w:hAnsi="Calibri" w:cs="Calibri"/>
                <w:sz w:val="22"/>
                <w:szCs w:val="22"/>
                <w:lang w:val="en-US"/>
              </w:rPr>
            </w:pPr>
            <w:r w:rsidRPr="00420853">
              <w:rPr>
                <w:rFonts w:ascii="Calibri" w:hAnsi="Calibri" w:cs="Calibri"/>
                <w:sz w:val="22"/>
                <w:szCs w:val="22"/>
                <w:lang w:val="en-US"/>
              </w:rPr>
              <w:t>9</w:t>
            </w:r>
          </w:p>
        </w:tc>
        <w:tc>
          <w:tcPr>
            <w:tcW w:w="370" w:type="dxa"/>
            <w:tcBorders>
              <w:top w:val="nil"/>
              <w:left w:val="nil"/>
              <w:bottom w:val="nil"/>
              <w:right w:val="nil"/>
            </w:tcBorders>
            <w:shd w:val="clear" w:color="000000" w:fill="FFFFFF"/>
            <w:noWrap/>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r w:rsidRPr="00420853">
              <w:rPr>
                <w:rFonts w:ascii="Calibri" w:hAnsi="Calibri" w:cs="Calibri"/>
                <w:sz w:val="22"/>
                <w:szCs w:val="22"/>
                <w:lang w:val="en-US"/>
              </w:rPr>
              <w:t> </w:t>
            </w:r>
          </w:p>
        </w:tc>
        <w:tc>
          <w:tcPr>
            <w:tcW w:w="1036" w:type="dxa"/>
            <w:tcBorders>
              <w:top w:val="nil"/>
              <w:left w:val="nil"/>
              <w:bottom w:val="nil"/>
              <w:right w:val="nil"/>
            </w:tcBorders>
            <w:shd w:val="clear" w:color="auto" w:fill="auto"/>
            <w:noWrap/>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p>
        </w:tc>
        <w:tc>
          <w:tcPr>
            <w:tcW w:w="1237" w:type="dxa"/>
            <w:tcBorders>
              <w:top w:val="nil"/>
              <w:left w:val="nil"/>
              <w:bottom w:val="nil"/>
              <w:right w:val="nil"/>
            </w:tcBorders>
            <w:shd w:val="clear" w:color="auto" w:fill="auto"/>
            <w:noWrap/>
            <w:vAlign w:val="bottom"/>
            <w:hideMark/>
          </w:tcPr>
          <w:p w:rsidR="00420853" w:rsidRPr="00420853" w:rsidRDefault="00420853" w:rsidP="00420853">
            <w:pPr>
              <w:overflowPunct/>
              <w:autoSpaceDE/>
              <w:autoSpaceDN/>
              <w:adjustRightInd/>
              <w:spacing w:line="240" w:lineRule="auto"/>
              <w:jc w:val="right"/>
              <w:textAlignment w:val="auto"/>
              <w:rPr>
                <w:rFonts w:ascii="Calibri" w:hAnsi="Calibri" w:cs="Calibri"/>
                <w:sz w:val="22"/>
                <w:szCs w:val="22"/>
                <w:lang w:val="en-US"/>
              </w:rPr>
            </w:pPr>
            <w:r w:rsidRPr="00420853">
              <w:rPr>
                <w:rFonts w:ascii="Calibri" w:hAnsi="Calibri" w:cs="Calibri"/>
                <w:sz w:val="22"/>
                <w:szCs w:val="22"/>
                <w:lang w:val="en-US"/>
              </w:rPr>
              <w:t xml:space="preserve">                      -   </w:t>
            </w:r>
          </w:p>
        </w:tc>
        <w:tc>
          <w:tcPr>
            <w:tcW w:w="274" w:type="dxa"/>
            <w:tcBorders>
              <w:top w:val="nil"/>
              <w:left w:val="nil"/>
              <w:bottom w:val="nil"/>
              <w:right w:val="nil"/>
            </w:tcBorders>
            <w:shd w:val="clear" w:color="auto" w:fill="auto"/>
            <w:noWrap/>
            <w:vAlign w:val="bottom"/>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p>
        </w:tc>
        <w:tc>
          <w:tcPr>
            <w:tcW w:w="1167" w:type="dxa"/>
            <w:tcBorders>
              <w:top w:val="nil"/>
              <w:left w:val="nil"/>
              <w:bottom w:val="nil"/>
              <w:right w:val="nil"/>
            </w:tcBorders>
            <w:shd w:val="clear" w:color="auto" w:fill="auto"/>
            <w:noWrap/>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p>
        </w:tc>
        <w:tc>
          <w:tcPr>
            <w:tcW w:w="1198" w:type="dxa"/>
            <w:tcBorders>
              <w:top w:val="nil"/>
              <w:left w:val="nil"/>
              <w:bottom w:val="nil"/>
              <w:right w:val="single" w:sz="4" w:space="0" w:color="auto"/>
            </w:tcBorders>
            <w:shd w:val="clear" w:color="auto" w:fill="auto"/>
            <w:noWrap/>
            <w:vAlign w:val="bottom"/>
            <w:hideMark/>
          </w:tcPr>
          <w:p w:rsidR="00420853" w:rsidRPr="00420853" w:rsidRDefault="00420853" w:rsidP="00420853">
            <w:pPr>
              <w:overflowPunct/>
              <w:autoSpaceDE/>
              <w:autoSpaceDN/>
              <w:adjustRightInd/>
              <w:spacing w:line="240" w:lineRule="auto"/>
              <w:jc w:val="right"/>
              <w:textAlignment w:val="auto"/>
              <w:rPr>
                <w:rFonts w:ascii="Calibri" w:hAnsi="Calibri" w:cs="Calibri"/>
                <w:sz w:val="22"/>
                <w:szCs w:val="22"/>
                <w:lang w:val="en-US"/>
              </w:rPr>
            </w:pPr>
            <w:r w:rsidRPr="00420853">
              <w:rPr>
                <w:rFonts w:ascii="Calibri" w:hAnsi="Calibri" w:cs="Calibri"/>
                <w:sz w:val="22"/>
                <w:szCs w:val="22"/>
                <w:lang w:val="en-US"/>
              </w:rPr>
              <w:t xml:space="preserve">                     -   </w:t>
            </w:r>
          </w:p>
        </w:tc>
      </w:tr>
      <w:tr w:rsidR="00420853" w:rsidRPr="00420853" w:rsidTr="00420853">
        <w:trPr>
          <w:trHeight w:val="292"/>
        </w:trPr>
        <w:tc>
          <w:tcPr>
            <w:tcW w:w="3399" w:type="dxa"/>
            <w:tcBorders>
              <w:top w:val="nil"/>
              <w:left w:val="single" w:sz="4" w:space="0" w:color="auto"/>
              <w:bottom w:val="nil"/>
              <w:right w:val="nil"/>
            </w:tcBorders>
            <w:shd w:val="clear" w:color="000000" w:fill="FFFFFF"/>
            <w:noWrap/>
            <w:vAlign w:val="bottom"/>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r w:rsidRPr="00420853">
              <w:rPr>
                <w:rFonts w:ascii="Calibri" w:hAnsi="Calibri" w:cs="Calibri"/>
                <w:sz w:val="22"/>
                <w:szCs w:val="22"/>
                <w:lang w:val="en-US"/>
              </w:rPr>
              <w:t> </w:t>
            </w:r>
          </w:p>
        </w:tc>
        <w:tc>
          <w:tcPr>
            <w:tcW w:w="694" w:type="dxa"/>
            <w:tcBorders>
              <w:top w:val="nil"/>
              <w:left w:val="nil"/>
              <w:bottom w:val="nil"/>
              <w:right w:val="nil"/>
            </w:tcBorders>
            <w:shd w:val="clear" w:color="000000" w:fill="FFFFFF"/>
            <w:hideMark/>
          </w:tcPr>
          <w:p w:rsidR="00420853" w:rsidRPr="00420853" w:rsidRDefault="00420853" w:rsidP="00420853">
            <w:pPr>
              <w:overflowPunct/>
              <w:autoSpaceDE/>
              <w:autoSpaceDN/>
              <w:adjustRightInd/>
              <w:spacing w:line="240" w:lineRule="auto"/>
              <w:jc w:val="center"/>
              <w:textAlignment w:val="auto"/>
              <w:rPr>
                <w:rFonts w:ascii="Calibri" w:hAnsi="Calibri" w:cs="Calibri"/>
                <w:sz w:val="22"/>
                <w:szCs w:val="22"/>
                <w:lang w:val="en-US"/>
              </w:rPr>
            </w:pPr>
            <w:r w:rsidRPr="00420853">
              <w:rPr>
                <w:rFonts w:ascii="Calibri" w:hAnsi="Calibri" w:cs="Calibri"/>
                <w:sz w:val="22"/>
                <w:szCs w:val="22"/>
                <w:lang w:val="en-US"/>
              </w:rPr>
              <w:t> </w:t>
            </w:r>
          </w:p>
        </w:tc>
        <w:tc>
          <w:tcPr>
            <w:tcW w:w="370" w:type="dxa"/>
            <w:tcBorders>
              <w:top w:val="nil"/>
              <w:left w:val="nil"/>
              <w:bottom w:val="nil"/>
              <w:right w:val="nil"/>
            </w:tcBorders>
            <w:shd w:val="clear" w:color="000000" w:fill="FFFFFF"/>
            <w:noWrap/>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u w:val="double"/>
                <w:lang w:val="en-US"/>
              </w:rPr>
            </w:pPr>
          </w:p>
        </w:tc>
        <w:tc>
          <w:tcPr>
            <w:tcW w:w="1036" w:type="dxa"/>
            <w:tcBorders>
              <w:top w:val="nil"/>
              <w:left w:val="nil"/>
              <w:bottom w:val="nil"/>
              <w:right w:val="nil"/>
            </w:tcBorders>
            <w:shd w:val="clear" w:color="auto" w:fill="auto"/>
            <w:noWrap/>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u w:val="double"/>
                <w:lang w:val="en-US"/>
              </w:rPr>
            </w:pPr>
          </w:p>
        </w:tc>
        <w:tc>
          <w:tcPr>
            <w:tcW w:w="1237" w:type="dxa"/>
            <w:tcBorders>
              <w:top w:val="nil"/>
              <w:left w:val="nil"/>
              <w:bottom w:val="nil"/>
              <w:right w:val="nil"/>
            </w:tcBorders>
            <w:shd w:val="clear" w:color="auto" w:fill="auto"/>
            <w:noWrap/>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u w:val="double"/>
                <w:lang w:val="en-US"/>
              </w:rPr>
            </w:pPr>
          </w:p>
        </w:tc>
        <w:tc>
          <w:tcPr>
            <w:tcW w:w="274" w:type="dxa"/>
            <w:tcBorders>
              <w:top w:val="nil"/>
              <w:left w:val="nil"/>
              <w:bottom w:val="nil"/>
              <w:right w:val="nil"/>
            </w:tcBorders>
            <w:shd w:val="clear" w:color="auto" w:fill="auto"/>
            <w:noWrap/>
            <w:vAlign w:val="bottom"/>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p>
        </w:tc>
        <w:tc>
          <w:tcPr>
            <w:tcW w:w="1167" w:type="dxa"/>
            <w:tcBorders>
              <w:top w:val="nil"/>
              <w:left w:val="nil"/>
              <w:bottom w:val="nil"/>
              <w:right w:val="nil"/>
            </w:tcBorders>
            <w:shd w:val="clear" w:color="auto" w:fill="auto"/>
            <w:noWrap/>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u w:val="double"/>
                <w:lang w:val="en-US"/>
              </w:rPr>
            </w:pPr>
          </w:p>
        </w:tc>
        <w:tc>
          <w:tcPr>
            <w:tcW w:w="1198" w:type="dxa"/>
            <w:tcBorders>
              <w:top w:val="nil"/>
              <w:left w:val="nil"/>
              <w:bottom w:val="nil"/>
              <w:right w:val="single" w:sz="4" w:space="0" w:color="auto"/>
            </w:tcBorders>
            <w:shd w:val="clear" w:color="auto" w:fill="auto"/>
            <w:noWrap/>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u w:val="double"/>
                <w:lang w:val="en-US"/>
              </w:rPr>
            </w:pPr>
          </w:p>
        </w:tc>
      </w:tr>
      <w:tr w:rsidR="00420853" w:rsidRPr="00420853" w:rsidTr="00420853">
        <w:trPr>
          <w:trHeight w:val="306"/>
        </w:trPr>
        <w:tc>
          <w:tcPr>
            <w:tcW w:w="3399" w:type="dxa"/>
            <w:tcBorders>
              <w:top w:val="nil"/>
              <w:left w:val="single" w:sz="4" w:space="0" w:color="auto"/>
              <w:bottom w:val="nil"/>
              <w:right w:val="nil"/>
            </w:tcBorders>
            <w:shd w:val="clear" w:color="000000" w:fill="FFFFFF"/>
            <w:hideMark/>
          </w:tcPr>
          <w:p w:rsidR="00420853" w:rsidRPr="00420853" w:rsidRDefault="00420853" w:rsidP="00420853">
            <w:pPr>
              <w:overflowPunct/>
              <w:autoSpaceDE/>
              <w:autoSpaceDN/>
              <w:adjustRightInd/>
              <w:spacing w:line="240" w:lineRule="auto"/>
              <w:textAlignment w:val="auto"/>
              <w:rPr>
                <w:rFonts w:ascii="Calibri" w:hAnsi="Calibri" w:cs="Calibri"/>
                <w:b/>
                <w:bCs/>
                <w:sz w:val="22"/>
                <w:szCs w:val="22"/>
                <w:lang w:val="en-US"/>
              </w:rPr>
            </w:pPr>
            <w:r w:rsidRPr="00420853">
              <w:rPr>
                <w:rFonts w:ascii="Calibri" w:hAnsi="Calibri" w:cs="Calibri"/>
                <w:b/>
                <w:bCs/>
                <w:sz w:val="22"/>
                <w:szCs w:val="22"/>
                <w:lang w:val="en-US"/>
              </w:rPr>
              <w:t>Net profit</w:t>
            </w:r>
          </w:p>
        </w:tc>
        <w:tc>
          <w:tcPr>
            <w:tcW w:w="694" w:type="dxa"/>
            <w:tcBorders>
              <w:top w:val="nil"/>
              <w:left w:val="nil"/>
              <w:bottom w:val="nil"/>
              <w:right w:val="nil"/>
            </w:tcBorders>
            <w:shd w:val="clear" w:color="000000" w:fill="FFFFFF"/>
            <w:hideMark/>
          </w:tcPr>
          <w:p w:rsidR="00420853" w:rsidRPr="00420853" w:rsidRDefault="00420853" w:rsidP="00420853">
            <w:pPr>
              <w:overflowPunct/>
              <w:autoSpaceDE/>
              <w:autoSpaceDN/>
              <w:adjustRightInd/>
              <w:spacing w:line="240" w:lineRule="auto"/>
              <w:jc w:val="center"/>
              <w:textAlignment w:val="auto"/>
              <w:rPr>
                <w:rFonts w:ascii="Calibri" w:hAnsi="Calibri" w:cs="Calibri"/>
                <w:sz w:val="22"/>
                <w:szCs w:val="22"/>
                <w:lang w:val="en-US"/>
              </w:rPr>
            </w:pPr>
            <w:r w:rsidRPr="00420853">
              <w:rPr>
                <w:rFonts w:ascii="Calibri" w:hAnsi="Calibri" w:cs="Calibri"/>
                <w:sz w:val="22"/>
                <w:szCs w:val="22"/>
                <w:lang w:val="en-US"/>
              </w:rPr>
              <w:t> </w:t>
            </w:r>
          </w:p>
        </w:tc>
        <w:tc>
          <w:tcPr>
            <w:tcW w:w="370" w:type="dxa"/>
            <w:tcBorders>
              <w:top w:val="nil"/>
              <w:left w:val="nil"/>
              <w:bottom w:val="nil"/>
              <w:right w:val="nil"/>
            </w:tcBorders>
            <w:shd w:val="clear" w:color="000000" w:fill="FFFFFF"/>
            <w:hideMark/>
          </w:tcPr>
          <w:p w:rsidR="00420853" w:rsidRPr="00420853" w:rsidRDefault="00420853" w:rsidP="00420853">
            <w:pPr>
              <w:overflowPunct/>
              <w:autoSpaceDE/>
              <w:autoSpaceDN/>
              <w:adjustRightInd/>
              <w:spacing w:line="240" w:lineRule="auto"/>
              <w:ind w:firstLineChars="100" w:firstLine="220"/>
              <w:jc w:val="right"/>
              <w:textAlignment w:val="auto"/>
              <w:rPr>
                <w:rFonts w:ascii="Calibri" w:hAnsi="Calibri" w:cs="Calibri"/>
                <w:sz w:val="22"/>
                <w:szCs w:val="22"/>
                <w:lang w:val="en-US"/>
              </w:rPr>
            </w:pPr>
            <w:r w:rsidRPr="00420853">
              <w:rPr>
                <w:rFonts w:ascii="Calibri" w:hAnsi="Calibri" w:cs="Calibri"/>
                <w:sz w:val="22"/>
                <w:szCs w:val="22"/>
                <w:lang w:val="en-US"/>
              </w:rPr>
              <w:t> </w:t>
            </w:r>
          </w:p>
        </w:tc>
        <w:tc>
          <w:tcPr>
            <w:tcW w:w="1036" w:type="dxa"/>
            <w:tcBorders>
              <w:top w:val="nil"/>
              <w:left w:val="nil"/>
              <w:bottom w:val="nil"/>
              <w:right w:val="nil"/>
            </w:tcBorders>
            <w:shd w:val="clear" w:color="auto" w:fill="auto"/>
            <w:hideMark/>
          </w:tcPr>
          <w:p w:rsidR="00420853" w:rsidRPr="00420853" w:rsidRDefault="00420853" w:rsidP="00420853">
            <w:pPr>
              <w:overflowPunct/>
              <w:autoSpaceDE/>
              <w:autoSpaceDN/>
              <w:adjustRightInd/>
              <w:spacing w:line="240" w:lineRule="auto"/>
              <w:ind w:firstLineChars="100" w:firstLine="220"/>
              <w:jc w:val="right"/>
              <w:textAlignment w:val="auto"/>
              <w:rPr>
                <w:rFonts w:ascii="Calibri" w:hAnsi="Calibri" w:cs="Calibri"/>
                <w:sz w:val="22"/>
                <w:szCs w:val="22"/>
                <w:lang w:val="en-US"/>
              </w:rPr>
            </w:pPr>
          </w:p>
        </w:tc>
        <w:tc>
          <w:tcPr>
            <w:tcW w:w="1237" w:type="dxa"/>
            <w:tcBorders>
              <w:top w:val="single" w:sz="4" w:space="0" w:color="auto"/>
              <w:left w:val="nil"/>
              <w:bottom w:val="double" w:sz="6" w:space="0" w:color="auto"/>
              <w:right w:val="nil"/>
            </w:tcBorders>
            <w:shd w:val="clear" w:color="auto" w:fill="auto"/>
            <w:noWrap/>
            <w:vAlign w:val="bottom"/>
            <w:hideMark/>
          </w:tcPr>
          <w:p w:rsidR="00420853" w:rsidRPr="00420853" w:rsidRDefault="00420853" w:rsidP="00420853">
            <w:pPr>
              <w:overflowPunct/>
              <w:autoSpaceDE/>
              <w:autoSpaceDN/>
              <w:adjustRightInd/>
              <w:spacing w:line="240" w:lineRule="auto"/>
              <w:jc w:val="right"/>
              <w:textAlignment w:val="auto"/>
              <w:rPr>
                <w:rFonts w:ascii="Calibri" w:hAnsi="Calibri" w:cs="Calibri"/>
                <w:sz w:val="22"/>
                <w:szCs w:val="22"/>
                <w:lang w:val="en-US"/>
              </w:rPr>
            </w:pPr>
            <w:r w:rsidRPr="00420853">
              <w:rPr>
                <w:rFonts w:ascii="Calibri" w:hAnsi="Calibri" w:cs="Calibri"/>
                <w:sz w:val="22"/>
                <w:szCs w:val="22"/>
                <w:lang w:val="en-US"/>
              </w:rPr>
              <w:t xml:space="preserve"> 1'083 </w:t>
            </w:r>
          </w:p>
        </w:tc>
        <w:tc>
          <w:tcPr>
            <w:tcW w:w="274" w:type="dxa"/>
            <w:tcBorders>
              <w:top w:val="nil"/>
              <w:left w:val="nil"/>
              <w:bottom w:val="nil"/>
              <w:right w:val="nil"/>
            </w:tcBorders>
            <w:shd w:val="clear" w:color="auto" w:fill="auto"/>
            <w:noWrap/>
            <w:vAlign w:val="bottom"/>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p>
        </w:tc>
        <w:tc>
          <w:tcPr>
            <w:tcW w:w="1167" w:type="dxa"/>
            <w:tcBorders>
              <w:top w:val="nil"/>
              <w:left w:val="nil"/>
              <w:bottom w:val="nil"/>
              <w:right w:val="nil"/>
            </w:tcBorders>
            <w:shd w:val="clear" w:color="auto" w:fill="auto"/>
            <w:hideMark/>
          </w:tcPr>
          <w:p w:rsidR="00420853" w:rsidRPr="00420853" w:rsidRDefault="00420853" w:rsidP="00420853">
            <w:pPr>
              <w:overflowPunct/>
              <w:autoSpaceDE/>
              <w:autoSpaceDN/>
              <w:adjustRightInd/>
              <w:spacing w:line="240" w:lineRule="auto"/>
              <w:ind w:firstLineChars="100" w:firstLine="220"/>
              <w:jc w:val="right"/>
              <w:textAlignment w:val="auto"/>
              <w:rPr>
                <w:rFonts w:ascii="Calibri" w:hAnsi="Calibri" w:cs="Calibri"/>
                <w:sz w:val="22"/>
                <w:szCs w:val="22"/>
                <w:lang w:val="en-US"/>
              </w:rPr>
            </w:pPr>
          </w:p>
        </w:tc>
        <w:tc>
          <w:tcPr>
            <w:tcW w:w="1198" w:type="dxa"/>
            <w:tcBorders>
              <w:top w:val="single" w:sz="4" w:space="0" w:color="auto"/>
              <w:left w:val="nil"/>
              <w:bottom w:val="double" w:sz="6" w:space="0" w:color="auto"/>
              <w:right w:val="single" w:sz="4" w:space="0" w:color="auto"/>
            </w:tcBorders>
            <w:shd w:val="clear" w:color="auto" w:fill="auto"/>
            <w:noWrap/>
            <w:vAlign w:val="bottom"/>
            <w:hideMark/>
          </w:tcPr>
          <w:p w:rsidR="00420853" w:rsidRPr="00420853" w:rsidRDefault="00420853" w:rsidP="00420853">
            <w:pPr>
              <w:overflowPunct/>
              <w:autoSpaceDE/>
              <w:autoSpaceDN/>
              <w:adjustRightInd/>
              <w:spacing w:line="240" w:lineRule="auto"/>
              <w:jc w:val="right"/>
              <w:textAlignment w:val="auto"/>
              <w:rPr>
                <w:rFonts w:ascii="Calibri" w:hAnsi="Calibri" w:cs="Calibri"/>
                <w:sz w:val="22"/>
                <w:szCs w:val="22"/>
                <w:lang w:val="en-US"/>
              </w:rPr>
            </w:pPr>
            <w:r w:rsidRPr="00420853">
              <w:rPr>
                <w:rFonts w:ascii="Calibri" w:hAnsi="Calibri" w:cs="Calibri"/>
                <w:sz w:val="22"/>
                <w:szCs w:val="22"/>
                <w:lang w:val="en-US"/>
              </w:rPr>
              <w:t xml:space="preserve"> 3'090 </w:t>
            </w:r>
          </w:p>
        </w:tc>
      </w:tr>
      <w:tr w:rsidR="00420853" w:rsidRPr="00420853" w:rsidTr="00420853">
        <w:trPr>
          <w:trHeight w:val="306"/>
        </w:trPr>
        <w:tc>
          <w:tcPr>
            <w:tcW w:w="3399" w:type="dxa"/>
            <w:tcBorders>
              <w:top w:val="nil"/>
              <w:left w:val="single" w:sz="4" w:space="0" w:color="auto"/>
              <w:bottom w:val="single" w:sz="4" w:space="0" w:color="auto"/>
              <w:right w:val="nil"/>
            </w:tcBorders>
            <w:shd w:val="clear" w:color="000000" w:fill="FFFFFF"/>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r w:rsidRPr="00420853">
              <w:rPr>
                <w:rFonts w:ascii="Calibri" w:hAnsi="Calibri" w:cs="Calibri"/>
                <w:sz w:val="22"/>
                <w:szCs w:val="22"/>
                <w:lang w:val="en-US"/>
              </w:rPr>
              <w:t> </w:t>
            </w:r>
          </w:p>
        </w:tc>
        <w:tc>
          <w:tcPr>
            <w:tcW w:w="694" w:type="dxa"/>
            <w:tcBorders>
              <w:top w:val="nil"/>
              <w:left w:val="nil"/>
              <w:bottom w:val="single" w:sz="4" w:space="0" w:color="auto"/>
              <w:right w:val="nil"/>
            </w:tcBorders>
            <w:shd w:val="clear" w:color="000000" w:fill="FFFFFF"/>
            <w:hideMark/>
          </w:tcPr>
          <w:p w:rsidR="00420853" w:rsidRPr="00420853" w:rsidRDefault="00420853" w:rsidP="00420853">
            <w:pPr>
              <w:overflowPunct/>
              <w:autoSpaceDE/>
              <w:autoSpaceDN/>
              <w:adjustRightInd/>
              <w:spacing w:line="240" w:lineRule="auto"/>
              <w:jc w:val="center"/>
              <w:textAlignment w:val="auto"/>
              <w:rPr>
                <w:rFonts w:ascii="Calibri" w:hAnsi="Calibri" w:cs="Calibri"/>
                <w:sz w:val="22"/>
                <w:szCs w:val="22"/>
                <w:lang w:val="en-US"/>
              </w:rPr>
            </w:pPr>
            <w:r w:rsidRPr="00420853">
              <w:rPr>
                <w:rFonts w:ascii="Calibri" w:hAnsi="Calibri" w:cs="Calibri"/>
                <w:sz w:val="22"/>
                <w:szCs w:val="22"/>
                <w:lang w:val="en-US"/>
              </w:rPr>
              <w:t> </w:t>
            </w:r>
          </w:p>
        </w:tc>
        <w:tc>
          <w:tcPr>
            <w:tcW w:w="370" w:type="dxa"/>
            <w:tcBorders>
              <w:top w:val="nil"/>
              <w:left w:val="nil"/>
              <w:bottom w:val="single" w:sz="4" w:space="0" w:color="auto"/>
              <w:right w:val="nil"/>
            </w:tcBorders>
            <w:shd w:val="clear" w:color="000000" w:fill="FFFFFF"/>
            <w:hideMark/>
          </w:tcPr>
          <w:p w:rsidR="00420853" w:rsidRPr="00420853" w:rsidRDefault="00420853" w:rsidP="00420853">
            <w:pPr>
              <w:overflowPunct/>
              <w:autoSpaceDE/>
              <w:autoSpaceDN/>
              <w:adjustRightInd/>
              <w:spacing w:line="240" w:lineRule="auto"/>
              <w:ind w:firstLineChars="100" w:firstLine="220"/>
              <w:jc w:val="right"/>
              <w:textAlignment w:val="auto"/>
              <w:rPr>
                <w:rFonts w:ascii="Calibri" w:hAnsi="Calibri" w:cs="Calibri"/>
                <w:sz w:val="22"/>
                <w:szCs w:val="22"/>
                <w:lang w:val="en-US"/>
              </w:rPr>
            </w:pPr>
            <w:r w:rsidRPr="00420853">
              <w:rPr>
                <w:rFonts w:ascii="Calibri" w:hAnsi="Calibri" w:cs="Calibri"/>
                <w:sz w:val="22"/>
                <w:szCs w:val="22"/>
                <w:lang w:val="en-US"/>
              </w:rPr>
              <w:t> </w:t>
            </w:r>
          </w:p>
        </w:tc>
        <w:tc>
          <w:tcPr>
            <w:tcW w:w="1036" w:type="dxa"/>
            <w:tcBorders>
              <w:top w:val="nil"/>
              <w:left w:val="nil"/>
              <w:bottom w:val="single" w:sz="4" w:space="0" w:color="auto"/>
              <w:right w:val="nil"/>
            </w:tcBorders>
            <w:shd w:val="clear" w:color="auto" w:fill="auto"/>
            <w:hideMark/>
          </w:tcPr>
          <w:p w:rsidR="00420853" w:rsidRPr="00420853" w:rsidRDefault="00420853" w:rsidP="00420853">
            <w:pPr>
              <w:overflowPunct/>
              <w:autoSpaceDE/>
              <w:autoSpaceDN/>
              <w:adjustRightInd/>
              <w:spacing w:line="240" w:lineRule="auto"/>
              <w:ind w:firstLineChars="100" w:firstLine="220"/>
              <w:jc w:val="right"/>
              <w:textAlignment w:val="auto"/>
              <w:rPr>
                <w:rFonts w:ascii="Calibri" w:hAnsi="Calibri" w:cs="Calibri"/>
                <w:sz w:val="22"/>
                <w:szCs w:val="22"/>
                <w:lang w:val="en-US"/>
              </w:rPr>
            </w:pPr>
            <w:r w:rsidRPr="00420853">
              <w:rPr>
                <w:rFonts w:ascii="Calibri" w:hAnsi="Calibri" w:cs="Calibri"/>
                <w:sz w:val="22"/>
                <w:szCs w:val="22"/>
                <w:lang w:val="en-US"/>
              </w:rPr>
              <w:t> </w:t>
            </w:r>
          </w:p>
        </w:tc>
        <w:tc>
          <w:tcPr>
            <w:tcW w:w="1237" w:type="dxa"/>
            <w:tcBorders>
              <w:top w:val="nil"/>
              <w:left w:val="nil"/>
              <w:bottom w:val="single" w:sz="4" w:space="0" w:color="auto"/>
              <w:right w:val="nil"/>
            </w:tcBorders>
            <w:shd w:val="clear" w:color="auto" w:fill="auto"/>
            <w:hideMark/>
          </w:tcPr>
          <w:p w:rsidR="00420853" w:rsidRPr="00420853" w:rsidRDefault="00420853" w:rsidP="00420853">
            <w:pPr>
              <w:overflowPunct/>
              <w:autoSpaceDE/>
              <w:autoSpaceDN/>
              <w:adjustRightInd/>
              <w:spacing w:line="240" w:lineRule="auto"/>
              <w:ind w:firstLineChars="100" w:firstLine="220"/>
              <w:jc w:val="right"/>
              <w:textAlignment w:val="auto"/>
              <w:rPr>
                <w:rFonts w:ascii="Calibri" w:hAnsi="Calibri" w:cs="Calibri"/>
                <w:sz w:val="22"/>
                <w:szCs w:val="22"/>
                <w:lang w:val="en-US"/>
              </w:rPr>
            </w:pPr>
            <w:r w:rsidRPr="00420853">
              <w:rPr>
                <w:rFonts w:ascii="Calibri" w:hAnsi="Calibri" w:cs="Calibri"/>
                <w:sz w:val="22"/>
                <w:szCs w:val="22"/>
                <w:lang w:val="en-US"/>
              </w:rPr>
              <w:t> </w:t>
            </w:r>
          </w:p>
        </w:tc>
        <w:tc>
          <w:tcPr>
            <w:tcW w:w="274" w:type="dxa"/>
            <w:tcBorders>
              <w:top w:val="nil"/>
              <w:left w:val="nil"/>
              <w:bottom w:val="single" w:sz="4" w:space="0" w:color="auto"/>
              <w:right w:val="nil"/>
            </w:tcBorders>
            <w:shd w:val="clear" w:color="auto" w:fill="auto"/>
            <w:noWrap/>
            <w:vAlign w:val="bottom"/>
            <w:hideMark/>
          </w:tcPr>
          <w:p w:rsidR="00420853" w:rsidRPr="00420853" w:rsidRDefault="00420853" w:rsidP="00420853">
            <w:pPr>
              <w:overflowPunct/>
              <w:autoSpaceDE/>
              <w:autoSpaceDN/>
              <w:adjustRightInd/>
              <w:spacing w:line="240" w:lineRule="auto"/>
              <w:textAlignment w:val="auto"/>
              <w:rPr>
                <w:rFonts w:ascii="Calibri" w:hAnsi="Calibri" w:cs="Calibri"/>
                <w:sz w:val="22"/>
                <w:szCs w:val="22"/>
                <w:lang w:val="en-US"/>
              </w:rPr>
            </w:pPr>
            <w:r w:rsidRPr="00420853">
              <w:rPr>
                <w:rFonts w:ascii="Calibri" w:hAnsi="Calibri" w:cs="Calibri"/>
                <w:sz w:val="22"/>
                <w:szCs w:val="22"/>
                <w:lang w:val="en-US"/>
              </w:rPr>
              <w:t> </w:t>
            </w:r>
          </w:p>
        </w:tc>
        <w:tc>
          <w:tcPr>
            <w:tcW w:w="1167" w:type="dxa"/>
            <w:tcBorders>
              <w:top w:val="nil"/>
              <w:left w:val="nil"/>
              <w:bottom w:val="single" w:sz="4" w:space="0" w:color="auto"/>
              <w:right w:val="nil"/>
            </w:tcBorders>
            <w:shd w:val="clear" w:color="auto" w:fill="auto"/>
            <w:hideMark/>
          </w:tcPr>
          <w:p w:rsidR="00420853" w:rsidRPr="00420853" w:rsidRDefault="00420853" w:rsidP="00420853">
            <w:pPr>
              <w:overflowPunct/>
              <w:autoSpaceDE/>
              <w:autoSpaceDN/>
              <w:adjustRightInd/>
              <w:spacing w:line="240" w:lineRule="auto"/>
              <w:ind w:firstLineChars="100" w:firstLine="220"/>
              <w:jc w:val="right"/>
              <w:textAlignment w:val="auto"/>
              <w:rPr>
                <w:rFonts w:ascii="Calibri" w:hAnsi="Calibri" w:cs="Calibri"/>
                <w:sz w:val="22"/>
                <w:szCs w:val="22"/>
                <w:lang w:val="en-US"/>
              </w:rPr>
            </w:pPr>
            <w:r w:rsidRPr="00420853">
              <w:rPr>
                <w:rFonts w:ascii="Calibri" w:hAnsi="Calibri" w:cs="Calibri"/>
                <w:sz w:val="22"/>
                <w:szCs w:val="22"/>
                <w:lang w:val="en-US"/>
              </w:rPr>
              <w:t> </w:t>
            </w:r>
          </w:p>
        </w:tc>
        <w:tc>
          <w:tcPr>
            <w:tcW w:w="1198" w:type="dxa"/>
            <w:tcBorders>
              <w:top w:val="nil"/>
              <w:left w:val="nil"/>
              <w:bottom w:val="single" w:sz="4" w:space="0" w:color="auto"/>
              <w:right w:val="single" w:sz="4" w:space="0" w:color="auto"/>
            </w:tcBorders>
            <w:shd w:val="clear" w:color="auto" w:fill="auto"/>
            <w:hideMark/>
          </w:tcPr>
          <w:p w:rsidR="00420853" w:rsidRPr="00420853" w:rsidRDefault="00420853" w:rsidP="00420853">
            <w:pPr>
              <w:overflowPunct/>
              <w:autoSpaceDE/>
              <w:autoSpaceDN/>
              <w:adjustRightInd/>
              <w:spacing w:line="240" w:lineRule="auto"/>
              <w:ind w:firstLineChars="100" w:firstLine="220"/>
              <w:jc w:val="right"/>
              <w:textAlignment w:val="auto"/>
              <w:rPr>
                <w:rFonts w:ascii="Calibri" w:hAnsi="Calibri" w:cs="Calibri"/>
                <w:sz w:val="22"/>
                <w:szCs w:val="22"/>
                <w:lang w:val="en-US"/>
              </w:rPr>
            </w:pPr>
            <w:r w:rsidRPr="00420853">
              <w:rPr>
                <w:rFonts w:ascii="Calibri" w:hAnsi="Calibri" w:cs="Calibri"/>
                <w:sz w:val="22"/>
                <w:szCs w:val="22"/>
                <w:lang w:val="en-US"/>
              </w:rPr>
              <w:t> </w:t>
            </w:r>
          </w:p>
        </w:tc>
      </w:tr>
    </w:tbl>
    <w:p w:rsidR="00420853" w:rsidRPr="00420853" w:rsidRDefault="00420853" w:rsidP="00420853">
      <w:pPr>
        <w:pStyle w:val="000"/>
      </w:pPr>
    </w:p>
    <w:p w:rsidR="003A5625" w:rsidRPr="003A5625" w:rsidRDefault="003A5625" w:rsidP="003A5625">
      <w:pPr>
        <w:pStyle w:val="000"/>
      </w:pPr>
    </w:p>
    <w:bookmarkEnd w:id="8"/>
    <w:bookmarkEnd w:id="9"/>
    <w:p w:rsidR="000F5CCC" w:rsidRPr="00D756D3" w:rsidRDefault="000F5CCC" w:rsidP="000F5CCC">
      <w:pPr>
        <w:pStyle w:val="407"/>
        <w:rPr>
          <w:rFonts w:ascii="Arial" w:hAnsi="Arial" w:cs="Arial"/>
          <w:szCs w:val="24"/>
        </w:rPr>
      </w:pPr>
      <w:r w:rsidRPr="00D756D3">
        <w:rPr>
          <w:rFonts w:ascii="Arial" w:hAnsi="Arial" w:cs="Arial"/>
          <w:szCs w:val="24"/>
        </w:rPr>
        <w:tab/>
      </w:r>
      <w:r w:rsidRPr="00D756D3">
        <w:rPr>
          <w:rFonts w:ascii="Arial" w:hAnsi="Arial" w:cs="Arial"/>
          <w:szCs w:val="24"/>
        </w:rPr>
        <w:tab/>
      </w:r>
    </w:p>
    <w:p w:rsidR="000F5CCC" w:rsidRPr="00D756D3" w:rsidRDefault="000F5CCC" w:rsidP="000F5CCC">
      <w:pPr>
        <w:pStyle w:val="Style000"/>
        <w:rPr>
          <w:rFonts w:cs="Arial"/>
        </w:rPr>
        <w:sectPr w:rsidR="000F5CCC" w:rsidRPr="00D756D3" w:rsidSect="00280409">
          <w:pgSz w:w="11907" w:h="16840" w:code="9"/>
          <w:pgMar w:top="2591" w:right="1247" w:bottom="1814" w:left="1247" w:header="941" w:footer="720" w:gutter="0"/>
          <w:cols w:space="720"/>
        </w:sectPr>
      </w:pPr>
    </w:p>
    <w:p w:rsidR="009F6305" w:rsidRDefault="00CD1EB2" w:rsidP="009F6305">
      <w:pPr>
        <w:pStyle w:val="080"/>
        <w:rPr>
          <w:rFonts w:cs="Arial"/>
          <w:bCs/>
        </w:rPr>
      </w:pPr>
      <w:r w:rsidRPr="00D756D3">
        <w:rPr>
          <w:rFonts w:cs="Arial"/>
          <w:bCs/>
        </w:rPr>
        <w:lastRenderedPageBreak/>
        <w:t xml:space="preserve">cash flow statement </w:t>
      </w:r>
      <w:r w:rsidR="003326A1">
        <w:rPr>
          <w:rFonts w:cs="Arial"/>
          <w:bCs/>
        </w:rPr>
        <w:t xml:space="preserve">2011 </w:t>
      </w:r>
    </w:p>
    <w:tbl>
      <w:tblPr>
        <w:tblW w:w="9188" w:type="dxa"/>
        <w:tblInd w:w="103" w:type="dxa"/>
        <w:tblLook w:val="04A0"/>
      </w:tblPr>
      <w:tblGrid>
        <w:gridCol w:w="3295"/>
        <w:gridCol w:w="684"/>
        <w:gridCol w:w="365"/>
        <w:gridCol w:w="1074"/>
        <w:gridCol w:w="1207"/>
        <w:gridCol w:w="271"/>
        <w:gridCol w:w="1162"/>
        <w:gridCol w:w="1181"/>
        <w:tblGridChange w:id="14">
          <w:tblGrid>
            <w:gridCol w:w="3295"/>
            <w:gridCol w:w="684"/>
            <w:gridCol w:w="365"/>
            <w:gridCol w:w="1074"/>
            <w:gridCol w:w="1207"/>
            <w:gridCol w:w="271"/>
            <w:gridCol w:w="1162"/>
            <w:gridCol w:w="1181"/>
          </w:tblGrid>
        </w:tblGridChange>
      </w:tblGrid>
      <w:tr w:rsidR="00D629EA" w:rsidRPr="00D629EA" w:rsidTr="00D629EA">
        <w:trPr>
          <w:trHeight w:val="270"/>
        </w:trPr>
        <w:tc>
          <w:tcPr>
            <w:tcW w:w="3295" w:type="dxa"/>
            <w:tcBorders>
              <w:top w:val="single" w:sz="4" w:space="0" w:color="auto"/>
              <w:left w:val="single" w:sz="4" w:space="0" w:color="auto"/>
              <w:bottom w:val="single" w:sz="4" w:space="0" w:color="auto"/>
              <w:right w:val="nil"/>
            </w:tcBorders>
            <w:shd w:val="clear" w:color="000000" w:fill="FFFFFF"/>
            <w:noWrap/>
            <w:vAlign w:val="bottom"/>
            <w:hideMark/>
          </w:tcPr>
          <w:p w:rsidR="00D629EA" w:rsidRPr="00D629EA" w:rsidRDefault="00D629EA" w:rsidP="00D629EA">
            <w:pPr>
              <w:overflowPunct/>
              <w:autoSpaceDE/>
              <w:autoSpaceDN/>
              <w:adjustRightInd/>
              <w:spacing w:line="240" w:lineRule="auto"/>
              <w:textAlignment w:val="auto"/>
              <w:rPr>
                <w:rFonts w:ascii="Calibri" w:hAnsi="Calibri" w:cs="Calibri"/>
                <w:i/>
                <w:iCs/>
                <w:sz w:val="22"/>
                <w:szCs w:val="22"/>
                <w:lang w:val="en-US"/>
              </w:rPr>
            </w:pPr>
            <w:r w:rsidRPr="00D629EA">
              <w:rPr>
                <w:rFonts w:ascii="Calibri" w:hAnsi="Calibri" w:cs="Calibri"/>
                <w:i/>
                <w:iCs/>
                <w:sz w:val="22"/>
                <w:szCs w:val="22"/>
                <w:lang w:val="en-US"/>
              </w:rPr>
              <w:t> </w:t>
            </w:r>
          </w:p>
        </w:tc>
        <w:tc>
          <w:tcPr>
            <w:tcW w:w="684" w:type="dxa"/>
            <w:tcBorders>
              <w:top w:val="single" w:sz="4" w:space="0" w:color="auto"/>
              <w:left w:val="nil"/>
              <w:bottom w:val="single" w:sz="4" w:space="0" w:color="auto"/>
              <w:right w:val="nil"/>
            </w:tcBorders>
            <w:shd w:val="clear" w:color="000000" w:fill="FFFFFF"/>
            <w:noWrap/>
            <w:vAlign w:val="bottom"/>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r w:rsidRPr="00D629EA">
              <w:rPr>
                <w:rFonts w:ascii="Calibri" w:hAnsi="Calibri" w:cs="Calibri"/>
                <w:sz w:val="22"/>
                <w:szCs w:val="22"/>
                <w:lang w:val="en-US"/>
              </w:rPr>
              <w:t> </w:t>
            </w:r>
          </w:p>
        </w:tc>
        <w:tc>
          <w:tcPr>
            <w:tcW w:w="364" w:type="dxa"/>
            <w:tcBorders>
              <w:top w:val="single" w:sz="4" w:space="0" w:color="auto"/>
              <w:left w:val="nil"/>
              <w:bottom w:val="nil"/>
              <w:right w:val="nil"/>
            </w:tcBorders>
            <w:shd w:val="clear" w:color="000000" w:fill="FFFFFF"/>
            <w:noWrap/>
            <w:vAlign w:val="bottom"/>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r w:rsidRPr="00D629EA">
              <w:rPr>
                <w:rFonts w:ascii="Calibri" w:hAnsi="Calibri" w:cs="Calibri"/>
                <w:sz w:val="22"/>
                <w:szCs w:val="22"/>
                <w:lang w:val="en-US"/>
              </w:rPr>
              <w:t> </w:t>
            </w:r>
          </w:p>
        </w:tc>
        <w:tc>
          <w:tcPr>
            <w:tcW w:w="2230" w:type="dxa"/>
            <w:gridSpan w:val="2"/>
            <w:tcBorders>
              <w:top w:val="single" w:sz="4" w:space="0" w:color="auto"/>
              <w:left w:val="nil"/>
              <w:bottom w:val="single" w:sz="4" w:space="0" w:color="auto"/>
              <w:right w:val="nil"/>
            </w:tcBorders>
            <w:shd w:val="clear" w:color="000000" w:fill="FFFFFF"/>
            <w:vAlign w:val="bottom"/>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r w:rsidRPr="00D629EA">
              <w:rPr>
                <w:rFonts w:ascii="Calibri" w:hAnsi="Calibri" w:cs="Calibri"/>
                <w:sz w:val="22"/>
                <w:szCs w:val="22"/>
                <w:lang w:val="en-US"/>
              </w:rPr>
              <w:t>2011</w:t>
            </w:r>
          </w:p>
        </w:tc>
        <w:tc>
          <w:tcPr>
            <w:tcW w:w="271" w:type="dxa"/>
            <w:tcBorders>
              <w:top w:val="single" w:sz="4" w:space="0" w:color="auto"/>
              <w:left w:val="nil"/>
              <w:bottom w:val="nil"/>
              <w:right w:val="nil"/>
            </w:tcBorders>
            <w:shd w:val="clear" w:color="000000" w:fill="FFFFFF"/>
            <w:noWrap/>
            <w:vAlign w:val="bottom"/>
            <w:hideMark/>
          </w:tcPr>
          <w:p w:rsidR="00D629EA" w:rsidRPr="00D629EA" w:rsidRDefault="00D629EA" w:rsidP="00D629EA">
            <w:pPr>
              <w:overflowPunct/>
              <w:autoSpaceDE/>
              <w:autoSpaceDN/>
              <w:adjustRightInd/>
              <w:spacing w:line="240" w:lineRule="auto"/>
              <w:textAlignment w:val="auto"/>
              <w:rPr>
                <w:rFonts w:ascii="Calibri" w:hAnsi="Calibri" w:cs="Calibri"/>
                <w:sz w:val="22"/>
                <w:szCs w:val="22"/>
                <w:lang w:val="en-US"/>
              </w:rPr>
            </w:pPr>
            <w:r w:rsidRPr="00D629EA">
              <w:rPr>
                <w:rFonts w:ascii="Calibri" w:hAnsi="Calibri" w:cs="Calibri"/>
                <w:sz w:val="22"/>
                <w:szCs w:val="22"/>
                <w:lang w:val="en-US"/>
              </w:rPr>
              <w:t> </w:t>
            </w:r>
          </w:p>
        </w:tc>
        <w:tc>
          <w:tcPr>
            <w:tcW w:w="2343" w:type="dxa"/>
            <w:gridSpan w:val="2"/>
            <w:tcBorders>
              <w:top w:val="single" w:sz="4" w:space="0" w:color="auto"/>
              <w:left w:val="nil"/>
              <w:bottom w:val="single" w:sz="4" w:space="0" w:color="auto"/>
              <w:right w:val="single" w:sz="4" w:space="0" w:color="000000"/>
            </w:tcBorders>
            <w:shd w:val="clear" w:color="000000" w:fill="FFFFFF"/>
            <w:vAlign w:val="bottom"/>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r w:rsidRPr="00D629EA">
              <w:rPr>
                <w:rFonts w:ascii="Calibri" w:hAnsi="Calibri" w:cs="Calibri"/>
                <w:sz w:val="22"/>
                <w:szCs w:val="22"/>
                <w:lang w:val="en-US"/>
              </w:rPr>
              <w:t>2010</w:t>
            </w:r>
          </w:p>
        </w:tc>
      </w:tr>
      <w:tr w:rsidR="00D629EA" w:rsidRPr="00D629EA" w:rsidTr="00D629EA">
        <w:trPr>
          <w:trHeight w:val="270"/>
        </w:trPr>
        <w:tc>
          <w:tcPr>
            <w:tcW w:w="3295" w:type="dxa"/>
            <w:tcBorders>
              <w:top w:val="nil"/>
              <w:left w:val="single" w:sz="4" w:space="0" w:color="auto"/>
              <w:bottom w:val="nil"/>
              <w:right w:val="nil"/>
            </w:tcBorders>
            <w:shd w:val="clear" w:color="000000" w:fill="FFFFFF"/>
            <w:hideMark/>
          </w:tcPr>
          <w:p w:rsidR="00D629EA" w:rsidRPr="00D629EA" w:rsidRDefault="00D629EA" w:rsidP="00D629EA">
            <w:pPr>
              <w:overflowPunct/>
              <w:autoSpaceDE/>
              <w:autoSpaceDN/>
              <w:adjustRightInd/>
              <w:spacing w:line="240" w:lineRule="auto"/>
              <w:textAlignment w:val="auto"/>
              <w:rPr>
                <w:rFonts w:ascii="Calibri" w:hAnsi="Calibri" w:cs="Calibri"/>
                <w:sz w:val="22"/>
                <w:szCs w:val="22"/>
                <w:lang w:val="en-US"/>
              </w:rPr>
            </w:pPr>
            <w:r w:rsidRPr="00D629EA">
              <w:rPr>
                <w:rFonts w:ascii="Calibri" w:hAnsi="Calibri" w:cs="Calibri"/>
                <w:sz w:val="22"/>
                <w:szCs w:val="22"/>
                <w:lang w:val="en-US"/>
              </w:rPr>
              <w:t>(in thousands of USD)</w:t>
            </w:r>
          </w:p>
        </w:tc>
        <w:tc>
          <w:tcPr>
            <w:tcW w:w="684" w:type="dxa"/>
            <w:tcBorders>
              <w:top w:val="nil"/>
              <w:left w:val="nil"/>
              <w:bottom w:val="nil"/>
              <w:right w:val="nil"/>
            </w:tcBorders>
            <w:shd w:val="clear" w:color="000000" w:fill="FFFFFF"/>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r w:rsidRPr="00D629EA">
              <w:rPr>
                <w:rFonts w:ascii="Calibri" w:hAnsi="Calibri" w:cs="Calibri"/>
                <w:sz w:val="22"/>
                <w:szCs w:val="22"/>
                <w:lang w:val="en-US"/>
              </w:rPr>
              <w:t> </w:t>
            </w:r>
          </w:p>
        </w:tc>
        <w:tc>
          <w:tcPr>
            <w:tcW w:w="364" w:type="dxa"/>
            <w:tcBorders>
              <w:top w:val="nil"/>
              <w:left w:val="nil"/>
              <w:bottom w:val="nil"/>
              <w:right w:val="nil"/>
            </w:tcBorders>
            <w:shd w:val="clear" w:color="000000" w:fill="FFFFFF"/>
            <w:hideMark/>
          </w:tcPr>
          <w:p w:rsidR="00D629EA" w:rsidRPr="00D629EA" w:rsidRDefault="00D629EA" w:rsidP="00D629EA">
            <w:pPr>
              <w:overflowPunct/>
              <w:autoSpaceDE/>
              <w:autoSpaceDN/>
              <w:adjustRightInd/>
              <w:spacing w:line="240" w:lineRule="auto"/>
              <w:ind w:firstLineChars="100" w:firstLine="220"/>
              <w:jc w:val="right"/>
              <w:textAlignment w:val="auto"/>
              <w:rPr>
                <w:rFonts w:ascii="Calibri" w:hAnsi="Calibri" w:cs="Calibri"/>
                <w:sz w:val="22"/>
                <w:szCs w:val="22"/>
                <w:lang w:val="en-US"/>
              </w:rPr>
            </w:pPr>
            <w:r w:rsidRPr="00D629EA">
              <w:rPr>
                <w:rFonts w:ascii="Calibri" w:hAnsi="Calibri" w:cs="Calibri"/>
                <w:sz w:val="22"/>
                <w:szCs w:val="22"/>
                <w:lang w:val="en-US"/>
              </w:rPr>
              <w:t> </w:t>
            </w:r>
          </w:p>
        </w:tc>
        <w:tc>
          <w:tcPr>
            <w:tcW w:w="1023" w:type="dxa"/>
            <w:tcBorders>
              <w:top w:val="nil"/>
              <w:left w:val="nil"/>
              <w:bottom w:val="nil"/>
              <w:right w:val="nil"/>
            </w:tcBorders>
            <w:shd w:val="clear" w:color="000000" w:fill="FFFFFF"/>
            <w:hideMark/>
          </w:tcPr>
          <w:p w:rsidR="00D629EA" w:rsidRPr="00D629EA" w:rsidRDefault="00D629EA" w:rsidP="00D629EA">
            <w:pPr>
              <w:overflowPunct/>
              <w:autoSpaceDE/>
              <w:autoSpaceDN/>
              <w:adjustRightInd/>
              <w:spacing w:line="240" w:lineRule="auto"/>
              <w:ind w:firstLineChars="100" w:firstLine="220"/>
              <w:jc w:val="right"/>
              <w:textAlignment w:val="auto"/>
              <w:rPr>
                <w:rFonts w:ascii="Calibri" w:hAnsi="Calibri" w:cs="Calibri"/>
                <w:sz w:val="22"/>
                <w:szCs w:val="22"/>
                <w:lang w:val="en-US"/>
              </w:rPr>
            </w:pPr>
            <w:r w:rsidRPr="00D629EA">
              <w:rPr>
                <w:rFonts w:ascii="Calibri" w:hAnsi="Calibri" w:cs="Calibri"/>
                <w:sz w:val="22"/>
                <w:szCs w:val="22"/>
                <w:lang w:val="en-US"/>
              </w:rPr>
              <w:t> </w:t>
            </w:r>
          </w:p>
        </w:tc>
        <w:tc>
          <w:tcPr>
            <w:tcW w:w="1207" w:type="dxa"/>
            <w:tcBorders>
              <w:top w:val="nil"/>
              <w:left w:val="nil"/>
              <w:bottom w:val="nil"/>
              <w:right w:val="nil"/>
            </w:tcBorders>
            <w:shd w:val="clear" w:color="000000" w:fill="FFFFFF"/>
            <w:hideMark/>
          </w:tcPr>
          <w:p w:rsidR="00D629EA" w:rsidRPr="00D629EA" w:rsidRDefault="00D629EA" w:rsidP="00D629EA">
            <w:pPr>
              <w:overflowPunct/>
              <w:autoSpaceDE/>
              <w:autoSpaceDN/>
              <w:adjustRightInd/>
              <w:spacing w:line="240" w:lineRule="auto"/>
              <w:ind w:firstLineChars="100" w:firstLine="220"/>
              <w:jc w:val="right"/>
              <w:textAlignment w:val="auto"/>
              <w:rPr>
                <w:rFonts w:ascii="Calibri" w:hAnsi="Calibri" w:cs="Calibri"/>
                <w:sz w:val="22"/>
                <w:szCs w:val="22"/>
                <w:lang w:val="en-US"/>
              </w:rPr>
            </w:pPr>
            <w:r w:rsidRPr="00D629EA">
              <w:rPr>
                <w:rFonts w:ascii="Calibri" w:hAnsi="Calibri" w:cs="Calibri"/>
                <w:sz w:val="22"/>
                <w:szCs w:val="22"/>
                <w:lang w:val="en-US"/>
              </w:rPr>
              <w:t> </w:t>
            </w:r>
          </w:p>
        </w:tc>
        <w:tc>
          <w:tcPr>
            <w:tcW w:w="271" w:type="dxa"/>
            <w:tcBorders>
              <w:top w:val="nil"/>
              <w:left w:val="nil"/>
              <w:bottom w:val="nil"/>
              <w:right w:val="nil"/>
            </w:tcBorders>
            <w:shd w:val="clear" w:color="000000" w:fill="FFFFFF"/>
            <w:noWrap/>
            <w:vAlign w:val="bottom"/>
            <w:hideMark/>
          </w:tcPr>
          <w:p w:rsidR="00D629EA" w:rsidRPr="00D629EA" w:rsidRDefault="00D629EA" w:rsidP="00D629EA">
            <w:pPr>
              <w:overflowPunct/>
              <w:autoSpaceDE/>
              <w:autoSpaceDN/>
              <w:adjustRightInd/>
              <w:spacing w:line="240" w:lineRule="auto"/>
              <w:textAlignment w:val="auto"/>
              <w:rPr>
                <w:rFonts w:ascii="Calibri" w:hAnsi="Calibri" w:cs="Calibri"/>
                <w:sz w:val="22"/>
                <w:szCs w:val="22"/>
                <w:lang w:val="en-US"/>
              </w:rPr>
            </w:pPr>
            <w:r w:rsidRPr="00D629EA">
              <w:rPr>
                <w:rFonts w:ascii="Calibri" w:hAnsi="Calibri" w:cs="Calibri"/>
                <w:sz w:val="22"/>
                <w:szCs w:val="22"/>
                <w:lang w:val="en-US"/>
              </w:rPr>
              <w:t> </w:t>
            </w:r>
          </w:p>
        </w:tc>
        <w:tc>
          <w:tcPr>
            <w:tcW w:w="1162" w:type="dxa"/>
            <w:tcBorders>
              <w:top w:val="nil"/>
              <w:left w:val="nil"/>
              <w:bottom w:val="nil"/>
              <w:right w:val="nil"/>
            </w:tcBorders>
            <w:shd w:val="clear" w:color="auto" w:fill="auto"/>
            <w:hideMark/>
          </w:tcPr>
          <w:p w:rsidR="00D629EA" w:rsidRPr="00D629EA" w:rsidRDefault="00D629EA" w:rsidP="00D629EA">
            <w:pPr>
              <w:overflowPunct/>
              <w:autoSpaceDE/>
              <w:autoSpaceDN/>
              <w:adjustRightInd/>
              <w:spacing w:line="240" w:lineRule="auto"/>
              <w:ind w:firstLineChars="100" w:firstLine="220"/>
              <w:jc w:val="right"/>
              <w:textAlignment w:val="auto"/>
              <w:rPr>
                <w:rFonts w:ascii="Calibri" w:hAnsi="Calibri" w:cs="Calibri"/>
                <w:sz w:val="22"/>
                <w:szCs w:val="22"/>
                <w:lang w:val="en-US"/>
              </w:rPr>
            </w:pPr>
          </w:p>
        </w:tc>
        <w:tc>
          <w:tcPr>
            <w:tcW w:w="1181" w:type="dxa"/>
            <w:tcBorders>
              <w:top w:val="nil"/>
              <w:left w:val="nil"/>
              <w:bottom w:val="nil"/>
              <w:right w:val="single" w:sz="4" w:space="0" w:color="auto"/>
            </w:tcBorders>
            <w:shd w:val="clear" w:color="auto" w:fill="auto"/>
            <w:hideMark/>
          </w:tcPr>
          <w:p w:rsidR="00D629EA" w:rsidRPr="00D629EA" w:rsidRDefault="00D629EA" w:rsidP="00D629EA">
            <w:pPr>
              <w:overflowPunct/>
              <w:autoSpaceDE/>
              <w:autoSpaceDN/>
              <w:adjustRightInd/>
              <w:spacing w:line="240" w:lineRule="auto"/>
              <w:ind w:firstLineChars="100" w:firstLine="220"/>
              <w:jc w:val="right"/>
              <w:textAlignment w:val="auto"/>
              <w:rPr>
                <w:rFonts w:ascii="Calibri" w:hAnsi="Calibri" w:cs="Calibri"/>
                <w:sz w:val="22"/>
                <w:szCs w:val="22"/>
                <w:lang w:val="en-US"/>
              </w:rPr>
            </w:pPr>
            <w:r w:rsidRPr="00D629EA">
              <w:rPr>
                <w:rFonts w:ascii="Calibri" w:hAnsi="Calibri" w:cs="Calibri"/>
                <w:sz w:val="22"/>
                <w:szCs w:val="22"/>
                <w:lang w:val="en-US"/>
              </w:rPr>
              <w:t> </w:t>
            </w:r>
          </w:p>
        </w:tc>
      </w:tr>
      <w:tr w:rsidR="00D629EA" w:rsidRPr="00D629EA" w:rsidTr="00D629EA">
        <w:trPr>
          <w:trHeight w:val="270"/>
        </w:trPr>
        <w:tc>
          <w:tcPr>
            <w:tcW w:w="3295" w:type="dxa"/>
            <w:tcBorders>
              <w:top w:val="nil"/>
              <w:left w:val="single" w:sz="4" w:space="0" w:color="auto"/>
              <w:bottom w:val="nil"/>
              <w:right w:val="nil"/>
            </w:tcBorders>
            <w:shd w:val="clear" w:color="000000" w:fill="FFFFFF"/>
            <w:hideMark/>
          </w:tcPr>
          <w:p w:rsidR="00D629EA" w:rsidRPr="00D629EA" w:rsidRDefault="00D629EA" w:rsidP="00D629EA">
            <w:pPr>
              <w:overflowPunct/>
              <w:autoSpaceDE/>
              <w:autoSpaceDN/>
              <w:adjustRightInd/>
              <w:spacing w:line="240" w:lineRule="auto"/>
              <w:textAlignment w:val="auto"/>
              <w:rPr>
                <w:rFonts w:ascii="Calibri" w:hAnsi="Calibri" w:cs="Calibri"/>
                <w:sz w:val="22"/>
                <w:szCs w:val="22"/>
                <w:lang w:val="en-US"/>
              </w:rPr>
            </w:pPr>
            <w:r w:rsidRPr="00D629EA">
              <w:rPr>
                <w:rFonts w:ascii="Calibri" w:hAnsi="Calibri" w:cs="Calibri"/>
                <w:sz w:val="22"/>
                <w:szCs w:val="22"/>
                <w:lang w:val="en-US"/>
              </w:rPr>
              <w:t> </w:t>
            </w:r>
          </w:p>
        </w:tc>
        <w:tc>
          <w:tcPr>
            <w:tcW w:w="684" w:type="dxa"/>
            <w:tcBorders>
              <w:top w:val="nil"/>
              <w:left w:val="nil"/>
              <w:bottom w:val="nil"/>
              <w:right w:val="nil"/>
            </w:tcBorders>
            <w:shd w:val="clear" w:color="000000" w:fill="FFFFFF"/>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r w:rsidRPr="00D629EA">
              <w:rPr>
                <w:rFonts w:ascii="Calibri" w:hAnsi="Calibri" w:cs="Calibri"/>
                <w:sz w:val="22"/>
                <w:szCs w:val="22"/>
                <w:lang w:val="en-US"/>
              </w:rPr>
              <w:t> </w:t>
            </w:r>
          </w:p>
        </w:tc>
        <w:tc>
          <w:tcPr>
            <w:tcW w:w="364" w:type="dxa"/>
            <w:tcBorders>
              <w:top w:val="nil"/>
              <w:left w:val="nil"/>
              <w:bottom w:val="nil"/>
              <w:right w:val="nil"/>
            </w:tcBorders>
            <w:shd w:val="clear" w:color="000000" w:fill="FFFFFF"/>
            <w:hideMark/>
          </w:tcPr>
          <w:p w:rsidR="00D629EA" w:rsidRPr="00D629EA" w:rsidRDefault="00D629EA" w:rsidP="00D629EA">
            <w:pPr>
              <w:overflowPunct/>
              <w:autoSpaceDE/>
              <w:autoSpaceDN/>
              <w:adjustRightInd/>
              <w:spacing w:line="240" w:lineRule="auto"/>
              <w:ind w:firstLineChars="100" w:firstLine="220"/>
              <w:jc w:val="right"/>
              <w:textAlignment w:val="auto"/>
              <w:rPr>
                <w:rFonts w:ascii="Calibri" w:hAnsi="Calibri" w:cs="Calibri"/>
                <w:sz w:val="22"/>
                <w:szCs w:val="22"/>
                <w:lang w:val="en-US"/>
              </w:rPr>
            </w:pPr>
            <w:r w:rsidRPr="00D629EA">
              <w:rPr>
                <w:rFonts w:ascii="Calibri" w:hAnsi="Calibri" w:cs="Calibri"/>
                <w:sz w:val="22"/>
                <w:szCs w:val="22"/>
                <w:lang w:val="en-US"/>
              </w:rPr>
              <w:t> </w:t>
            </w:r>
          </w:p>
        </w:tc>
        <w:tc>
          <w:tcPr>
            <w:tcW w:w="1023" w:type="dxa"/>
            <w:tcBorders>
              <w:top w:val="nil"/>
              <w:left w:val="nil"/>
              <w:bottom w:val="nil"/>
              <w:right w:val="nil"/>
            </w:tcBorders>
            <w:shd w:val="clear" w:color="000000" w:fill="FFFFFF"/>
            <w:hideMark/>
          </w:tcPr>
          <w:p w:rsidR="00D629EA" w:rsidRPr="00D629EA" w:rsidRDefault="00D629EA" w:rsidP="00D629EA">
            <w:pPr>
              <w:overflowPunct/>
              <w:autoSpaceDE/>
              <w:autoSpaceDN/>
              <w:adjustRightInd/>
              <w:spacing w:line="240" w:lineRule="auto"/>
              <w:ind w:firstLineChars="100" w:firstLine="220"/>
              <w:jc w:val="right"/>
              <w:textAlignment w:val="auto"/>
              <w:rPr>
                <w:rFonts w:ascii="Calibri" w:hAnsi="Calibri" w:cs="Calibri"/>
                <w:sz w:val="22"/>
                <w:szCs w:val="22"/>
                <w:lang w:val="en-US"/>
              </w:rPr>
            </w:pPr>
            <w:r w:rsidRPr="00D629EA">
              <w:rPr>
                <w:rFonts w:ascii="Calibri" w:hAnsi="Calibri" w:cs="Calibri"/>
                <w:sz w:val="22"/>
                <w:szCs w:val="22"/>
                <w:lang w:val="en-US"/>
              </w:rPr>
              <w:t> </w:t>
            </w:r>
          </w:p>
        </w:tc>
        <w:tc>
          <w:tcPr>
            <w:tcW w:w="1207" w:type="dxa"/>
            <w:tcBorders>
              <w:top w:val="nil"/>
              <w:left w:val="nil"/>
              <w:bottom w:val="nil"/>
              <w:right w:val="nil"/>
            </w:tcBorders>
            <w:shd w:val="clear" w:color="000000" w:fill="FFFFFF"/>
            <w:hideMark/>
          </w:tcPr>
          <w:p w:rsidR="00D629EA" w:rsidRPr="00D629EA" w:rsidRDefault="00D629EA" w:rsidP="00D629EA">
            <w:pPr>
              <w:overflowPunct/>
              <w:autoSpaceDE/>
              <w:autoSpaceDN/>
              <w:adjustRightInd/>
              <w:spacing w:line="240" w:lineRule="auto"/>
              <w:ind w:firstLineChars="100" w:firstLine="220"/>
              <w:jc w:val="right"/>
              <w:textAlignment w:val="auto"/>
              <w:rPr>
                <w:rFonts w:ascii="Calibri" w:hAnsi="Calibri" w:cs="Calibri"/>
                <w:sz w:val="22"/>
                <w:szCs w:val="22"/>
                <w:lang w:val="en-US"/>
              </w:rPr>
            </w:pPr>
            <w:r w:rsidRPr="00D629EA">
              <w:rPr>
                <w:rFonts w:ascii="Calibri" w:hAnsi="Calibri" w:cs="Calibri"/>
                <w:sz w:val="22"/>
                <w:szCs w:val="22"/>
                <w:lang w:val="en-US"/>
              </w:rPr>
              <w:t> </w:t>
            </w:r>
          </w:p>
        </w:tc>
        <w:tc>
          <w:tcPr>
            <w:tcW w:w="271" w:type="dxa"/>
            <w:tcBorders>
              <w:top w:val="nil"/>
              <w:left w:val="nil"/>
              <w:bottom w:val="nil"/>
              <w:right w:val="nil"/>
            </w:tcBorders>
            <w:shd w:val="clear" w:color="000000" w:fill="FFFFFF"/>
            <w:noWrap/>
            <w:vAlign w:val="bottom"/>
            <w:hideMark/>
          </w:tcPr>
          <w:p w:rsidR="00D629EA" w:rsidRPr="00D629EA" w:rsidRDefault="00D629EA" w:rsidP="00D629EA">
            <w:pPr>
              <w:overflowPunct/>
              <w:autoSpaceDE/>
              <w:autoSpaceDN/>
              <w:adjustRightInd/>
              <w:spacing w:line="240" w:lineRule="auto"/>
              <w:textAlignment w:val="auto"/>
              <w:rPr>
                <w:rFonts w:ascii="Calibri" w:hAnsi="Calibri" w:cs="Calibri"/>
                <w:sz w:val="22"/>
                <w:szCs w:val="22"/>
                <w:lang w:val="en-US"/>
              </w:rPr>
            </w:pPr>
            <w:r w:rsidRPr="00D629EA">
              <w:rPr>
                <w:rFonts w:ascii="Calibri" w:hAnsi="Calibri" w:cs="Calibri"/>
                <w:sz w:val="22"/>
                <w:szCs w:val="22"/>
                <w:lang w:val="en-US"/>
              </w:rPr>
              <w:t> </w:t>
            </w:r>
          </w:p>
        </w:tc>
        <w:tc>
          <w:tcPr>
            <w:tcW w:w="1162" w:type="dxa"/>
            <w:tcBorders>
              <w:top w:val="nil"/>
              <w:left w:val="nil"/>
              <w:bottom w:val="nil"/>
              <w:right w:val="nil"/>
            </w:tcBorders>
            <w:shd w:val="clear" w:color="auto" w:fill="auto"/>
            <w:noWrap/>
            <w:vAlign w:val="bottom"/>
            <w:hideMark/>
          </w:tcPr>
          <w:p w:rsidR="00D629EA" w:rsidRPr="00D629EA" w:rsidRDefault="00D629EA" w:rsidP="00D629EA">
            <w:pPr>
              <w:overflowPunct/>
              <w:autoSpaceDE/>
              <w:autoSpaceDN/>
              <w:adjustRightInd/>
              <w:spacing w:line="240" w:lineRule="auto"/>
              <w:jc w:val="right"/>
              <w:textAlignment w:val="auto"/>
              <w:rPr>
                <w:rFonts w:ascii="Calibri" w:hAnsi="Calibri" w:cs="Calibri"/>
                <w:sz w:val="22"/>
                <w:szCs w:val="22"/>
                <w:lang w:val="en-US"/>
              </w:rPr>
            </w:pPr>
          </w:p>
        </w:tc>
        <w:tc>
          <w:tcPr>
            <w:tcW w:w="1181" w:type="dxa"/>
            <w:tcBorders>
              <w:top w:val="nil"/>
              <w:left w:val="nil"/>
              <w:bottom w:val="nil"/>
              <w:right w:val="single" w:sz="4" w:space="0" w:color="auto"/>
            </w:tcBorders>
            <w:shd w:val="clear" w:color="auto" w:fill="auto"/>
            <w:noWrap/>
            <w:vAlign w:val="bottom"/>
            <w:hideMark/>
          </w:tcPr>
          <w:p w:rsidR="00D629EA" w:rsidRPr="00D629EA" w:rsidRDefault="00D629EA" w:rsidP="00D629EA">
            <w:pPr>
              <w:overflowPunct/>
              <w:autoSpaceDE/>
              <w:autoSpaceDN/>
              <w:adjustRightInd/>
              <w:spacing w:line="240" w:lineRule="auto"/>
              <w:jc w:val="right"/>
              <w:textAlignment w:val="auto"/>
              <w:rPr>
                <w:rFonts w:ascii="Calibri" w:hAnsi="Calibri" w:cs="Calibri"/>
                <w:sz w:val="22"/>
                <w:szCs w:val="22"/>
                <w:lang w:val="en-US"/>
              </w:rPr>
            </w:pPr>
            <w:r w:rsidRPr="00D629EA">
              <w:rPr>
                <w:rFonts w:ascii="Calibri" w:hAnsi="Calibri" w:cs="Calibri"/>
                <w:sz w:val="22"/>
                <w:szCs w:val="22"/>
                <w:lang w:val="en-US"/>
              </w:rPr>
              <w:t> </w:t>
            </w:r>
          </w:p>
        </w:tc>
      </w:tr>
      <w:tr w:rsidR="00D629EA" w:rsidRPr="00D629EA" w:rsidTr="00D629EA">
        <w:trPr>
          <w:trHeight w:val="270"/>
        </w:trPr>
        <w:tc>
          <w:tcPr>
            <w:tcW w:w="3295" w:type="dxa"/>
            <w:tcBorders>
              <w:top w:val="nil"/>
              <w:left w:val="single" w:sz="4" w:space="0" w:color="auto"/>
              <w:bottom w:val="nil"/>
              <w:right w:val="nil"/>
            </w:tcBorders>
            <w:shd w:val="clear" w:color="000000" w:fill="FFFFFF"/>
            <w:noWrap/>
            <w:hideMark/>
          </w:tcPr>
          <w:p w:rsidR="00D629EA" w:rsidRPr="00D629EA" w:rsidRDefault="00D629EA" w:rsidP="00D629EA">
            <w:pPr>
              <w:overflowPunct/>
              <w:autoSpaceDE/>
              <w:autoSpaceDN/>
              <w:adjustRightInd/>
              <w:spacing w:line="240" w:lineRule="auto"/>
              <w:textAlignment w:val="auto"/>
              <w:rPr>
                <w:rFonts w:ascii="Calibri" w:hAnsi="Calibri" w:cs="Calibri"/>
                <w:b/>
                <w:bCs/>
                <w:sz w:val="22"/>
                <w:szCs w:val="22"/>
                <w:lang w:val="en-US"/>
              </w:rPr>
            </w:pPr>
            <w:r w:rsidRPr="00D629EA">
              <w:rPr>
                <w:rFonts w:ascii="Calibri" w:hAnsi="Calibri" w:cs="Calibri"/>
                <w:b/>
                <w:bCs/>
                <w:sz w:val="22"/>
                <w:szCs w:val="22"/>
                <w:lang w:val="en-US"/>
              </w:rPr>
              <w:t>Cash flow from operating activities</w:t>
            </w:r>
          </w:p>
        </w:tc>
        <w:tc>
          <w:tcPr>
            <w:tcW w:w="684" w:type="dxa"/>
            <w:tcBorders>
              <w:top w:val="nil"/>
              <w:left w:val="nil"/>
              <w:bottom w:val="nil"/>
              <w:right w:val="nil"/>
            </w:tcBorders>
            <w:shd w:val="clear" w:color="000000" w:fill="FFFFFF"/>
            <w:noWrap/>
            <w:hideMark/>
          </w:tcPr>
          <w:p w:rsidR="00D629EA" w:rsidRPr="00D629EA" w:rsidRDefault="00D629EA" w:rsidP="00D629EA">
            <w:pPr>
              <w:overflowPunct/>
              <w:autoSpaceDE/>
              <w:autoSpaceDN/>
              <w:adjustRightInd/>
              <w:spacing w:line="240" w:lineRule="auto"/>
              <w:textAlignment w:val="auto"/>
              <w:rPr>
                <w:rFonts w:ascii="Calibri" w:hAnsi="Calibri" w:cs="Calibri"/>
                <w:sz w:val="22"/>
                <w:szCs w:val="22"/>
                <w:lang w:val="en-US"/>
              </w:rPr>
            </w:pPr>
            <w:r w:rsidRPr="00D629EA">
              <w:rPr>
                <w:rFonts w:ascii="Calibri" w:hAnsi="Calibri" w:cs="Calibri"/>
                <w:sz w:val="22"/>
                <w:szCs w:val="22"/>
                <w:lang w:val="en-US"/>
              </w:rPr>
              <w:t> </w:t>
            </w:r>
          </w:p>
        </w:tc>
        <w:tc>
          <w:tcPr>
            <w:tcW w:w="364" w:type="dxa"/>
            <w:tcBorders>
              <w:top w:val="nil"/>
              <w:left w:val="nil"/>
              <w:bottom w:val="nil"/>
              <w:right w:val="nil"/>
            </w:tcBorders>
            <w:shd w:val="clear" w:color="000000" w:fill="FFFFFF"/>
            <w:noWrap/>
            <w:hideMark/>
          </w:tcPr>
          <w:p w:rsidR="00D629EA" w:rsidRPr="00D629EA" w:rsidRDefault="00D629EA" w:rsidP="00D629EA">
            <w:pPr>
              <w:overflowPunct/>
              <w:autoSpaceDE/>
              <w:autoSpaceDN/>
              <w:adjustRightInd/>
              <w:spacing w:line="240" w:lineRule="auto"/>
              <w:textAlignment w:val="auto"/>
              <w:rPr>
                <w:rFonts w:ascii="Calibri" w:hAnsi="Calibri" w:cs="Calibri"/>
                <w:sz w:val="22"/>
                <w:szCs w:val="22"/>
                <w:lang w:val="en-US"/>
              </w:rPr>
            </w:pPr>
            <w:r w:rsidRPr="00D629EA">
              <w:rPr>
                <w:rFonts w:ascii="Calibri" w:hAnsi="Calibri" w:cs="Calibri"/>
                <w:sz w:val="22"/>
                <w:szCs w:val="22"/>
                <w:lang w:val="en-US"/>
              </w:rPr>
              <w:t> </w:t>
            </w:r>
          </w:p>
        </w:tc>
        <w:tc>
          <w:tcPr>
            <w:tcW w:w="1023" w:type="dxa"/>
            <w:tcBorders>
              <w:top w:val="nil"/>
              <w:left w:val="nil"/>
              <w:bottom w:val="nil"/>
              <w:right w:val="nil"/>
            </w:tcBorders>
            <w:shd w:val="clear" w:color="000000" w:fill="FFFFFF"/>
            <w:noWrap/>
            <w:hideMark/>
          </w:tcPr>
          <w:p w:rsidR="00D629EA" w:rsidRPr="00D629EA" w:rsidRDefault="00D629EA" w:rsidP="00D629EA">
            <w:pPr>
              <w:overflowPunct/>
              <w:autoSpaceDE/>
              <w:autoSpaceDN/>
              <w:adjustRightInd/>
              <w:spacing w:line="240" w:lineRule="auto"/>
              <w:textAlignment w:val="auto"/>
              <w:rPr>
                <w:rFonts w:ascii="Calibri" w:hAnsi="Calibri" w:cs="Calibri"/>
                <w:sz w:val="22"/>
                <w:szCs w:val="22"/>
                <w:lang w:val="en-US"/>
              </w:rPr>
            </w:pPr>
            <w:r w:rsidRPr="00D629EA">
              <w:rPr>
                <w:rFonts w:ascii="Calibri" w:hAnsi="Calibri" w:cs="Calibri"/>
                <w:sz w:val="22"/>
                <w:szCs w:val="22"/>
                <w:lang w:val="en-US"/>
              </w:rPr>
              <w:t> </w:t>
            </w:r>
          </w:p>
        </w:tc>
        <w:tc>
          <w:tcPr>
            <w:tcW w:w="1207" w:type="dxa"/>
            <w:tcBorders>
              <w:top w:val="nil"/>
              <w:left w:val="nil"/>
              <w:bottom w:val="nil"/>
              <w:right w:val="nil"/>
            </w:tcBorders>
            <w:shd w:val="clear" w:color="000000" w:fill="FFFFFF"/>
            <w:noWrap/>
            <w:hideMark/>
          </w:tcPr>
          <w:p w:rsidR="00D629EA" w:rsidRPr="00D629EA" w:rsidRDefault="00D629EA" w:rsidP="00D629EA">
            <w:pPr>
              <w:overflowPunct/>
              <w:autoSpaceDE/>
              <w:autoSpaceDN/>
              <w:adjustRightInd/>
              <w:spacing w:line="240" w:lineRule="auto"/>
              <w:textAlignment w:val="auto"/>
              <w:rPr>
                <w:rFonts w:ascii="Calibri" w:hAnsi="Calibri" w:cs="Calibri"/>
                <w:sz w:val="22"/>
                <w:szCs w:val="22"/>
                <w:lang w:val="en-US"/>
              </w:rPr>
            </w:pPr>
            <w:r w:rsidRPr="00D629EA">
              <w:rPr>
                <w:rFonts w:ascii="Calibri" w:hAnsi="Calibri" w:cs="Calibri"/>
                <w:sz w:val="22"/>
                <w:szCs w:val="22"/>
                <w:lang w:val="en-US"/>
              </w:rPr>
              <w:t> </w:t>
            </w:r>
          </w:p>
        </w:tc>
        <w:tc>
          <w:tcPr>
            <w:tcW w:w="271" w:type="dxa"/>
            <w:tcBorders>
              <w:top w:val="nil"/>
              <w:left w:val="nil"/>
              <w:bottom w:val="nil"/>
              <w:right w:val="nil"/>
            </w:tcBorders>
            <w:shd w:val="clear" w:color="000000" w:fill="FFFFFF"/>
            <w:noWrap/>
            <w:vAlign w:val="bottom"/>
            <w:hideMark/>
          </w:tcPr>
          <w:p w:rsidR="00D629EA" w:rsidRPr="00D629EA" w:rsidRDefault="00D629EA" w:rsidP="00D629EA">
            <w:pPr>
              <w:overflowPunct/>
              <w:autoSpaceDE/>
              <w:autoSpaceDN/>
              <w:adjustRightInd/>
              <w:spacing w:line="240" w:lineRule="auto"/>
              <w:textAlignment w:val="auto"/>
              <w:rPr>
                <w:rFonts w:ascii="Calibri" w:hAnsi="Calibri" w:cs="Calibri"/>
                <w:sz w:val="22"/>
                <w:szCs w:val="22"/>
                <w:lang w:val="en-US"/>
              </w:rPr>
            </w:pPr>
            <w:r w:rsidRPr="00D629EA">
              <w:rPr>
                <w:rFonts w:ascii="Calibri" w:hAnsi="Calibri" w:cs="Calibri"/>
                <w:sz w:val="22"/>
                <w:szCs w:val="22"/>
                <w:lang w:val="en-US"/>
              </w:rPr>
              <w:t> </w:t>
            </w:r>
          </w:p>
        </w:tc>
        <w:tc>
          <w:tcPr>
            <w:tcW w:w="1162" w:type="dxa"/>
            <w:tcBorders>
              <w:top w:val="nil"/>
              <w:left w:val="nil"/>
              <w:bottom w:val="nil"/>
              <w:right w:val="nil"/>
            </w:tcBorders>
            <w:shd w:val="clear" w:color="auto" w:fill="auto"/>
            <w:noWrap/>
            <w:vAlign w:val="bottom"/>
            <w:hideMark/>
          </w:tcPr>
          <w:p w:rsidR="00D629EA" w:rsidRPr="00D629EA" w:rsidRDefault="00D629EA" w:rsidP="00D629EA">
            <w:pPr>
              <w:overflowPunct/>
              <w:autoSpaceDE/>
              <w:autoSpaceDN/>
              <w:adjustRightInd/>
              <w:spacing w:line="240" w:lineRule="auto"/>
              <w:jc w:val="right"/>
              <w:textAlignment w:val="auto"/>
              <w:rPr>
                <w:rFonts w:ascii="Calibri" w:hAnsi="Calibri" w:cs="Calibri"/>
                <w:sz w:val="22"/>
                <w:szCs w:val="22"/>
                <w:lang w:val="en-US"/>
              </w:rPr>
            </w:pPr>
          </w:p>
        </w:tc>
        <w:tc>
          <w:tcPr>
            <w:tcW w:w="1181" w:type="dxa"/>
            <w:tcBorders>
              <w:top w:val="nil"/>
              <w:left w:val="nil"/>
              <w:bottom w:val="nil"/>
              <w:right w:val="single" w:sz="4" w:space="0" w:color="auto"/>
            </w:tcBorders>
            <w:shd w:val="clear" w:color="auto" w:fill="auto"/>
            <w:noWrap/>
            <w:vAlign w:val="bottom"/>
            <w:hideMark/>
          </w:tcPr>
          <w:p w:rsidR="00D629EA" w:rsidRPr="00D629EA" w:rsidRDefault="00D629EA" w:rsidP="00D629EA">
            <w:pPr>
              <w:overflowPunct/>
              <w:autoSpaceDE/>
              <w:autoSpaceDN/>
              <w:adjustRightInd/>
              <w:spacing w:line="240" w:lineRule="auto"/>
              <w:textAlignment w:val="auto"/>
              <w:rPr>
                <w:rFonts w:ascii="Calibri" w:hAnsi="Calibri" w:cs="Calibri"/>
                <w:sz w:val="22"/>
                <w:szCs w:val="22"/>
                <w:lang w:val="en-US"/>
              </w:rPr>
            </w:pPr>
            <w:r w:rsidRPr="00D629EA">
              <w:rPr>
                <w:rFonts w:ascii="Calibri" w:hAnsi="Calibri" w:cs="Calibri"/>
                <w:sz w:val="22"/>
                <w:szCs w:val="22"/>
                <w:lang w:val="en-US"/>
              </w:rPr>
              <w:t> </w:t>
            </w:r>
          </w:p>
        </w:tc>
      </w:tr>
      <w:tr w:rsidR="00D629EA" w:rsidRPr="00D629EA" w:rsidTr="00D629EA">
        <w:trPr>
          <w:trHeight w:val="270"/>
        </w:trPr>
        <w:tc>
          <w:tcPr>
            <w:tcW w:w="3295" w:type="dxa"/>
            <w:tcBorders>
              <w:top w:val="nil"/>
              <w:left w:val="single" w:sz="4" w:space="0" w:color="auto"/>
              <w:bottom w:val="nil"/>
              <w:right w:val="nil"/>
            </w:tcBorders>
            <w:shd w:val="clear" w:color="000000" w:fill="FFFFFF"/>
            <w:noWrap/>
            <w:hideMark/>
          </w:tcPr>
          <w:p w:rsidR="00D629EA" w:rsidRPr="00D629EA" w:rsidRDefault="00D629EA" w:rsidP="00D629EA">
            <w:pPr>
              <w:overflowPunct/>
              <w:autoSpaceDE/>
              <w:autoSpaceDN/>
              <w:adjustRightInd/>
              <w:spacing w:line="240" w:lineRule="auto"/>
              <w:textAlignment w:val="auto"/>
              <w:rPr>
                <w:rFonts w:ascii="Calibri" w:hAnsi="Calibri" w:cs="Calibri"/>
                <w:sz w:val="22"/>
                <w:szCs w:val="22"/>
                <w:lang w:val="en-US"/>
              </w:rPr>
            </w:pPr>
            <w:r w:rsidRPr="00D629EA">
              <w:rPr>
                <w:rFonts w:ascii="Calibri" w:hAnsi="Calibri" w:cs="Calibri"/>
                <w:sz w:val="22"/>
                <w:szCs w:val="22"/>
                <w:lang w:val="en-US"/>
              </w:rPr>
              <w:t>Operating profit</w:t>
            </w:r>
          </w:p>
        </w:tc>
        <w:tc>
          <w:tcPr>
            <w:tcW w:w="684" w:type="dxa"/>
            <w:tcBorders>
              <w:top w:val="nil"/>
              <w:left w:val="nil"/>
              <w:bottom w:val="nil"/>
              <w:right w:val="nil"/>
            </w:tcBorders>
            <w:shd w:val="clear" w:color="000000" w:fill="FFFFFF"/>
            <w:noWrap/>
            <w:vAlign w:val="bottom"/>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r w:rsidRPr="00D629EA">
              <w:rPr>
                <w:rFonts w:ascii="Calibri" w:hAnsi="Calibri" w:cs="Calibri"/>
                <w:sz w:val="22"/>
                <w:szCs w:val="22"/>
                <w:lang w:val="en-US"/>
              </w:rPr>
              <w:t> </w:t>
            </w:r>
          </w:p>
        </w:tc>
        <w:tc>
          <w:tcPr>
            <w:tcW w:w="364" w:type="dxa"/>
            <w:tcBorders>
              <w:top w:val="nil"/>
              <w:left w:val="nil"/>
              <w:bottom w:val="nil"/>
              <w:right w:val="nil"/>
            </w:tcBorders>
            <w:shd w:val="clear" w:color="000000" w:fill="FFFFFF"/>
            <w:noWrap/>
            <w:vAlign w:val="bottom"/>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r w:rsidRPr="00D629EA">
              <w:rPr>
                <w:rFonts w:ascii="Calibri" w:hAnsi="Calibri" w:cs="Calibri"/>
                <w:sz w:val="22"/>
                <w:szCs w:val="22"/>
                <w:lang w:val="en-US"/>
              </w:rPr>
              <w:t> </w:t>
            </w:r>
          </w:p>
        </w:tc>
        <w:tc>
          <w:tcPr>
            <w:tcW w:w="1023" w:type="dxa"/>
            <w:tcBorders>
              <w:top w:val="nil"/>
              <w:left w:val="nil"/>
              <w:bottom w:val="nil"/>
              <w:right w:val="nil"/>
            </w:tcBorders>
            <w:shd w:val="clear" w:color="000000" w:fill="FFFFFF"/>
            <w:noWrap/>
            <w:vAlign w:val="bottom"/>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r w:rsidRPr="00D629EA">
              <w:rPr>
                <w:rFonts w:ascii="Calibri" w:hAnsi="Calibri" w:cs="Calibri"/>
                <w:sz w:val="22"/>
                <w:szCs w:val="22"/>
                <w:lang w:val="en-US"/>
              </w:rPr>
              <w:t> </w:t>
            </w:r>
          </w:p>
        </w:tc>
        <w:tc>
          <w:tcPr>
            <w:tcW w:w="1207" w:type="dxa"/>
            <w:tcBorders>
              <w:top w:val="nil"/>
              <w:left w:val="nil"/>
              <w:bottom w:val="nil"/>
              <w:right w:val="nil"/>
            </w:tcBorders>
            <w:shd w:val="clear" w:color="000000" w:fill="FFFFFF"/>
            <w:noWrap/>
            <w:hideMark/>
          </w:tcPr>
          <w:p w:rsidR="00D629EA" w:rsidRPr="00D629EA" w:rsidRDefault="00D629EA" w:rsidP="00D629EA">
            <w:pPr>
              <w:overflowPunct/>
              <w:autoSpaceDE/>
              <w:autoSpaceDN/>
              <w:adjustRightInd/>
              <w:spacing w:line="240" w:lineRule="auto"/>
              <w:jc w:val="right"/>
              <w:textAlignment w:val="auto"/>
              <w:rPr>
                <w:rFonts w:ascii="Calibri" w:hAnsi="Calibri" w:cs="Calibri"/>
                <w:sz w:val="22"/>
                <w:szCs w:val="22"/>
                <w:lang w:val="en-US"/>
              </w:rPr>
            </w:pPr>
            <w:r w:rsidRPr="00D629EA">
              <w:rPr>
                <w:rFonts w:ascii="Calibri" w:hAnsi="Calibri" w:cs="Calibri"/>
                <w:sz w:val="22"/>
                <w:szCs w:val="22"/>
                <w:lang w:val="en-US"/>
              </w:rPr>
              <w:t xml:space="preserve"> 1'083 </w:t>
            </w:r>
          </w:p>
        </w:tc>
        <w:tc>
          <w:tcPr>
            <w:tcW w:w="271" w:type="dxa"/>
            <w:tcBorders>
              <w:top w:val="nil"/>
              <w:left w:val="nil"/>
              <w:bottom w:val="nil"/>
              <w:right w:val="nil"/>
            </w:tcBorders>
            <w:shd w:val="clear" w:color="000000" w:fill="FFFFFF"/>
            <w:noWrap/>
            <w:vAlign w:val="bottom"/>
            <w:hideMark/>
          </w:tcPr>
          <w:p w:rsidR="00D629EA" w:rsidRPr="00D629EA" w:rsidRDefault="00D629EA" w:rsidP="00D629EA">
            <w:pPr>
              <w:overflowPunct/>
              <w:autoSpaceDE/>
              <w:autoSpaceDN/>
              <w:adjustRightInd/>
              <w:spacing w:line="240" w:lineRule="auto"/>
              <w:textAlignment w:val="auto"/>
              <w:rPr>
                <w:rFonts w:ascii="Calibri" w:hAnsi="Calibri" w:cs="Calibri"/>
                <w:sz w:val="22"/>
                <w:szCs w:val="22"/>
                <w:lang w:val="en-US"/>
              </w:rPr>
            </w:pPr>
            <w:r w:rsidRPr="00D629EA">
              <w:rPr>
                <w:rFonts w:ascii="Calibri" w:hAnsi="Calibri" w:cs="Calibri"/>
                <w:sz w:val="22"/>
                <w:szCs w:val="22"/>
                <w:lang w:val="en-US"/>
              </w:rPr>
              <w:t> </w:t>
            </w:r>
          </w:p>
        </w:tc>
        <w:tc>
          <w:tcPr>
            <w:tcW w:w="1162" w:type="dxa"/>
            <w:tcBorders>
              <w:top w:val="nil"/>
              <w:left w:val="nil"/>
              <w:bottom w:val="nil"/>
              <w:right w:val="nil"/>
            </w:tcBorders>
            <w:shd w:val="clear" w:color="auto" w:fill="auto"/>
            <w:noWrap/>
            <w:vAlign w:val="bottom"/>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p>
        </w:tc>
        <w:tc>
          <w:tcPr>
            <w:tcW w:w="1181" w:type="dxa"/>
            <w:tcBorders>
              <w:top w:val="nil"/>
              <w:left w:val="nil"/>
              <w:bottom w:val="nil"/>
              <w:right w:val="single" w:sz="4" w:space="0" w:color="auto"/>
            </w:tcBorders>
            <w:shd w:val="clear" w:color="auto" w:fill="auto"/>
            <w:noWrap/>
            <w:hideMark/>
          </w:tcPr>
          <w:p w:rsidR="00D629EA" w:rsidRPr="00D629EA" w:rsidRDefault="00D629EA" w:rsidP="00D629EA">
            <w:pPr>
              <w:overflowPunct/>
              <w:autoSpaceDE/>
              <w:autoSpaceDN/>
              <w:adjustRightInd/>
              <w:spacing w:line="240" w:lineRule="auto"/>
              <w:jc w:val="right"/>
              <w:textAlignment w:val="auto"/>
              <w:rPr>
                <w:rFonts w:ascii="Calibri" w:hAnsi="Calibri" w:cs="Calibri"/>
                <w:sz w:val="22"/>
                <w:szCs w:val="22"/>
                <w:lang w:val="en-US"/>
              </w:rPr>
            </w:pPr>
            <w:r w:rsidRPr="00D629EA">
              <w:rPr>
                <w:rFonts w:ascii="Calibri" w:hAnsi="Calibri" w:cs="Calibri"/>
                <w:sz w:val="22"/>
                <w:szCs w:val="22"/>
                <w:lang w:val="en-US"/>
              </w:rPr>
              <w:t xml:space="preserve"> 3'090 </w:t>
            </w:r>
          </w:p>
        </w:tc>
      </w:tr>
      <w:tr w:rsidR="00D629EA" w:rsidRPr="00D629EA" w:rsidTr="00D629EA">
        <w:trPr>
          <w:trHeight w:val="270"/>
        </w:trPr>
        <w:tc>
          <w:tcPr>
            <w:tcW w:w="3295" w:type="dxa"/>
            <w:tcBorders>
              <w:top w:val="nil"/>
              <w:left w:val="single" w:sz="4" w:space="0" w:color="auto"/>
              <w:bottom w:val="nil"/>
              <w:right w:val="nil"/>
            </w:tcBorders>
            <w:shd w:val="clear" w:color="000000" w:fill="FFFFFF"/>
            <w:noWrap/>
            <w:hideMark/>
          </w:tcPr>
          <w:p w:rsidR="00D629EA" w:rsidRPr="00D629EA" w:rsidRDefault="00D629EA" w:rsidP="00D629EA">
            <w:pPr>
              <w:overflowPunct/>
              <w:autoSpaceDE/>
              <w:autoSpaceDN/>
              <w:adjustRightInd/>
              <w:spacing w:line="240" w:lineRule="auto"/>
              <w:textAlignment w:val="auto"/>
              <w:rPr>
                <w:rFonts w:ascii="Calibri" w:hAnsi="Calibri" w:cs="Calibri"/>
                <w:sz w:val="22"/>
                <w:szCs w:val="22"/>
                <w:lang w:val="en-US"/>
              </w:rPr>
            </w:pPr>
            <w:r w:rsidRPr="00D629EA">
              <w:rPr>
                <w:rFonts w:ascii="Calibri" w:hAnsi="Calibri" w:cs="Calibri"/>
                <w:sz w:val="22"/>
                <w:szCs w:val="22"/>
                <w:lang w:val="en-US"/>
              </w:rPr>
              <w:t> </w:t>
            </w:r>
          </w:p>
        </w:tc>
        <w:tc>
          <w:tcPr>
            <w:tcW w:w="684" w:type="dxa"/>
            <w:tcBorders>
              <w:top w:val="nil"/>
              <w:left w:val="nil"/>
              <w:bottom w:val="nil"/>
              <w:right w:val="nil"/>
            </w:tcBorders>
            <w:shd w:val="clear" w:color="000000" w:fill="FFFFFF"/>
            <w:noWrap/>
            <w:vAlign w:val="bottom"/>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r w:rsidRPr="00D629EA">
              <w:rPr>
                <w:rFonts w:ascii="Calibri" w:hAnsi="Calibri" w:cs="Calibri"/>
                <w:sz w:val="22"/>
                <w:szCs w:val="22"/>
                <w:lang w:val="en-US"/>
              </w:rPr>
              <w:t> </w:t>
            </w:r>
          </w:p>
        </w:tc>
        <w:tc>
          <w:tcPr>
            <w:tcW w:w="364" w:type="dxa"/>
            <w:tcBorders>
              <w:top w:val="nil"/>
              <w:left w:val="nil"/>
              <w:bottom w:val="nil"/>
              <w:right w:val="nil"/>
            </w:tcBorders>
            <w:shd w:val="clear" w:color="000000" w:fill="FFFFFF"/>
            <w:noWrap/>
            <w:vAlign w:val="bottom"/>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r w:rsidRPr="00D629EA">
              <w:rPr>
                <w:rFonts w:ascii="Calibri" w:hAnsi="Calibri" w:cs="Calibri"/>
                <w:sz w:val="22"/>
                <w:szCs w:val="22"/>
                <w:lang w:val="en-US"/>
              </w:rPr>
              <w:t> </w:t>
            </w:r>
          </w:p>
        </w:tc>
        <w:tc>
          <w:tcPr>
            <w:tcW w:w="1023" w:type="dxa"/>
            <w:tcBorders>
              <w:top w:val="nil"/>
              <w:left w:val="nil"/>
              <w:bottom w:val="nil"/>
              <w:right w:val="nil"/>
            </w:tcBorders>
            <w:shd w:val="clear" w:color="000000" w:fill="FFFFFF"/>
            <w:noWrap/>
            <w:vAlign w:val="bottom"/>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r w:rsidRPr="00D629EA">
              <w:rPr>
                <w:rFonts w:ascii="Calibri" w:hAnsi="Calibri" w:cs="Calibri"/>
                <w:sz w:val="22"/>
                <w:szCs w:val="22"/>
                <w:lang w:val="en-US"/>
              </w:rPr>
              <w:t> </w:t>
            </w:r>
          </w:p>
        </w:tc>
        <w:tc>
          <w:tcPr>
            <w:tcW w:w="1207" w:type="dxa"/>
            <w:tcBorders>
              <w:top w:val="nil"/>
              <w:left w:val="nil"/>
              <w:bottom w:val="nil"/>
              <w:right w:val="nil"/>
            </w:tcBorders>
            <w:shd w:val="clear" w:color="000000" w:fill="FFFFFF"/>
            <w:noWrap/>
            <w:vAlign w:val="bottom"/>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r w:rsidRPr="00D629EA">
              <w:rPr>
                <w:rFonts w:ascii="Calibri" w:hAnsi="Calibri" w:cs="Calibri"/>
                <w:sz w:val="22"/>
                <w:szCs w:val="22"/>
                <w:lang w:val="en-US"/>
              </w:rPr>
              <w:t> </w:t>
            </w:r>
          </w:p>
        </w:tc>
        <w:tc>
          <w:tcPr>
            <w:tcW w:w="271" w:type="dxa"/>
            <w:tcBorders>
              <w:top w:val="nil"/>
              <w:left w:val="nil"/>
              <w:bottom w:val="nil"/>
              <w:right w:val="nil"/>
            </w:tcBorders>
            <w:shd w:val="clear" w:color="000000" w:fill="FFFFFF"/>
            <w:noWrap/>
            <w:vAlign w:val="bottom"/>
            <w:hideMark/>
          </w:tcPr>
          <w:p w:rsidR="00D629EA" w:rsidRPr="00D629EA" w:rsidRDefault="00D629EA" w:rsidP="00D629EA">
            <w:pPr>
              <w:overflowPunct/>
              <w:autoSpaceDE/>
              <w:autoSpaceDN/>
              <w:adjustRightInd/>
              <w:spacing w:line="240" w:lineRule="auto"/>
              <w:textAlignment w:val="auto"/>
              <w:rPr>
                <w:rFonts w:ascii="Calibri" w:hAnsi="Calibri" w:cs="Calibri"/>
                <w:sz w:val="22"/>
                <w:szCs w:val="22"/>
                <w:lang w:val="en-US"/>
              </w:rPr>
            </w:pPr>
            <w:r w:rsidRPr="00D629EA">
              <w:rPr>
                <w:rFonts w:ascii="Calibri" w:hAnsi="Calibri" w:cs="Calibri"/>
                <w:sz w:val="22"/>
                <w:szCs w:val="22"/>
                <w:lang w:val="en-US"/>
              </w:rPr>
              <w:t> </w:t>
            </w:r>
          </w:p>
        </w:tc>
        <w:tc>
          <w:tcPr>
            <w:tcW w:w="1162" w:type="dxa"/>
            <w:tcBorders>
              <w:top w:val="nil"/>
              <w:left w:val="nil"/>
              <w:bottom w:val="nil"/>
              <w:right w:val="nil"/>
            </w:tcBorders>
            <w:shd w:val="clear" w:color="auto" w:fill="auto"/>
            <w:noWrap/>
            <w:vAlign w:val="bottom"/>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p>
        </w:tc>
        <w:tc>
          <w:tcPr>
            <w:tcW w:w="1181" w:type="dxa"/>
            <w:tcBorders>
              <w:top w:val="nil"/>
              <w:left w:val="nil"/>
              <w:bottom w:val="nil"/>
              <w:right w:val="single" w:sz="4" w:space="0" w:color="auto"/>
            </w:tcBorders>
            <w:shd w:val="clear" w:color="auto" w:fill="auto"/>
            <w:noWrap/>
            <w:vAlign w:val="bottom"/>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r w:rsidRPr="00D629EA">
              <w:rPr>
                <w:rFonts w:ascii="Calibri" w:hAnsi="Calibri" w:cs="Calibri"/>
                <w:sz w:val="22"/>
                <w:szCs w:val="22"/>
                <w:lang w:val="en-US"/>
              </w:rPr>
              <w:t> </w:t>
            </w:r>
          </w:p>
        </w:tc>
      </w:tr>
      <w:tr w:rsidR="00D629EA" w:rsidRPr="00D629EA" w:rsidTr="00D629EA">
        <w:trPr>
          <w:trHeight w:val="270"/>
        </w:trPr>
        <w:tc>
          <w:tcPr>
            <w:tcW w:w="3295" w:type="dxa"/>
            <w:tcBorders>
              <w:top w:val="nil"/>
              <w:left w:val="single" w:sz="4" w:space="0" w:color="auto"/>
              <w:bottom w:val="nil"/>
              <w:right w:val="nil"/>
            </w:tcBorders>
            <w:shd w:val="clear" w:color="000000" w:fill="FFFFFF"/>
            <w:noWrap/>
            <w:hideMark/>
          </w:tcPr>
          <w:p w:rsidR="00D629EA" w:rsidRPr="00D629EA" w:rsidRDefault="00D629EA" w:rsidP="00D629EA">
            <w:pPr>
              <w:overflowPunct/>
              <w:autoSpaceDE/>
              <w:autoSpaceDN/>
              <w:adjustRightInd/>
              <w:spacing w:line="240" w:lineRule="auto"/>
              <w:textAlignment w:val="auto"/>
              <w:rPr>
                <w:rFonts w:ascii="Calibri" w:hAnsi="Calibri" w:cs="Calibri"/>
                <w:sz w:val="22"/>
                <w:szCs w:val="22"/>
                <w:lang w:val="en-US"/>
              </w:rPr>
            </w:pPr>
            <w:r w:rsidRPr="00D629EA">
              <w:rPr>
                <w:rFonts w:ascii="Calibri" w:hAnsi="Calibri" w:cs="Calibri"/>
                <w:sz w:val="22"/>
                <w:szCs w:val="22"/>
                <w:lang w:val="en-US"/>
              </w:rPr>
              <w:t>Adjustments to operating profit:</w:t>
            </w:r>
          </w:p>
        </w:tc>
        <w:tc>
          <w:tcPr>
            <w:tcW w:w="684" w:type="dxa"/>
            <w:tcBorders>
              <w:top w:val="nil"/>
              <w:left w:val="nil"/>
              <w:bottom w:val="nil"/>
              <w:right w:val="nil"/>
            </w:tcBorders>
            <w:shd w:val="clear" w:color="000000" w:fill="FFFFFF"/>
            <w:noWrap/>
            <w:vAlign w:val="bottom"/>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r w:rsidRPr="00D629EA">
              <w:rPr>
                <w:rFonts w:ascii="Calibri" w:hAnsi="Calibri" w:cs="Calibri"/>
                <w:sz w:val="22"/>
                <w:szCs w:val="22"/>
                <w:lang w:val="en-US"/>
              </w:rPr>
              <w:t> </w:t>
            </w:r>
          </w:p>
        </w:tc>
        <w:tc>
          <w:tcPr>
            <w:tcW w:w="364" w:type="dxa"/>
            <w:tcBorders>
              <w:top w:val="nil"/>
              <w:left w:val="nil"/>
              <w:bottom w:val="nil"/>
              <w:right w:val="nil"/>
            </w:tcBorders>
            <w:shd w:val="clear" w:color="000000" w:fill="FFFFFF"/>
            <w:noWrap/>
            <w:vAlign w:val="bottom"/>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r w:rsidRPr="00D629EA">
              <w:rPr>
                <w:rFonts w:ascii="Calibri" w:hAnsi="Calibri" w:cs="Calibri"/>
                <w:sz w:val="22"/>
                <w:szCs w:val="22"/>
                <w:lang w:val="en-US"/>
              </w:rPr>
              <w:t> </w:t>
            </w:r>
          </w:p>
        </w:tc>
        <w:tc>
          <w:tcPr>
            <w:tcW w:w="1023" w:type="dxa"/>
            <w:tcBorders>
              <w:top w:val="nil"/>
              <w:left w:val="nil"/>
              <w:bottom w:val="nil"/>
              <w:right w:val="nil"/>
            </w:tcBorders>
            <w:shd w:val="clear" w:color="000000" w:fill="FFFFFF"/>
            <w:noWrap/>
            <w:vAlign w:val="bottom"/>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r w:rsidRPr="00D629EA">
              <w:rPr>
                <w:rFonts w:ascii="Calibri" w:hAnsi="Calibri" w:cs="Calibri"/>
                <w:sz w:val="22"/>
                <w:szCs w:val="22"/>
                <w:lang w:val="en-US"/>
              </w:rPr>
              <w:t> </w:t>
            </w:r>
          </w:p>
        </w:tc>
        <w:tc>
          <w:tcPr>
            <w:tcW w:w="1207" w:type="dxa"/>
            <w:tcBorders>
              <w:top w:val="nil"/>
              <w:left w:val="nil"/>
              <w:bottom w:val="nil"/>
              <w:right w:val="nil"/>
            </w:tcBorders>
            <w:shd w:val="clear" w:color="000000" w:fill="FFFFFF"/>
            <w:noWrap/>
            <w:vAlign w:val="bottom"/>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r w:rsidRPr="00D629EA">
              <w:rPr>
                <w:rFonts w:ascii="Calibri" w:hAnsi="Calibri" w:cs="Calibri"/>
                <w:sz w:val="22"/>
                <w:szCs w:val="22"/>
                <w:lang w:val="en-US"/>
              </w:rPr>
              <w:t> </w:t>
            </w:r>
          </w:p>
        </w:tc>
        <w:tc>
          <w:tcPr>
            <w:tcW w:w="271" w:type="dxa"/>
            <w:tcBorders>
              <w:top w:val="nil"/>
              <w:left w:val="nil"/>
              <w:bottom w:val="nil"/>
              <w:right w:val="nil"/>
            </w:tcBorders>
            <w:shd w:val="clear" w:color="000000" w:fill="FFFFFF"/>
            <w:noWrap/>
            <w:vAlign w:val="bottom"/>
            <w:hideMark/>
          </w:tcPr>
          <w:p w:rsidR="00D629EA" w:rsidRPr="00D629EA" w:rsidRDefault="00D629EA" w:rsidP="00D629EA">
            <w:pPr>
              <w:overflowPunct/>
              <w:autoSpaceDE/>
              <w:autoSpaceDN/>
              <w:adjustRightInd/>
              <w:spacing w:line="240" w:lineRule="auto"/>
              <w:textAlignment w:val="auto"/>
              <w:rPr>
                <w:rFonts w:ascii="Calibri" w:hAnsi="Calibri" w:cs="Calibri"/>
                <w:sz w:val="22"/>
                <w:szCs w:val="22"/>
                <w:lang w:val="en-US"/>
              </w:rPr>
            </w:pPr>
            <w:r w:rsidRPr="00D629EA">
              <w:rPr>
                <w:rFonts w:ascii="Calibri" w:hAnsi="Calibri" w:cs="Calibri"/>
                <w:sz w:val="22"/>
                <w:szCs w:val="22"/>
                <w:lang w:val="en-US"/>
              </w:rPr>
              <w:t> </w:t>
            </w:r>
          </w:p>
        </w:tc>
        <w:tc>
          <w:tcPr>
            <w:tcW w:w="1162" w:type="dxa"/>
            <w:tcBorders>
              <w:top w:val="nil"/>
              <w:left w:val="nil"/>
              <w:bottom w:val="nil"/>
              <w:right w:val="nil"/>
            </w:tcBorders>
            <w:shd w:val="clear" w:color="auto" w:fill="auto"/>
            <w:noWrap/>
            <w:vAlign w:val="bottom"/>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p>
        </w:tc>
        <w:tc>
          <w:tcPr>
            <w:tcW w:w="1181" w:type="dxa"/>
            <w:tcBorders>
              <w:top w:val="nil"/>
              <w:left w:val="nil"/>
              <w:bottom w:val="nil"/>
              <w:right w:val="single" w:sz="4" w:space="0" w:color="auto"/>
            </w:tcBorders>
            <w:shd w:val="clear" w:color="auto" w:fill="auto"/>
            <w:noWrap/>
            <w:vAlign w:val="bottom"/>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r w:rsidRPr="00D629EA">
              <w:rPr>
                <w:rFonts w:ascii="Calibri" w:hAnsi="Calibri" w:cs="Calibri"/>
                <w:sz w:val="22"/>
                <w:szCs w:val="22"/>
                <w:lang w:val="en-US"/>
              </w:rPr>
              <w:t> </w:t>
            </w:r>
          </w:p>
        </w:tc>
      </w:tr>
      <w:tr w:rsidR="00D629EA" w:rsidRPr="00D629EA" w:rsidTr="00D629EA">
        <w:trPr>
          <w:trHeight w:val="270"/>
        </w:trPr>
        <w:tc>
          <w:tcPr>
            <w:tcW w:w="3979" w:type="dxa"/>
            <w:gridSpan w:val="2"/>
            <w:tcBorders>
              <w:top w:val="nil"/>
              <w:left w:val="single" w:sz="4" w:space="0" w:color="auto"/>
              <w:bottom w:val="nil"/>
              <w:right w:val="nil"/>
            </w:tcBorders>
            <w:shd w:val="clear" w:color="000000" w:fill="FFFFFF"/>
            <w:noWrap/>
            <w:hideMark/>
          </w:tcPr>
          <w:p w:rsidR="00D629EA" w:rsidRPr="00D629EA" w:rsidRDefault="00D629EA" w:rsidP="00D629EA">
            <w:pPr>
              <w:overflowPunct/>
              <w:autoSpaceDE/>
              <w:autoSpaceDN/>
              <w:adjustRightInd/>
              <w:spacing w:line="240" w:lineRule="auto"/>
              <w:textAlignment w:val="auto"/>
              <w:rPr>
                <w:rFonts w:ascii="Calibri" w:hAnsi="Calibri" w:cs="Calibri"/>
                <w:sz w:val="22"/>
                <w:szCs w:val="22"/>
                <w:lang w:val="en-US"/>
              </w:rPr>
            </w:pPr>
            <w:r w:rsidRPr="00D629EA">
              <w:rPr>
                <w:rFonts w:ascii="Calibri" w:hAnsi="Calibri" w:cs="Calibri"/>
                <w:sz w:val="22"/>
                <w:szCs w:val="22"/>
                <w:lang w:val="en-US"/>
              </w:rPr>
              <w:t>Amortization differences of upfront fees</w:t>
            </w:r>
          </w:p>
        </w:tc>
        <w:tc>
          <w:tcPr>
            <w:tcW w:w="364" w:type="dxa"/>
            <w:tcBorders>
              <w:top w:val="nil"/>
              <w:left w:val="nil"/>
              <w:bottom w:val="nil"/>
              <w:right w:val="nil"/>
            </w:tcBorders>
            <w:shd w:val="clear" w:color="000000" w:fill="FFFFFF"/>
            <w:noWrap/>
            <w:vAlign w:val="bottom"/>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r w:rsidRPr="00D629EA">
              <w:rPr>
                <w:rFonts w:ascii="Calibri" w:hAnsi="Calibri" w:cs="Calibri"/>
                <w:sz w:val="22"/>
                <w:szCs w:val="22"/>
                <w:lang w:val="en-US"/>
              </w:rPr>
              <w:t> </w:t>
            </w:r>
          </w:p>
        </w:tc>
        <w:tc>
          <w:tcPr>
            <w:tcW w:w="1023" w:type="dxa"/>
            <w:tcBorders>
              <w:top w:val="nil"/>
              <w:left w:val="nil"/>
              <w:bottom w:val="single" w:sz="4" w:space="0" w:color="auto"/>
              <w:right w:val="nil"/>
            </w:tcBorders>
            <w:shd w:val="clear" w:color="000000" w:fill="FFFFFF"/>
            <w:noWrap/>
            <w:hideMark/>
          </w:tcPr>
          <w:p w:rsidR="00D629EA" w:rsidRPr="00D629EA" w:rsidRDefault="00D629EA" w:rsidP="00D629EA">
            <w:pPr>
              <w:overflowPunct/>
              <w:autoSpaceDE/>
              <w:autoSpaceDN/>
              <w:adjustRightInd/>
              <w:spacing w:line="240" w:lineRule="auto"/>
              <w:jc w:val="right"/>
              <w:textAlignment w:val="auto"/>
              <w:rPr>
                <w:rFonts w:ascii="Calibri" w:hAnsi="Calibri" w:cs="Calibri"/>
                <w:sz w:val="22"/>
                <w:szCs w:val="22"/>
                <w:lang w:val="en-US"/>
              </w:rPr>
            </w:pPr>
            <w:r w:rsidRPr="00D629EA">
              <w:rPr>
                <w:rFonts w:ascii="Calibri" w:hAnsi="Calibri" w:cs="Calibri"/>
                <w:sz w:val="22"/>
                <w:szCs w:val="22"/>
                <w:lang w:val="en-US"/>
              </w:rPr>
              <w:t xml:space="preserve"> 355 </w:t>
            </w:r>
          </w:p>
        </w:tc>
        <w:tc>
          <w:tcPr>
            <w:tcW w:w="1207" w:type="dxa"/>
            <w:tcBorders>
              <w:top w:val="nil"/>
              <w:left w:val="nil"/>
              <w:bottom w:val="nil"/>
              <w:right w:val="nil"/>
            </w:tcBorders>
            <w:shd w:val="clear" w:color="000000" w:fill="FFFFFF"/>
            <w:noWrap/>
            <w:vAlign w:val="bottom"/>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r w:rsidRPr="00D629EA">
              <w:rPr>
                <w:rFonts w:ascii="Calibri" w:hAnsi="Calibri" w:cs="Calibri"/>
                <w:sz w:val="22"/>
                <w:szCs w:val="22"/>
                <w:lang w:val="en-US"/>
              </w:rPr>
              <w:t> </w:t>
            </w:r>
          </w:p>
        </w:tc>
        <w:tc>
          <w:tcPr>
            <w:tcW w:w="271" w:type="dxa"/>
            <w:tcBorders>
              <w:top w:val="nil"/>
              <w:left w:val="nil"/>
              <w:bottom w:val="nil"/>
              <w:right w:val="nil"/>
            </w:tcBorders>
            <w:shd w:val="clear" w:color="000000" w:fill="FFFFFF"/>
            <w:noWrap/>
            <w:vAlign w:val="bottom"/>
            <w:hideMark/>
          </w:tcPr>
          <w:p w:rsidR="00D629EA" w:rsidRPr="00D629EA" w:rsidRDefault="00D629EA" w:rsidP="00D629EA">
            <w:pPr>
              <w:overflowPunct/>
              <w:autoSpaceDE/>
              <w:autoSpaceDN/>
              <w:adjustRightInd/>
              <w:spacing w:line="240" w:lineRule="auto"/>
              <w:textAlignment w:val="auto"/>
              <w:rPr>
                <w:rFonts w:ascii="Calibri" w:hAnsi="Calibri" w:cs="Calibri"/>
                <w:sz w:val="22"/>
                <w:szCs w:val="22"/>
                <w:lang w:val="en-US"/>
              </w:rPr>
            </w:pPr>
            <w:r w:rsidRPr="00D629EA">
              <w:rPr>
                <w:rFonts w:ascii="Calibri" w:hAnsi="Calibri" w:cs="Calibri"/>
                <w:sz w:val="22"/>
                <w:szCs w:val="22"/>
                <w:lang w:val="en-US"/>
              </w:rPr>
              <w:t> </w:t>
            </w:r>
          </w:p>
        </w:tc>
        <w:tc>
          <w:tcPr>
            <w:tcW w:w="1162" w:type="dxa"/>
            <w:tcBorders>
              <w:top w:val="nil"/>
              <w:left w:val="nil"/>
              <w:bottom w:val="single" w:sz="4" w:space="0" w:color="auto"/>
              <w:right w:val="nil"/>
            </w:tcBorders>
            <w:shd w:val="clear" w:color="auto" w:fill="auto"/>
            <w:noWrap/>
            <w:hideMark/>
          </w:tcPr>
          <w:p w:rsidR="00D629EA" w:rsidRPr="00D629EA" w:rsidRDefault="00D629EA" w:rsidP="00D629EA">
            <w:pPr>
              <w:overflowPunct/>
              <w:autoSpaceDE/>
              <w:autoSpaceDN/>
              <w:adjustRightInd/>
              <w:spacing w:line="240" w:lineRule="auto"/>
              <w:jc w:val="right"/>
              <w:textAlignment w:val="auto"/>
              <w:rPr>
                <w:rFonts w:ascii="Calibri" w:hAnsi="Calibri" w:cs="Calibri"/>
                <w:sz w:val="22"/>
                <w:szCs w:val="22"/>
                <w:lang w:val="en-US"/>
              </w:rPr>
            </w:pPr>
            <w:r w:rsidRPr="00D629EA">
              <w:rPr>
                <w:rFonts w:ascii="Calibri" w:hAnsi="Calibri" w:cs="Calibri"/>
                <w:sz w:val="22"/>
                <w:szCs w:val="22"/>
                <w:lang w:val="en-US"/>
              </w:rPr>
              <w:t xml:space="preserve"> 414 </w:t>
            </w:r>
          </w:p>
        </w:tc>
        <w:tc>
          <w:tcPr>
            <w:tcW w:w="1181" w:type="dxa"/>
            <w:tcBorders>
              <w:top w:val="nil"/>
              <w:left w:val="nil"/>
              <w:bottom w:val="nil"/>
              <w:right w:val="single" w:sz="4" w:space="0" w:color="auto"/>
            </w:tcBorders>
            <w:shd w:val="clear" w:color="auto" w:fill="auto"/>
            <w:noWrap/>
            <w:vAlign w:val="bottom"/>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r w:rsidRPr="00D629EA">
              <w:rPr>
                <w:rFonts w:ascii="Calibri" w:hAnsi="Calibri" w:cs="Calibri"/>
                <w:sz w:val="22"/>
                <w:szCs w:val="22"/>
                <w:lang w:val="en-US"/>
              </w:rPr>
              <w:t> </w:t>
            </w:r>
          </w:p>
        </w:tc>
      </w:tr>
      <w:tr w:rsidR="00D629EA" w:rsidRPr="00D629EA" w:rsidTr="00D629EA">
        <w:trPr>
          <w:trHeight w:val="270"/>
        </w:trPr>
        <w:tc>
          <w:tcPr>
            <w:tcW w:w="3295" w:type="dxa"/>
            <w:tcBorders>
              <w:top w:val="nil"/>
              <w:left w:val="single" w:sz="4" w:space="0" w:color="auto"/>
              <w:bottom w:val="nil"/>
              <w:right w:val="nil"/>
            </w:tcBorders>
            <w:shd w:val="clear" w:color="000000" w:fill="FFFFFF"/>
            <w:noWrap/>
            <w:hideMark/>
          </w:tcPr>
          <w:p w:rsidR="00D629EA" w:rsidRPr="00D629EA" w:rsidRDefault="00D629EA" w:rsidP="00D629EA">
            <w:pPr>
              <w:overflowPunct/>
              <w:autoSpaceDE/>
              <w:autoSpaceDN/>
              <w:adjustRightInd/>
              <w:spacing w:line="240" w:lineRule="auto"/>
              <w:textAlignment w:val="auto"/>
              <w:rPr>
                <w:rFonts w:ascii="Calibri" w:hAnsi="Calibri" w:cs="Calibri"/>
                <w:sz w:val="22"/>
                <w:szCs w:val="22"/>
                <w:lang w:val="en-US"/>
              </w:rPr>
            </w:pPr>
            <w:r w:rsidRPr="00D629EA">
              <w:rPr>
                <w:rFonts w:ascii="Calibri" w:hAnsi="Calibri" w:cs="Calibri"/>
                <w:sz w:val="22"/>
                <w:szCs w:val="22"/>
                <w:lang w:val="en-US"/>
              </w:rPr>
              <w:t> </w:t>
            </w:r>
          </w:p>
        </w:tc>
        <w:tc>
          <w:tcPr>
            <w:tcW w:w="684" w:type="dxa"/>
            <w:tcBorders>
              <w:top w:val="nil"/>
              <w:left w:val="nil"/>
              <w:bottom w:val="nil"/>
              <w:right w:val="nil"/>
            </w:tcBorders>
            <w:shd w:val="clear" w:color="000000" w:fill="FFFFFF"/>
            <w:noWrap/>
            <w:vAlign w:val="bottom"/>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r w:rsidRPr="00D629EA">
              <w:rPr>
                <w:rFonts w:ascii="Calibri" w:hAnsi="Calibri" w:cs="Calibri"/>
                <w:sz w:val="22"/>
                <w:szCs w:val="22"/>
                <w:lang w:val="en-US"/>
              </w:rPr>
              <w:t> </w:t>
            </w:r>
          </w:p>
        </w:tc>
        <w:tc>
          <w:tcPr>
            <w:tcW w:w="364" w:type="dxa"/>
            <w:tcBorders>
              <w:top w:val="nil"/>
              <w:left w:val="nil"/>
              <w:bottom w:val="nil"/>
              <w:right w:val="nil"/>
            </w:tcBorders>
            <w:shd w:val="clear" w:color="000000" w:fill="FFFFFF"/>
            <w:noWrap/>
            <w:vAlign w:val="bottom"/>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r w:rsidRPr="00D629EA">
              <w:rPr>
                <w:rFonts w:ascii="Calibri" w:hAnsi="Calibri" w:cs="Calibri"/>
                <w:sz w:val="22"/>
                <w:szCs w:val="22"/>
                <w:lang w:val="en-US"/>
              </w:rPr>
              <w:t> </w:t>
            </w:r>
          </w:p>
        </w:tc>
        <w:tc>
          <w:tcPr>
            <w:tcW w:w="1023" w:type="dxa"/>
            <w:tcBorders>
              <w:top w:val="nil"/>
              <w:left w:val="nil"/>
              <w:bottom w:val="nil"/>
              <w:right w:val="nil"/>
            </w:tcBorders>
            <w:shd w:val="clear" w:color="000000" w:fill="FFFFFF"/>
            <w:noWrap/>
            <w:vAlign w:val="bottom"/>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r w:rsidRPr="00D629EA">
              <w:rPr>
                <w:rFonts w:ascii="Calibri" w:hAnsi="Calibri" w:cs="Calibri"/>
                <w:sz w:val="22"/>
                <w:szCs w:val="22"/>
                <w:lang w:val="en-US"/>
              </w:rPr>
              <w:t> </w:t>
            </w:r>
          </w:p>
        </w:tc>
        <w:tc>
          <w:tcPr>
            <w:tcW w:w="1207" w:type="dxa"/>
            <w:tcBorders>
              <w:top w:val="nil"/>
              <w:left w:val="nil"/>
              <w:bottom w:val="nil"/>
              <w:right w:val="nil"/>
            </w:tcBorders>
            <w:shd w:val="clear" w:color="000000" w:fill="FFFFFF"/>
            <w:noWrap/>
            <w:hideMark/>
          </w:tcPr>
          <w:p w:rsidR="00D629EA" w:rsidRPr="00D629EA" w:rsidRDefault="00D629EA" w:rsidP="00D629EA">
            <w:pPr>
              <w:overflowPunct/>
              <w:autoSpaceDE/>
              <w:autoSpaceDN/>
              <w:adjustRightInd/>
              <w:spacing w:line="240" w:lineRule="auto"/>
              <w:jc w:val="right"/>
              <w:textAlignment w:val="auto"/>
              <w:rPr>
                <w:rFonts w:ascii="Calibri" w:hAnsi="Calibri" w:cs="Calibri"/>
                <w:sz w:val="22"/>
                <w:szCs w:val="22"/>
                <w:lang w:val="en-US"/>
              </w:rPr>
            </w:pPr>
            <w:r w:rsidRPr="00D629EA">
              <w:rPr>
                <w:rFonts w:ascii="Calibri" w:hAnsi="Calibri" w:cs="Calibri"/>
                <w:sz w:val="22"/>
                <w:szCs w:val="22"/>
                <w:lang w:val="en-US"/>
              </w:rPr>
              <w:t xml:space="preserve"> 355 </w:t>
            </w:r>
          </w:p>
        </w:tc>
        <w:tc>
          <w:tcPr>
            <w:tcW w:w="271" w:type="dxa"/>
            <w:tcBorders>
              <w:top w:val="nil"/>
              <w:left w:val="nil"/>
              <w:bottom w:val="nil"/>
              <w:right w:val="nil"/>
            </w:tcBorders>
            <w:shd w:val="clear" w:color="000000" w:fill="FFFFFF"/>
            <w:noWrap/>
            <w:vAlign w:val="bottom"/>
            <w:hideMark/>
          </w:tcPr>
          <w:p w:rsidR="00D629EA" w:rsidRPr="00D629EA" w:rsidRDefault="00D629EA" w:rsidP="00D629EA">
            <w:pPr>
              <w:overflowPunct/>
              <w:autoSpaceDE/>
              <w:autoSpaceDN/>
              <w:adjustRightInd/>
              <w:spacing w:line="240" w:lineRule="auto"/>
              <w:textAlignment w:val="auto"/>
              <w:rPr>
                <w:rFonts w:ascii="Calibri" w:hAnsi="Calibri" w:cs="Calibri"/>
                <w:sz w:val="22"/>
                <w:szCs w:val="22"/>
                <w:lang w:val="en-US"/>
              </w:rPr>
            </w:pPr>
            <w:r w:rsidRPr="00D629EA">
              <w:rPr>
                <w:rFonts w:ascii="Calibri" w:hAnsi="Calibri" w:cs="Calibri"/>
                <w:sz w:val="22"/>
                <w:szCs w:val="22"/>
                <w:lang w:val="en-US"/>
              </w:rPr>
              <w:t> </w:t>
            </w:r>
          </w:p>
        </w:tc>
        <w:tc>
          <w:tcPr>
            <w:tcW w:w="1162" w:type="dxa"/>
            <w:tcBorders>
              <w:top w:val="nil"/>
              <w:left w:val="nil"/>
              <w:bottom w:val="nil"/>
              <w:right w:val="nil"/>
            </w:tcBorders>
            <w:shd w:val="clear" w:color="auto" w:fill="auto"/>
            <w:noWrap/>
            <w:vAlign w:val="bottom"/>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p>
        </w:tc>
        <w:tc>
          <w:tcPr>
            <w:tcW w:w="1181" w:type="dxa"/>
            <w:tcBorders>
              <w:top w:val="nil"/>
              <w:left w:val="nil"/>
              <w:bottom w:val="nil"/>
              <w:right w:val="single" w:sz="4" w:space="0" w:color="auto"/>
            </w:tcBorders>
            <w:shd w:val="clear" w:color="auto" w:fill="auto"/>
            <w:noWrap/>
            <w:hideMark/>
          </w:tcPr>
          <w:p w:rsidR="00D629EA" w:rsidRPr="00D629EA" w:rsidRDefault="00D629EA" w:rsidP="00D629EA">
            <w:pPr>
              <w:overflowPunct/>
              <w:autoSpaceDE/>
              <w:autoSpaceDN/>
              <w:adjustRightInd/>
              <w:spacing w:line="240" w:lineRule="auto"/>
              <w:jc w:val="right"/>
              <w:textAlignment w:val="auto"/>
              <w:rPr>
                <w:rFonts w:ascii="Calibri" w:hAnsi="Calibri" w:cs="Calibri"/>
                <w:sz w:val="22"/>
                <w:szCs w:val="22"/>
                <w:lang w:val="en-US"/>
              </w:rPr>
            </w:pPr>
            <w:r w:rsidRPr="00D629EA">
              <w:rPr>
                <w:rFonts w:ascii="Calibri" w:hAnsi="Calibri" w:cs="Calibri"/>
                <w:sz w:val="22"/>
                <w:szCs w:val="22"/>
                <w:lang w:val="en-US"/>
              </w:rPr>
              <w:t xml:space="preserve"> 414 </w:t>
            </w:r>
          </w:p>
        </w:tc>
      </w:tr>
      <w:tr w:rsidR="00D629EA" w:rsidRPr="00D629EA" w:rsidTr="00D629EA">
        <w:trPr>
          <w:trHeight w:val="270"/>
        </w:trPr>
        <w:tc>
          <w:tcPr>
            <w:tcW w:w="3295" w:type="dxa"/>
            <w:tcBorders>
              <w:top w:val="nil"/>
              <w:left w:val="single" w:sz="4" w:space="0" w:color="auto"/>
              <w:bottom w:val="nil"/>
              <w:right w:val="nil"/>
            </w:tcBorders>
            <w:shd w:val="clear" w:color="000000" w:fill="FFFFFF"/>
            <w:noWrap/>
            <w:hideMark/>
          </w:tcPr>
          <w:p w:rsidR="00D629EA" w:rsidRPr="00D629EA" w:rsidRDefault="00D629EA" w:rsidP="00D629EA">
            <w:pPr>
              <w:overflowPunct/>
              <w:autoSpaceDE/>
              <w:autoSpaceDN/>
              <w:adjustRightInd/>
              <w:spacing w:line="240" w:lineRule="auto"/>
              <w:textAlignment w:val="auto"/>
              <w:rPr>
                <w:rFonts w:ascii="Calibri" w:hAnsi="Calibri" w:cs="Calibri"/>
                <w:sz w:val="22"/>
                <w:szCs w:val="22"/>
                <w:lang w:val="en-US"/>
              </w:rPr>
            </w:pPr>
            <w:r w:rsidRPr="00D629EA">
              <w:rPr>
                <w:rFonts w:ascii="Calibri" w:hAnsi="Calibri" w:cs="Calibri"/>
                <w:sz w:val="22"/>
                <w:szCs w:val="22"/>
                <w:lang w:val="en-US"/>
              </w:rPr>
              <w:t>Changes in working capital:</w:t>
            </w:r>
          </w:p>
        </w:tc>
        <w:tc>
          <w:tcPr>
            <w:tcW w:w="684" w:type="dxa"/>
            <w:tcBorders>
              <w:top w:val="nil"/>
              <w:left w:val="nil"/>
              <w:bottom w:val="nil"/>
              <w:right w:val="nil"/>
            </w:tcBorders>
            <w:shd w:val="clear" w:color="000000" w:fill="FFFFFF"/>
            <w:noWrap/>
            <w:vAlign w:val="bottom"/>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r w:rsidRPr="00D629EA">
              <w:rPr>
                <w:rFonts w:ascii="Calibri" w:hAnsi="Calibri" w:cs="Calibri"/>
                <w:sz w:val="22"/>
                <w:szCs w:val="22"/>
                <w:lang w:val="en-US"/>
              </w:rPr>
              <w:t> </w:t>
            </w:r>
          </w:p>
        </w:tc>
        <w:tc>
          <w:tcPr>
            <w:tcW w:w="364" w:type="dxa"/>
            <w:tcBorders>
              <w:top w:val="nil"/>
              <w:left w:val="nil"/>
              <w:bottom w:val="nil"/>
              <w:right w:val="nil"/>
            </w:tcBorders>
            <w:shd w:val="clear" w:color="000000" w:fill="FFFFFF"/>
            <w:noWrap/>
            <w:vAlign w:val="bottom"/>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r w:rsidRPr="00D629EA">
              <w:rPr>
                <w:rFonts w:ascii="Calibri" w:hAnsi="Calibri" w:cs="Calibri"/>
                <w:sz w:val="22"/>
                <w:szCs w:val="22"/>
                <w:lang w:val="en-US"/>
              </w:rPr>
              <w:t> </w:t>
            </w:r>
          </w:p>
        </w:tc>
        <w:tc>
          <w:tcPr>
            <w:tcW w:w="1023" w:type="dxa"/>
            <w:tcBorders>
              <w:top w:val="nil"/>
              <w:left w:val="nil"/>
              <w:bottom w:val="nil"/>
              <w:right w:val="nil"/>
            </w:tcBorders>
            <w:shd w:val="clear" w:color="000000" w:fill="FFFFFF"/>
            <w:noWrap/>
            <w:vAlign w:val="bottom"/>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r w:rsidRPr="00D629EA">
              <w:rPr>
                <w:rFonts w:ascii="Calibri" w:hAnsi="Calibri" w:cs="Calibri"/>
                <w:sz w:val="22"/>
                <w:szCs w:val="22"/>
                <w:lang w:val="en-US"/>
              </w:rPr>
              <w:t> </w:t>
            </w:r>
          </w:p>
        </w:tc>
        <w:tc>
          <w:tcPr>
            <w:tcW w:w="1207" w:type="dxa"/>
            <w:tcBorders>
              <w:top w:val="nil"/>
              <w:left w:val="nil"/>
              <w:bottom w:val="nil"/>
              <w:right w:val="nil"/>
            </w:tcBorders>
            <w:shd w:val="clear" w:color="000000" w:fill="FFFFFF"/>
            <w:noWrap/>
            <w:vAlign w:val="bottom"/>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r w:rsidRPr="00D629EA">
              <w:rPr>
                <w:rFonts w:ascii="Calibri" w:hAnsi="Calibri" w:cs="Calibri"/>
                <w:sz w:val="22"/>
                <w:szCs w:val="22"/>
                <w:lang w:val="en-US"/>
              </w:rPr>
              <w:t> </w:t>
            </w:r>
          </w:p>
        </w:tc>
        <w:tc>
          <w:tcPr>
            <w:tcW w:w="271" w:type="dxa"/>
            <w:tcBorders>
              <w:top w:val="nil"/>
              <w:left w:val="nil"/>
              <w:bottom w:val="nil"/>
              <w:right w:val="nil"/>
            </w:tcBorders>
            <w:shd w:val="clear" w:color="000000" w:fill="FFFFFF"/>
            <w:noWrap/>
            <w:vAlign w:val="bottom"/>
            <w:hideMark/>
          </w:tcPr>
          <w:p w:rsidR="00D629EA" w:rsidRPr="00D629EA" w:rsidRDefault="00D629EA" w:rsidP="00D629EA">
            <w:pPr>
              <w:overflowPunct/>
              <w:autoSpaceDE/>
              <w:autoSpaceDN/>
              <w:adjustRightInd/>
              <w:spacing w:line="240" w:lineRule="auto"/>
              <w:textAlignment w:val="auto"/>
              <w:rPr>
                <w:rFonts w:ascii="Calibri" w:hAnsi="Calibri" w:cs="Calibri"/>
                <w:sz w:val="22"/>
                <w:szCs w:val="22"/>
                <w:lang w:val="en-US"/>
              </w:rPr>
            </w:pPr>
            <w:r w:rsidRPr="00D629EA">
              <w:rPr>
                <w:rFonts w:ascii="Calibri" w:hAnsi="Calibri" w:cs="Calibri"/>
                <w:sz w:val="22"/>
                <w:szCs w:val="22"/>
                <w:lang w:val="en-US"/>
              </w:rPr>
              <w:t> </w:t>
            </w:r>
          </w:p>
        </w:tc>
        <w:tc>
          <w:tcPr>
            <w:tcW w:w="1162" w:type="dxa"/>
            <w:tcBorders>
              <w:top w:val="nil"/>
              <w:left w:val="nil"/>
              <w:bottom w:val="nil"/>
              <w:right w:val="nil"/>
            </w:tcBorders>
            <w:shd w:val="clear" w:color="auto" w:fill="auto"/>
            <w:noWrap/>
            <w:vAlign w:val="bottom"/>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p>
        </w:tc>
        <w:tc>
          <w:tcPr>
            <w:tcW w:w="1181" w:type="dxa"/>
            <w:tcBorders>
              <w:top w:val="nil"/>
              <w:left w:val="nil"/>
              <w:bottom w:val="nil"/>
              <w:right w:val="single" w:sz="4" w:space="0" w:color="auto"/>
            </w:tcBorders>
            <w:shd w:val="clear" w:color="auto" w:fill="auto"/>
            <w:noWrap/>
            <w:vAlign w:val="bottom"/>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r w:rsidRPr="00D629EA">
              <w:rPr>
                <w:rFonts w:ascii="Calibri" w:hAnsi="Calibri" w:cs="Calibri"/>
                <w:sz w:val="22"/>
                <w:szCs w:val="22"/>
                <w:lang w:val="en-US"/>
              </w:rPr>
              <w:t> </w:t>
            </w:r>
          </w:p>
        </w:tc>
      </w:tr>
      <w:tr w:rsidR="00D629EA" w:rsidRPr="00D629EA" w:rsidTr="00D629EA">
        <w:trPr>
          <w:trHeight w:val="270"/>
        </w:trPr>
        <w:tc>
          <w:tcPr>
            <w:tcW w:w="3979" w:type="dxa"/>
            <w:gridSpan w:val="2"/>
            <w:tcBorders>
              <w:top w:val="nil"/>
              <w:left w:val="single" w:sz="4" w:space="0" w:color="auto"/>
              <w:bottom w:val="nil"/>
              <w:right w:val="nil"/>
            </w:tcBorders>
            <w:shd w:val="clear" w:color="000000" w:fill="FFFFFF"/>
            <w:noWrap/>
            <w:hideMark/>
          </w:tcPr>
          <w:p w:rsidR="00D629EA" w:rsidRPr="00D629EA" w:rsidRDefault="00D629EA" w:rsidP="00D629EA">
            <w:pPr>
              <w:overflowPunct/>
              <w:autoSpaceDE/>
              <w:autoSpaceDN/>
              <w:adjustRightInd/>
              <w:spacing w:line="240" w:lineRule="auto"/>
              <w:textAlignment w:val="auto"/>
              <w:rPr>
                <w:rFonts w:ascii="Calibri" w:hAnsi="Calibri" w:cs="Calibri"/>
                <w:sz w:val="22"/>
                <w:szCs w:val="22"/>
                <w:lang w:val="en-US"/>
              </w:rPr>
            </w:pPr>
            <w:r w:rsidRPr="00D629EA">
              <w:rPr>
                <w:rFonts w:ascii="Calibri" w:hAnsi="Calibri" w:cs="Calibri"/>
                <w:sz w:val="22"/>
                <w:szCs w:val="22"/>
                <w:lang w:val="en-US"/>
              </w:rPr>
              <w:t>(Increase)/decrease in other receivables</w:t>
            </w:r>
          </w:p>
        </w:tc>
        <w:tc>
          <w:tcPr>
            <w:tcW w:w="364" w:type="dxa"/>
            <w:tcBorders>
              <w:top w:val="nil"/>
              <w:left w:val="nil"/>
              <w:bottom w:val="nil"/>
              <w:right w:val="nil"/>
            </w:tcBorders>
            <w:shd w:val="clear" w:color="000000" w:fill="FFFFFF"/>
            <w:noWrap/>
            <w:vAlign w:val="bottom"/>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r w:rsidRPr="00D629EA">
              <w:rPr>
                <w:rFonts w:ascii="Calibri" w:hAnsi="Calibri" w:cs="Calibri"/>
                <w:sz w:val="22"/>
                <w:szCs w:val="22"/>
                <w:lang w:val="en-US"/>
              </w:rPr>
              <w:t> </w:t>
            </w:r>
          </w:p>
        </w:tc>
        <w:tc>
          <w:tcPr>
            <w:tcW w:w="1023" w:type="dxa"/>
            <w:tcBorders>
              <w:top w:val="nil"/>
              <w:left w:val="nil"/>
              <w:bottom w:val="nil"/>
              <w:right w:val="nil"/>
            </w:tcBorders>
            <w:shd w:val="clear" w:color="000000" w:fill="FFFFFF"/>
            <w:noWrap/>
            <w:hideMark/>
          </w:tcPr>
          <w:p w:rsidR="00D629EA" w:rsidRPr="00D629EA" w:rsidRDefault="00D629EA" w:rsidP="00D629EA">
            <w:pPr>
              <w:overflowPunct/>
              <w:autoSpaceDE/>
              <w:autoSpaceDN/>
              <w:adjustRightInd/>
              <w:spacing w:line="240" w:lineRule="auto"/>
              <w:jc w:val="right"/>
              <w:textAlignment w:val="auto"/>
              <w:rPr>
                <w:rFonts w:ascii="Calibri" w:hAnsi="Calibri" w:cs="Calibri"/>
                <w:sz w:val="22"/>
                <w:szCs w:val="22"/>
                <w:lang w:val="en-US"/>
              </w:rPr>
            </w:pPr>
            <w:r w:rsidRPr="00D629EA">
              <w:rPr>
                <w:rFonts w:ascii="Calibri" w:hAnsi="Calibri" w:cs="Calibri"/>
                <w:sz w:val="22"/>
                <w:szCs w:val="22"/>
                <w:lang w:val="en-US"/>
              </w:rPr>
              <w:t xml:space="preserve"> 7'397 </w:t>
            </w:r>
          </w:p>
        </w:tc>
        <w:tc>
          <w:tcPr>
            <w:tcW w:w="1207" w:type="dxa"/>
            <w:tcBorders>
              <w:top w:val="nil"/>
              <w:left w:val="nil"/>
              <w:bottom w:val="nil"/>
              <w:right w:val="nil"/>
            </w:tcBorders>
            <w:shd w:val="clear" w:color="000000" w:fill="FFFFFF"/>
            <w:noWrap/>
            <w:vAlign w:val="bottom"/>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r w:rsidRPr="00D629EA">
              <w:rPr>
                <w:rFonts w:ascii="Calibri" w:hAnsi="Calibri" w:cs="Calibri"/>
                <w:sz w:val="22"/>
                <w:szCs w:val="22"/>
                <w:lang w:val="en-US"/>
              </w:rPr>
              <w:t> </w:t>
            </w:r>
          </w:p>
        </w:tc>
        <w:tc>
          <w:tcPr>
            <w:tcW w:w="271" w:type="dxa"/>
            <w:tcBorders>
              <w:top w:val="nil"/>
              <w:left w:val="nil"/>
              <w:bottom w:val="nil"/>
              <w:right w:val="nil"/>
            </w:tcBorders>
            <w:shd w:val="clear" w:color="000000" w:fill="FFFFFF"/>
            <w:noWrap/>
            <w:vAlign w:val="bottom"/>
            <w:hideMark/>
          </w:tcPr>
          <w:p w:rsidR="00D629EA" w:rsidRPr="00D629EA" w:rsidRDefault="00D629EA" w:rsidP="00D629EA">
            <w:pPr>
              <w:overflowPunct/>
              <w:autoSpaceDE/>
              <w:autoSpaceDN/>
              <w:adjustRightInd/>
              <w:spacing w:line="240" w:lineRule="auto"/>
              <w:textAlignment w:val="auto"/>
              <w:rPr>
                <w:rFonts w:ascii="Calibri" w:hAnsi="Calibri" w:cs="Calibri"/>
                <w:sz w:val="22"/>
                <w:szCs w:val="22"/>
                <w:lang w:val="en-US"/>
              </w:rPr>
            </w:pPr>
            <w:r w:rsidRPr="00D629EA">
              <w:rPr>
                <w:rFonts w:ascii="Calibri" w:hAnsi="Calibri" w:cs="Calibri"/>
                <w:sz w:val="22"/>
                <w:szCs w:val="22"/>
                <w:lang w:val="en-US"/>
              </w:rPr>
              <w:t> </w:t>
            </w:r>
          </w:p>
        </w:tc>
        <w:tc>
          <w:tcPr>
            <w:tcW w:w="1162" w:type="dxa"/>
            <w:tcBorders>
              <w:top w:val="nil"/>
              <w:left w:val="nil"/>
              <w:bottom w:val="nil"/>
              <w:right w:val="nil"/>
            </w:tcBorders>
            <w:shd w:val="clear" w:color="auto" w:fill="auto"/>
            <w:noWrap/>
            <w:hideMark/>
          </w:tcPr>
          <w:p w:rsidR="00D629EA" w:rsidRPr="00D629EA" w:rsidRDefault="00D629EA" w:rsidP="00D629EA">
            <w:pPr>
              <w:overflowPunct/>
              <w:autoSpaceDE/>
              <w:autoSpaceDN/>
              <w:adjustRightInd/>
              <w:spacing w:line="240" w:lineRule="auto"/>
              <w:jc w:val="right"/>
              <w:textAlignment w:val="auto"/>
              <w:rPr>
                <w:rFonts w:ascii="Calibri" w:hAnsi="Calibri" w:cs="Calibri"/>
                <w:sz w:val="22"/>
                <w:szCs w:val="22"/>
                <w:lang w:val="en-US"/>
              </w:rPr>
            </w:pPr>
            <w:r w:rsidRPr="00D629EA">
              <w:rPr>
                <w:rFonts w:ascii="Calibri" w:hAnsi="Calibri" w:cs="Calibri"/>
                <w:sz w:val="22"/>
                <w:szCs w:val="22"/>
                <w:lang w:val="en-US"/>
              </w:rPr>
              <w:t xml:space="preserve"> 270 </w:t>
            </w:r>
          </w:p>
        </w:tc>
        <w:tc>
          <w:tcPr>
            <w:tcW w:w="1181" w:type="dxa"/>
            <w:tcBorders>
              <w:top w:val="nil"/>
              <w:left w:val="nil"/>
              <w:bottom w:val="nil"/>
              <w:right w:val="single" w:sz="4" w:space="0" w:color="auto"/>
            </w:tcBorders>
            <w:shd w:val="clear" w:color="auto" w:fill="auto"/>
            <w:noWrap/>
            <w:vAlign w:val="bottom"/>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r w:rsidRPr="00D629EA">
              <w:rPr>
                <w:rFonts w:ascii="Calibri" w:hAnsi="Calibri" w:cs="Calibri"/>
                <w:sz w:val="22"/>
                <w:szCs w:val="22"/>
                <w:lang w:val="en-US"/>
              </w:rPr>
              <w:t> </w:t>
            </w:r>
          </w:p>
        </w:tc>
      </w:tr>
      <w:tr w:rsidR="00D629EA" w:rsidRPr="00D629EA" w:rsidTr="00D629EA">
        <w:trPr>
          <w:trHeight w:val="270"/>
        </w:trPr>
        <w:tc>
          <w:tcPr>
            <w:tcW w:w="3295" w:type="dxa"/>
            <w:tcBorders>
              <w:top w:val="nil"/>
              <w:left w:val="single" w:sz="4" w:space="0" w:color="auto"/>
              <w:bottom w:val="nil"/>
              <w:right w:val="nil"/>
            </w:tcBorders>
            <w:shd w:val="clear" w:color="000000" w:fill="FFFFFF"/>
            <w:noWrap/>
            <w:hideMark/>
          </w:tcPr>
          <w:p w:rsidR="00D629EA" w:rsidRPr="00D629EA" w:rsidRDefault="00D629EA" w:rsidP="00D629EA">
            <w:pPr>
              <w:overflowPunct/>
              <w:autoSpaceDE/>
              <w:autoSpaceDN/>
              <w:adjustRightInd/>
              <w:spacing w:line="240" w:lineRule="auto"/>
              <w:textAlignment w:val="auto"/>
              <w:rPr>
                <w:rFonts w:ascii="Calibri" w:hAnsi="Calibri" w:cs="Calibri"/>
                <w:sz w:val="22"/>
                <w:szCs w:val="22"/>
                <w:lang w:val="en-US"/>
              </w:rPr>
            </w:pPr>
            <w:r w:rsidRPr="00D629EA">
              <w:rPr>
                <w:rFonts w:ascii="Calibri" w:hAnsi="Calibri" w:cs="Calibri"/>
                <w:sz w:val="22"/>
                <w:szCs w:val="22"/>
                <w:lang w:val="en-US"/>
              </w:rPr>
              <w:t>Increase/(decrease) in payables</w:t>
            </w:r>
          </w:p>
        </w:tc>
        <w:tc>
          <w:tcPr>
            <w:tcW w:w="684" w:type="dxa"/>
            <w:tcBorders>
              <w:top w:val="nil"/>
              <w:left w:val="nil"/>
              <w:bottom w:val="nil"/>
              <w:right w:val="nil"/>
            </w:tcBorders>
            <w:shd w:val="clear" w:color="000000" w:fill="FFFFFF"/>
            <w:noWrap/>
            <w:vAlign w:val="bottom"/>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r w:rsidRPr="00D629EA">
              <w:rPr>
                <w:rFonts w:ascii="Calibri" w:hAnsi="Calibri" w:cs="Calibri"/>
                <w:sz w:val="22"/>
                <w:szCs w:val="22"/>
                <w:lang w:val="en-US"/>
              </w:rPr>
              <w:t> </w:t>
            </w:r>
          </w:p>
        </w:tc>
        <w:tc>
          <w:tcPr>
            <w:tcW w:w="364" w:type="dxa"/>
            <w:tcBorders>
              <w:top w:val="nil"/>
              <w:left w:val="nil"/>
              <w:bottom w:val="nil"/>
              <w:right w:val="nil"/>
            </w:tcBorders>
            <w:shd w:val="clear" w:color="000000" w:fill="FFFFFF"/>
            <w:noWrap/>
            <w:vAlign w:val="bottom"/>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r w:rsidRPr="00D629EA">
              <w:rPr>
                <w:rFonts w:ascii="Calibri" w:hAnsi="Calibri" w:cs="Calibri"/>
                <w:sz w:val="22"/>
                <w:szCs w:val="22"/>
                <w:lang w:val="en-US"/>
              </w:rPr>
              <w:t> </w:t>
            </w:r>
          </w:p>
        </w:tc>
        <w:tc>
          <w:tcPr>
            <w:tcW w:w="1023" w:type="dxa"/>
            <w:tcBorders>
              <w:top w:val="nil"/>
              <w:left w:val="nil"/>
              <w:bottom w:val="nil"/>
              <w:right w:val="nil"/>
            </w:tcBorders>
            <w:shd w:val="clear" w:color="000000" w:fill="FFFFFF"/>
            <w:noWrap/>
            <w:hideMark/>
          </w:tcPr>
          <w:p w:rsidR="00D629EA" w:rsidRPr="00D629EA" w:rsidRDefault="00D629EA" w:rsidP="00D629EA">
            <w:pPr>
              <w:overflowPunct/>
              <w:autoSpaceDE/>
              <w:autoSpaceDN/>
              <w:adjustRightInd/>
              <w:spacing w:line="240" w:lineRule="auto"/>
              <w:jc w:val="right"/>
              <w:textAlignment w:val="auto"/>
              <w:rPr>
                <w:rFonts w:ascii="Calibri" w:hAnsi="Calibri" w:cs="Calibri"/>
                <w:sz w:val="22"/>
                <w:szCs w:val="22"/>
                <w:lang w:val="en-US"/>
              </w:rPr>
            </w:pPr>
            <w:r w:rsidRPr="00D629EA">
              <w:rPr>
                <w:rFonts w:ascii="Calibri" w:hAnsi="Calibri" w:cs="Calibri"/>
                <w:sz w:val="22"/>
                <w:szCs w:val="22"/>
                <w:lang w:val="en-US"/>
              </w:rPr>
              <w:t>( 82)</w:t>
            </w:r>
          </w:p>
        </w:tc>
        <w:tc>
          <w:tcPr>
            <w:tcW w:w="1207" w:type="dxa"/>
            <w:tcBorders>
              <w:top w:val="nil"/>
              <w:left w:val="nil"/>
              <w:bottom w:val="nil"/>
              <w:right w:val="nil"/>
            </w:tcBorders>
            <w:shd w:val="clear" w:color="000000" w:fill="FFFFFF"/>
            <w:noWrap/>
            <w:vAlign w:val="bottom"/>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r w:rsidRPr="00D629EA">
              <w:rPr>
                <w:rFonts w:ascii="Calibri" w:hAnsi="Calibri" w:cs="Calibri"/>
                <w:sz w:val="22"/>
                <w:szCs w:val="22"/>
                <w:lang w:val="en-US"/>
              </w:rPr>
              <w:t> </w:t>
            </w:r>
          </w:p>
        </w:tc>
        <w:tc>
          <w:tcPr>
            <w:tcW w:w="271" w:type="dxa"/>
            <w:tcBorders>
              <w:top w:val="nil"/>
              <w:left w:val="nil"/>
              <w:bottom w:val="nil"/>
              <w:right w:val="nil"/>
            </w:tcBorders>
            <w:shd w:val="clear" w:color="000000" w:fill="FFFFFF"/>
            <w:noWrap/>
            <w:vAlign w:val="bottom"/>
            <w:hideMark/>
          </w:tcPr>
          <w:p w:rsidR="00D629EA" w:rsidRPr="00D629EA" w:rsidRDefault="00D629EA" w:rsidP="00D629EA">
            <w:pPr>
              <w:overflowPunct/>
              <w:autoSpaceDE/>
              <w:autoSpaceDN/>
              <w:adjustRightInd/>
              <w:spacing w:line="240" w:lineRule="auto"/>
              <w:textAlignment w:val="auto"/>
              <w:rPr>
                <w:rFonts w:ascii="Calibri" w:hAnsi="Calibri" w:cs="Calibri"/>
                <w:sz w:val="22"/>
                <w:szCs w:val="22"/>
                <w:lang w:val="en-US"/>
              </w:rPr>
            </w:pPr>
            <w:r w:rsidRPr="00D629EA">
              <w:rPr>
                <w:rFonts w:ascii="Calibri" w:hAnsi="Calibri" w:cs="Calibri"/>
                <w:sz w:val="22"/>
                <w:szCs w:val="22"/>
                <w:lang w:val="en-US"/>
              </w:rPr>
              <w:t> </w:t>
            </w:r>
          </w:p>
        </w:tc>
        <w:tc>
          <w:tcPr>
            <w:tcW w:w="1162" w:type="dxa"/>
            <w:tcBorders>
              <w:top w:val="nil"/>
              <w:left w:val="nil"/>
              <w:bottom w:val="nil"/>
              <w:right w:val="nil"/>
            </w:tcBorders>
            <w:shd w:val="clear" w:color="auto" w:fill="auto"/>
            <w:noWrap/>
            <w:hideMark/>
          </w:tcPr>
          <w:p w:rsidR="00D629EA" w:rsidRPr="00D629EA" w:rsidRDefault="00D629EA" w:rsidP="00D629EA">
            <w:pPr>
              <w:overflowPunct/>
              <w:autoSpaceDE/>
              <w:autoSpaceDN/>
              <w:adjustRightInd/>
              <w:spacing w:line="240" w:lineRule="auto"/>
              <w:jc w:val="right"/>
              <w:textAlignment w:val="auto"/>
              <w:rPr>
                <w:rFonts w:ascii="Calibri" w:hAnsi="Calibri" w:cs="Calibri"/>
                <w:sz w:val="22"/>
                <w:szCs w:val="22"/>
                <w:lang w:val="en-US"/>
              </w:rPr>
            </w:pPr>
            <w:r w:rsidRPr="00D629EA">
              <w:rPr>
                <w:rFonts w:ascii="Calibri" w:hAnsi="Calibri" w:cs="Calibri"/>
                <w:sz w:val="22"/>
                <w:szCs w:val="22"/>
                <w:lang w:val="en-US"/>
              </w:rPr>
              <w:t>( 665)</w:t>
            </w:r>
          </w:p>
        </w:tc>
        <w:tc>
          <w:tcPr>
            <w:tcW w:w="1181" w:type="dxa"/>
            <w:tcBorders>
              <w:top w:val="nil"/>
              <w:left w:val="nil"/>
              <w:bottom w:val="nil"/>
              <w:right w:val="single" w:sz="4" w:space="0" w:color="auto"/>
            </w:tcBorders>
            <w:shd w:val="clear" w:color="auto" w:fill="auto"/>
            <w:noWrap/>
            <w:vAlign w:val="bottom"/>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r w:rsidRPr="00D629EA">
              <w:rPr>
                <w:rFonts w:ascii="Calibri" w:hAnsi="Calibri" w:cs="Calibri"/>
                <w:sz w:val="22"/>
                <w:szCs w:val="22"/>
                <w:lang w:val="en-US"/>
              </w:rPr>
              <w:t> </w:t>
            </w:r>
          </w:p>
        </w:tc>
      </w:tr>
      <w:tr w:rsidR="00D629EA" w:rsidRPr="00D629EA" w:rsidTr="00D629EA">
        <w:trPr>
          <w:trHeight w:val="539"/>
        </w:trPr>
        <w:tc>
          <w:tcPr>
            <w:tcW w:w="3295" w:type="dxa"/>
            <w:tcBorders>
              <w:top w:val="nil"/>
              <w:left w:val="single" w:sz="4" w:space="0" w:color="auto"/>
              <w:bottom w:val="nil"/>
              <w:right w:val="nil"/>
            </w:tcBorders>
            <w:shd w:val="clear" w:color="000000" w:fill="FFFFFF"/>
            <w:hideMark/>
          </w:tcPr>
          <w:p w:rsidR="00D629EA" w:rsidRPr="00D629EA" w:rsidRDefault="00D629EA" w:rsidP="00D629EA">
            <w:pPr>
              <w:overflowPunct/>
              <w:autoSpaceDE/>
              <w:autoSpaceDN/>
              <w:adjustRightInd/>
              <w:spacing w:line="240" w:lineRule="auto"/>
              <w:textAlignment w:val="auto"/>
              <w:rPr>
                <w:rFonts w:ascii="Calibri" w:hAnsi="Calibri" w:cs="Calibri"/>
                <w:sz w:val="22"/>
                <w:szCs w:val="22"/>
                <w:lang w:val="en-US"/>
              </w:rPr>
            </w:pPr>
            <w:r w:rsidRPr="00D629EA">
              <w:rPr>
                <w:rFonts w:ascii="Calibri" w:hAnsi="Calibri" w:cs="Calibri"/>
                <w:sz w:val="22"/>
                <w:szCs w:val="22"/>
                <w:lang w:val="en-US"/>
              </w:rPr>
              <w:t>Increase/(decrease) in accruals and deferred income</w:t>
            </w:r>
          </w:p>
        </w:tc>
        <w:tc>
          <w:tcPr>
            <w:tcW w:w="684" w:type="dxa"/>
            <w:tcBorders>
              <w:top w:val="nil"/>
              <w:left w:val="nil"/>
              <w:bottom w:val="nil"/>
              <w:right w:val="nil"/>
            </w:tcBorders>
            <w:shd w:val="clear" w:color="000000" w:fill="FFFFFF"/>
            <w:noWrap/>
            <w:vAlign w:val="bottom"/>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r w:rsidRPr="00D629EA">
              <w:rPr>
                <w:rFonts w:ascii="Calibri" w:hAnsi="Calibri" w:cs="Calibri"/>
                <w:sz w:val="22"/>
                <w:szCs w:val="22"/>
                <w:lang w:val="en-US"/>
              </w:rPr>
              <w:t> </w:t>
            </w:r>
          </w:p>
        </w:tc>
        <w:tc>
          <w:tcPr>
            <w:tcW w:w="364" w:type="dxa"/>
            <w:tcBorders>
              <w:top w:val="nil"/>
              <w:left w:val="nil"/>
              <w:bottom w:val="nil"/>
              <w:right w:val="nil"/>
            </w:tcBorders>
            <w:shd w:val="clear" w:color="000000" w:fill="FFFFFF"/>
            <w:noWrap/>
            <w:vAlign w:val="bottom"/>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r w:rsidRPr="00D629EA">
              <w:rPr>
                <w:rFonts w:ascii="Calibri" w:hAnsi="Calibri" w:cs="Calibri"/>
                <w:sz w:val="22"/>
                <w:szCs w:val="22"/>
                <w:lang w:val="en-US"/>
              </w:rPr>
              <w:t> </w:t>
            </w:r>
          </w:p>
        </w:tc>
        <w:tc>
          <w:tcPr>
            <w:tcW w:w="1023" w:type="dxa"/>
            <w:tcBorders>
              <w:top w:val="nil"/>
              <w:left w:val="nil"/>
              <w:bottom w:val="single" w:sz="4" w:space="0" w:color="auto"/>
              <w:right w:val="nil"/>
            </w:tcBorders>
            <w:shd w:val="clear" w:color="000000" w:fill="FFFFFF"/>
            <w:noWrap/>
            <w:hideMark/>
          </w:tcPr>
          <w:p w:rsidR="00D629EA" w:rsidRPr="00D629EA" w:rsidRDefault="00D629EA" w:rsidP="00D629EA">
            <w:pPr>
              <w:overflowPunct/>
              <w:autoSpaceDE/>
              <w:autoSpaceDN/>
              <w:adjustRightInd/>
              <w:spacing w:line="240" w:lineRule="auto"/>
              <w:jc w:val="right"/>
              <w:textAlignment w:val="auto"/>
              <w:rPr>
                <w:rFonts w:ascii="Calibri" w:hAnsi="Calibri" w:cs="Calibri"/>
                <w:sz w:val="22"/>
                <w:szCs w:val="22"/>
                <w:lang w:val="en-US"/>
              </w:rPr>
            </w:pPr>
            <w:r w:rsidRPr="00D629EA">
              <w:rPr>
                <w:rFonts w:ascii="Calibri" w:hAnsi="Calibri" w:cs="Calibri"/>
                <w:sz w:val="22"/>
                <w:szCs w:val="22"/>
                <w:lang w:val="en-US"/>
              </w:rPr>
              <w:t>( 8'735)</w:t>
            </w:r>
          </w:p>
        </w:tc>
        <w:tc>
          <w:tcPr>
            <w:tcW w:w="1207" w:type="dxa"/>
            <w:tcBorders>
              <w:top w:val="nil"/>
              <w:left w:val="nil"/>
              <w:bottom w:val="nil"/>
              <w:right w:val="nil"/>
            </w:tcBorders>
            <w:shd w:val="clear" w:color="000000" w:fill="FFFFFF"/>
            <w:noWrap/>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r w:rsidRPr="00D629EA">
              <w:rPr>
                <w:rFonts w:ascii="Calibri" w:hAnsi="Calibri" w:cs="Calibri"/>
                <w:sz w:val="22"/>
                <w:szCs w:val="22"/>
                <w:lang w:val="en-US"/>
              </w:rPr>
              <w:t> </w:t>
            </w:r>
          </w:p>
        </w:tc>
        <w:tc>
          <w:tcPr>
            <w:tcW w:w="271" w:type="dxa"/>
            <w:tcBorders>
              <w:top w:val="nil"/>
              <w:left w:val="nil"/>
              <w:bottom w:val="nil"/>
              <w:right w:val="nil"/>
            </w:tcBorders>
            <w:shd w:val="clear" w:color="000000" w:fill="FFFFFF"/>
            <w:noWrap/>
            <w:hideMark/>
          </w:tcPr>
          <w:p w:rsidR="00D629EA" w:rsidRPr="00D629EA" w:rsidRDefault="00D629EA" w:rsidP="00D629EA">
            <w:pPr>
              <w:overflowPunct/>
              <w:autoSpaceDE/>
              <w:autoSpaceDN/>
              <w:adjustRightInd/>
              <w:spacing w:line="240" w:lineRule="auto"/>
              <w:textAlignment w:val="auto"/>
              <w:rPr>
                <w:rFonts w:ascii="Calibri" w:hAnsi="Calibri" w:cs="Calibri"/>
                <w:sz w:val="22"/>
                <w:szCs w:val="22"/>
                <w:lang w:val="en-US"/>
              </w:rPr>
            </w:pPr>
            <w:r w:rsidRPr="00D629EA">
              <w:rPr>
                <w:rFonts w:ascii="Calibri" w:hAnsi="Calibri" w:cs="Calibri"/>
                <w:sz w:val="22"/>
                <w:szCs w:val="22"/>
                <w:lang w:val="en-US"/>
              </w:rPr>
              <w:t> </w:t>
            </w:r>
          </w:p>
        </w:tc>
        <w:tc>
          <w:tcPr>
            <w:tcW w:w="1162" w:type="dxa"/>
            <w:tcBorders>
              <w:top w:val="nil"/>
              <w:left w:val="nil"/>
              <w:bottom w:val="single" w:sz="4" w:space="0" w:color="auto"/>
              <w:right w:val="nil"/>
            </w:tcBorders>
            <w:shd w:val="clear" w:color="auto" w:fill="auto"/>
            <w:noWrap/>
            <w:hideMark/>
          </w:tcPr>
          <w:p w:rsidR="00D629EA" w:rsidRPr="00D629EA" w:rsidRDefault="00D629EA" w:rsidP="00D629EA">
            <w:pPr>
              <w:overflowPunct/>
              <w:autoSpaceDE/>
              <w:autoSpaceDN/>
              <w:adjustRightInd/>
              <w:spacing w:line="240" w:lineRule="auto"/>
              <w:jc w:val="right"/>
              <w:textAlignment w:val="auto"/>
              <w:rPr>
                <w:rFonts w:ascii="Calibri" w:hAnsi="Calibri" w:cs="Calibri"/>
                <w:sz w:val="22"/>
                <w:szCs w:val="22"/>
                <w:lang w:val="en-US"/>
              </w:rPr>
            </w:pPr>
            <w:r w:rsidRPr="00D629EA">
              <w:rPr>
                <w:rFonts w:ascii="Calibri" w:hAnsi="Calibri" w:cs="Calibri"/>
                <w:sz w:val="22"/>
                <w:szCs w:val="22"/>
                <w:lang w:val="en-US"/>
              </w:rPr>
              <w:t>( 3'132)</w:t>
            </w:r>
          </w:p>
        </w:tc>
        <w:tc>
          <w:tcPr>
            <w:tcW w:w="1181" w:type="dxa"/>
            <w:tcBorders>
              <w:top w:val="nil"/>
              <w:left w:val="nil"/>
              <w:bottom w:val="nil"/>
              <w:right w:val="single" w:sz="4" w:space="0" w:color="auto"/>
            </w:tcBorders>
            <w:shd w:val="clear" w:color="auto" w:fill="auto"/>
            <w:noWrap/>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r w:rsidRPr="00D629EA">
              <w:rPr>
                <w:rFonts w:ascii="Calibri" w:hAnsi="Calibri" w:cs="Calibri"/>
                <w:sz w:val="22"/>
                <w:szCs w:val="22"/>
                <w:lang w:val="en-US"/>
              </w:rPr>
              <w:t> </w:t>
            </w:r>
          </w:p>
        </w:tc>
      </w:tr>
      <w:tr w:rsidR="00D629EA" w:rsidRPr="00D629EA" w:rsidTr="00D629EA">
        <w:trPr>
          <w:trHeight w:val="270"/>
        </w:trPr>
        <w:tc>
          <w:tcPr>
            <w:tcW w:w="3295" w:type="dxa"/>
            <w:tcBorders>
              <w:top w:val="nil"/>
              <w:left w:val="single" w:sz="4" w:space="0" w:color="auto"/>
              <w:bottom w:val="nil"/>
              <w:right w:val="nil"/>
            </w:tcBorders>
            <w:shd w:val="clear" w:color="000000" w:fill="FFFFFF"/>
            <w:noWrap/>
            <w:hideMark/>
          </w:tcPr>
          <w:p w:rsidR="00D629EA" w:rsidRPr="00D629EA" w:rsidRDefault="00D629EA" w:rsidP="00D629EA">
            <w:pPr>
              <w:overflowPunct/>
              <w:autoSpaceDE/>
              <w:autoSpaceDN/>
              <w:adjustRightInd/>
              <w:spacing w:line="240" w:lineRule="auto"/>
              <w:textAlignment w:val="auto"/>
              <w:rPr>
                <w:rFonts w:ascii="Calibri" w:hAnsi="Calibri" w:cs="Calibri"/>
                <w:sz w:val="22"/>
                <w:szCs w:val="22"/>
                <w:lang w:val="en-US"/>
              </w:rPr>
            </w:pPr>
            <w:r w:rsidRPr="00D629EA">
              <w:rPr>
                <w:rFonts w:ascii="Calibri" w:hAnsi="Calibri" w:cs="Calibri"/>
                <w:sz w:val="22"/>
                <w:szCs w:val="22"/>
                <w:lang w:val="en-US"/>
              </w:rPr>
              <w:t> </w:t>
            </w:r>
          </w:p>
        </w:tc>
        <w:tc>
          <w:tcPr>
            <w:tcW w:w="684" w:type="dxa"/>
            <w:tcBorders>
              <w:top w:val="nil"/>
              <w:left w:val="nil"/>
              <w:bottom w:val="nil"/>
              <w:right w:val="nil"/>
            </w:tcBorders>
            <w:shd w:val="clear" w:color="000000" w:fill="FFFFFF"/>
            <w:noWrap/>
            <w:vAlign w:val="bottom"/>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r w:rsidRPr="00D629EA">
              <w:rPr>
                <w:rFonts w:ascii="Calibri" w:hAnsi="Calibri" w:cs="Calibri"/>
                <w:sz w:val="22"/>
                <w:szCs w:val="22"/>
                <w:lang w:val="en-US"/>
              </w:rPr>
              <w:t> </w:t>
            </w:r>
          </w:p>
        </w:tc>
        <w:tc>
          <w:tcPr>
            <w:tcW w:w="364" w:type="dxa"/>
            <w:tcBorders>
              <w:top w:val="nil"/>
              <w:left w:val="nil"/>
              <w:bottom w:val="nil"/>
              <w:right w:val="nil"/>
            </w:tcBorders>
            <w:shd w:val="clear" w:color="000000" w:fill="FFFFFF"/>
            <w:noWrap/>
            <w:vAlign w:val="bottom"/>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r w:rsidRPr="00D629EA">
              <w:rPr>
                <w:rFonts w:ascii="Calibri" w:hAnsi="Calibri" w:cs="Calibri"/>
                <w:sz w:val="22"/>
                <w:szCs w:val="22"/>
                <w:lang w:val="en-US"/>
              </w:rPr>
              <w:t> </w:t>
            </w:r>
          </w:p>
        </w:tc>
        <w:tc>
          <w:tcPr>
            <w:tcW w:w="1023" w:type="dxa"/>
            <w:tcBorders>
              <w:top w:val="nil"/>
              <w:left w:val="nil"/>
              <w:bottom w:val="nil"/>
              <w:right w:val="nil"/>
            </w:tcBorders>
            <w:shd w:val="clear" w:color="000000" w:fill="FFFFFF"/>
            <w:noWrap/>
            <w:vAlign w:val="bottom"/>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r w:rsidRPr="00D629EA">
              <w:rPr>
                <w:rFonts w:ascii="Calibri" w:hAnsi="Calibri" w:cs="Calibri"/>
                <w:sz w:val="22"/>
                <w:szCs w:val="22"/>
                <w:lang w:val="en-US"/>
              </w:rPr>
              <w:t> </w:t>
            </w:r>
          </w:p>
        </w:tc>
        <w:tc>
          <w:tcPr>
            <w:tcW w:w="1207" w:type="dxa"/>
            <w:tcBorders>
              <w:top w:val="nil"/>
              <w:left w:val="nil"/>
              <w:bottom w:val="single" w:sz="4" w:space="0" w:color="auto"/>
              <w:right w:val="nil"/>
            </w:tcBorders>
            <w:shd w:val="clear" w:color="000000" w:fill="FFFFFF"/>
            <w:noWrap/>
            <w:hideMark/>
          </w:tcPr>
          <w:p w:rsidR="00D629EA" w:rsidRPr="00D629EA" w:rsidRDefault="00D629EA" w:rsidP="00D629EA">
            <w:pPr>
              <w:overflowPunct/>
              <w:autoSpaceDE/>
              <w:autoSpaceDN/>
              <w:adjustRightInd/>
              <w:spacing w:line="240" w:lineRule="auto"/>
              <w:jc w:val="right"/>
              <w:textAlignment w:val="auto"/>
              <w:rPr>
                <w:rFonts w:ascii="Calibri" w:hAnsi="Calibri" w:cs="Calibri"/>
                <w:sz w:val="22"/>
                <w:szCs w:val="22"/>
                <w:lang w:val="en-US"/>
              </w:rPr>
            </w:pPr>
            <w:r w:rsidRPr="00D629EA">
              <w:rPr>
                <w:rFonts w:ascii="Calibri" w:hAnsi="Calibri" w:cs="Calibri"/>
                <w:sz w:val="22"/>
                <w:szCs w:val="22"/>
                <w:lang w:val="en-US"/>
              </w:rPr>
              <w:t>( 1'420)</w:t>
            </w:r>
          </w:p>
        </w:tc>
        <w:tc>
          <w:tcPr>
            <w:tcW w:w="271" w:type="dxa"/>
            <w:tcBorders>
              <w:top w:val="nil"/>
              <w:left w:val="nil"/>
              <w:bottom w:val="nil"/>
              <w:right w:val="nil"/>
            </w:tcBorders>
            <w:shd w:val="clear" w:color="000000" w:fill="FFFFFF"/>
            <w:noWrap/>
            <w:vAlign w:val="bottom"/>
            <w:hideMark/>
          </w:tcPr>
          <w:p w:rsidR="00D629EA" w:rsidRPr="00D629EA" w:rsidRDefault="00D629EA" w:rsidP="00D629EA">
            <w:pPr>
              <w:overflowPunct/>
              <w:autoSpaceDE/>
              <w:autoSpaceDN/>
              <w:adjustRightInd/>
              <w:spacing w:line="240" w:lineRule="auto"/>
              <w:textAlignment w:val="auto"/>
              <w:rPr>
                <w:rFonts w:ascii="Calibri" w:hAnsi="Calibri" w:cs="Calibri"/>
                <w:sz w:val="22"/>
                <w:szCs w:val="22"/>
                <w:lang w:val="en-US"/>
              </w:rPr>
            </w:pPr>
            <w:r w:rsidRPr="00D629EA">
              <w:rPr>
                <w:rFonts w:ascii="Calibri" w:hAnsi="Calibri" w:cs="Calibri"/>
                <w:sz w:val="22"/>
                <w:szCs w:val="22"/>
                <w:lang w:val="en-US"/>
              </w:rPr>
              <w:t> </w:t>
            </w:r>
          </w:p>
        </w:tc>
        <w:tc>
          <w:tcPr>
            <w:tcW w:w="1162" w:type="dxa"/>
            <w:tcBorders>
              <w:top w:val="nil"/>
              <w:left w:val="nil"/>
              <w:bottom w:val="nil"/>
              <w:right w:val="nil"/>
            </w:tcBorders>
            <w:shd w:val="clear" w:color="auto" w:fill="auto"/>
            <w:noWrap/>
            <w:vAlign w:val="bottom"/>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p>
        </w:tc>
        <w:tc>
          <w:tcPr>
            <w:tcW w:w="1181" w:type="dxa"/>
            <w:tcBorders>
              <w:top w:val="nil"/>
              <w:left w:val="nil"/>
              <w:bottom w:val="single" w:sz="4" w:space="0" w:color="auto"/>
              <w:right w:val="single" w:sz="4" w:space="0" w:color="auto"/>
            </w:tcBorders>
            <w:shd w:val="clear" w:color="auto" w:fill="auto"/>
            <w:noWrap/>
            <w:hideMark/>
          </w:tcPr>
          <w:p w:rsidR="00D629EA" w:rsidRPr="00D629EA" w:rsidRDefault="00D629EA" w:rsidP="00D629EA">
            <w:pPr>
              <w:overflowPunct/>
              <w:autoSpaceDE/>
              <w:autoSpaceDN/>
              <w:adjustRightInd/>
              <w:spacing w:line="240" w:lineRule="auto"/>
              <w:jc w:val="right"/>
              <w:textAlignment w:val="auto"/>
              <w:rPr>
                <w:rFonts w:ascii="Calibri" w:hAnsi="Calibri" w:cs="Calibri"/>
                <w:sz w:val="22"/>
                <w:szCs w:val="22"/>
                <w:lang w:val="en-US"/>
              </w:rPr>
            </w:pPr>
            <w:r w:rsidRPr="00D629EA">
              <w:rPr>
                <w:rFonts w:ascii="Calibri" w:hAnsi="Calibri" w:cs="Calibri"/>
                <w:sz w:val="22"/>
                <w:szCs w:val="22"/>
                <w:lang w:val="en-US"/>
              </w:rPr>
              <w:t>( 3'527)</w:t>
            </w:r>
          </w:p>
        </w:tc>
      </w:tr>
      <w:tr w:rsidR="00D629EA" w:rsidRPr="00D629EA" w:rsidTr="00D629EA">
        <w:trPr>
          <w:trHeight w:val="270"/>
        </w:trPr>
        <w:tc>
          <w:tcPr>
            <w:tcW w:w="3295" w:type="dxa"/>
            <w:tcBorders>
              <w:top w:val="nil"/>
              <w:left w:val="single" w:sz="4" w:space="0" w:color="auto"/>
              <w:bottom w:val="nil"/>
              <w:right w:val="nil"/>
            </w:tcBorders>
            <w:shd w:val="clear" w:color="000000" w:fill="FFFFFF"/>
            <w:noWrap/>
            <w:hideMark/>
          </w:tcPr>
          <w:p w:rsidR="00D629EA" w:rsidRPr="00D629EA" w:rsidRDefault="00D629EA" w:rsidP="00D629EA">
            <w:pPr>
              <w:overflowPunct/>
              <w:autoSpaceDE/>
              <w:autoSpaceDN/>
              <w:adjustRightInd/>
              <w:spacing w:line="240" w:lineRule="auto"/>
              <w:textAlignment w:val="auto"/>
              <w:rPr>
                <w:rFonts w:ascii="Calibri" w:hAnsi="Calibri" w:cs="Calibri"/>
                <w:sz w:val="22"/>
                <w:szCs w:val="22"/>
                <w:lang w:val="en-US"/>
              </w:rPr>
            </w:pPr>
            <w:r w:rsidRPr="00D629EA">
              <w:rPr>
                <w:rFonts w:ascii="Calibri" w:hAnsi="Calibri" w:cs="Calibri"/>
                <w:sz w:val="22"/>
                <w:szCs w:val="22"/>
                <w:lang w:val="en-US"/>
              </w:rPr>
              <w:t>Cash flow from operating activities</w:t>
            </w:r>
          </w:p>
        </w:tc>
        <w:tc>
          <w:tcPr>
            <w:tcW w:w="684" w:type="dxa"/>
            <w:tcBorders>
              <w:top w:val="nil"/>
              <w:left w:val="nil"/>
              <w:bottom w:val="nil"/>
              <w:right w:val="nil"/>
            </w:tcBorders>
            <w:shd w:val="clear" w:color="000000" w:fill="FFFFFF"/>
            <w:noWrap/>
            <w:vAlign w:val="bottom"/>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r w:rsidRPr="00D629EA">
              <w:rPr>
                <w:rFonts w:ascii="Calibri" w:hAnsi="Calibri" w:cs="Calibri"/>
                <w:sz w:val="22"/>
                <w:szCs w:val="22"/>
                <w:lang w:val="en-US"/>
              </w:rPr>
              <w:t> </w:t>
            </w:r>
          </w:p>
        </w:tc>
        <w:tc>
          <w:tcPr>
            <w:tcW w:w="364" w:type="dxa"/>
            <w:tcBorders>
              <w:top w:val="nil"/>
              <w:left w:val="nil"/>
              <w:bottom w:val="nil"/>
              <w:right w:val="nil"/>
            </w:tcBorders>
            <w:shd w:val="clear" w:color="000000" w:fill="FFFFFF"/>
            <w:noWrap/>
            <w:vAlign w:val="bottom"/>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r w:rsidRPr="00D629EA">
              <w:rPr>
                <w:rFonts w:ascii="Calibri" w:hAnsi="Calibri" w:cs="Calibri"/>
                <w:sz w:val="22"/>
                <w:szCs w:val="22"/>
                <w:lang w:val="en-US"/>
              </w:rPr>
              <w:t> </w:t>
            </w:r>
          </w:p>
        </w:tc>
        <w:tc>
          <w:tcPr>
            <w:tcW w:w="1023" w:type="dxa"/>
            <w:tcBorders>
              <w:top w:val="nil"/>
              <w:left w:val="nil"/>
              <w:bottom w:val="nil"/>
              <w:right w:val="nil"/>
            </w:tcBorders>
            <w:shd w:val="clear" w:color="000000" w:fill="FFFFFF"/>
            <w:noWrap/>
            <w:vAlign w:val="bottom"/>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r w:rsidRPr="00D629EA">
              <w:rPr>
                <w:rFonts w:ascii="Calibri" w:hAnsi="Calibri" w:cs="Calibri"/>
                <w:sz w:val="22"/>
                <w:szCs w:val="22"/>
                <w:lang w:val="en-US"/>
              </w:rPr>
              <w:t> </w:t>
            </w:r>
          </w:p>
        </w:tc>
        <w:tc>
          <w:tcPr>
            <w:tcW w:w="1207" w:type="dxa"/>
            <w:tcBorders>
              <w:top w:val="nil"/>
              <w:left w:val="nil"/>
              <w:bottom w:val="nil"/>
              <w:right w:val="nil"/>
            </w:tcBorders>
            <w:shd w:val="clear" w:color="000000" w:fill="FFFFFF"/>
            <w:noWrap/>
            <w:hideMark/>
          </w:tcPr>
          <w:p w:rsidR="00D629EA" w:rsidRPr="00D629EA" w:rsidRDefault="00D629EA" w:rsidP="00D629EA">
            <w:pPr>
              <w:overflowPunct/>
              <w:autoSpaceDE/>
              <w:autoSpaceDN/>
              <w:adjustRightInd/>
              <w:spacing w:line="240" w:lineRule="auto"/>
              <w:jc w:val="right"/>
              <w:textAlignment w:val="auto"/>
              <w:rPr>
                <w:rFonts w:ascii="Calibri" w:hAnsi="Calibri" w:cs="Calibri"/>
                <w:sz w:val="22"/>
                <w:szCs w:val="22"/>
                <w:lang w:val="en-US"/>
              </w:rPr>
            </w:pPr>
            <w:r w:rsidRPr="00D629EA">
              <w:rPr>
                <w:rFonts w:ascii="Calibri" w:hAnsi="Calibri" w:cs="Calibri"/>
                <w:sz w:val="22"/>
                <w:szCs w:val="22"/>
                <w:lang w:val="en-US"/>
              </w:rPr>
              <w:t xml:space="preserve"> 18 </w:t>
            </w:r>
          </w:p>
        </w:tc>
        <w:tc>
          <w:tcPr>
            <w:tcW w:w="271" w:type="dxa"/>
            <w:tcBorders>
              <w:top w:val="nil"/>
              <w:left w:val="nil"/>
              <w:bottom w:val="nil"/>
              <w:right w:val="nil"/>
            </w:tcBorders>
            <w:shd w:val="clear" w:color="000000" w:fill="FFFFFF"/>
            <w:noWrap/>
            <w:vAlign w:val="bottom"/>
            <w:hideMark/>
          </w:tcPr>
          <w:p w:rsidR="00D629EA" w:rsidRPr="00D629EA" w:rsidRDefault="00D629EA" w:rsidP="00D629EA">
            <w:pPr>
              <w:overflowPunct/>
              <w:autoSpaceDE/>
              <w:autoSpaceDN/>
              <w:adjustRightInd/>
              <w:spacing w:line="240" w:lineRule="auto"/>
              <w:textAlignment w:val="auto"/>
              <w:rPr>
                <w:rFonts w:ascii="Calibri" w:hAnsi="Calibri" w:cs="Calibri"/>
                <w:sz w:val="22"/>
                <w:szCs w:val="22"/>
                <w:lang w:val="en-US"/>
              </w:rPr>
            </w:pPr>
            <w:r w:rsidRPr="00D629EA">
              <w:rPr>
                <w:rFonts w:ascii="Calibri" w:hAnsi="Calibri" w:cs="Calibri"/>
                <w:sz w:val="22"/>
                <w:szCs w:val="22"/>
                <w:lang w:val="en-US"/>
              </w:rPr>
              <w:t> </w:t>
            </w:r>
          </w:p>
        </w:tc>
        <w:tc>
          <w:tcPr>
            <w:tcW w:w="1162" w:type="dxa"/>
            <w:tcBorders>
              <w:top w:val="nil"/>
              <w:left w:val="nil"/>
              <w:bottom w:val="nil"/>
              <w:right w:val="nil"/>
            </w:tcBorders>
            <w:shd w:val="clear" w:color="auto" w:fill="auto"/>
            <w:noWrap/>
            <w:vAlign w:val="bottom"/>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p>
        </w:tc>
        <w:tc>
          <w:tcPr>
            <w:tcW w:w="1181" w:type="dxa"/>
            <w:tcBorders>
              <w:top w:val="nil"/>
              <w:left w:val="nil"/>
              <w:bottom w:val="nil"/>
              <w:right w:val="single" w:sz="4" w:space="0" w:color="auto"/>
            </w:tcBorders>
            <w:shd w:val="clear" w:color="auto" w:fill="auto"/>
            <w:noWrap/>
            <w:hideMark/>
          </w:tcPr>
          <w:p w:rsidR="00D629EA" w:rsidRPr="00D629EA" w:rsidRDefault="00D629EA" w:rsidP="00D629EA">
            <w:pPr>
              <w:overflowPunct/>
              <w:autoSpaceDE/>
              <w:autoSpaceDN/>
              <w:adjustRightInd/>
              <w:spacing w:line="240" w:lineRule="auto"/>
              <w:jc w:val="right"/>
              <w:textAlignment w:val="auto"/>
              <w:rPr>
                <w:rFonts w:ascii="Calibri" w:hAnsi="Calibri" w:cs="Calibri"/>
                <w:sz w:val="22"/>
                <w:szCs w:val="22"/>
                <w:lang w:val="en-US"/>
              </w:rPr>
            </w:pPr>
            <w:r w:rsidRPr="00D629EA">
              <w:rPr>
                <w:rFonts w:ascii="Calibri" w:hAnsi="Calibri" w:cs="Calibri"/>
                <w:sz w:val="22"/>
                <w:szCs w:val="22"/>
                <w:lang w:val="en-US"/>
              </w:rPr>
              <w:t>( 23)</w:t>
            </w:r>
          </w:p>
        </w:tc>
      </w:tr>
      <w:tr w:rsidR="00D629EA" w:rsidRPr="00D629EA" w:rsidTr="00D629EA">
        <w:trPr>
          <w:trHeight w:val="270"/>
        </w:trPr>
        <w:tc>
          <w:tcPr>
            <w:tcW w:w="3295" w:type="dxa"/>
            <w:tcBorders>
              <w:top w:val="nil"/>
              <w:left w:val="single" w:sz="4" w:space="0" w:color="auto"/>
              <w:bottom w:val="nil"/>
              <w:right w:val="nil"/>
            </w:tcBorders>
            <w:shd w:val="clear" w:color="000000" w:fill="FFFFFF"/>
            <w:noWrap/>
            <w:hideMark/>
          </w:tcPr>
          <w:p w:rsidR="00D629EA" w:rsidRPr="00D629EA" w:rsidRDefault="00D629EA" w:rsidP="00D629EA">
            <w:pPr>
              <w:overflowPunct/>
              <w:autoSpaceDE/>
              <w:autoSpaceDN/>
              <w:adjustRightInd/>
              <w:spacing w:line="240" w:lineRule="auto"/>
              <w:textAlignment w:val="auto"/>
              <w:rPr>
                <w:rFonts w:ascii="Calibri" w:hAnsi="Calibri" w:cs="Calibri"/>
                <w:sz w:val="22"/>
                <w:szCs w:val="22"/>
                <w:lang w:val="en-US"/>
              </w:rPr>
            </w:pPr>
            <w:r w:rsidRPr="00D629EA">
              <w:rPr>
                <w:rFonts w:ascii="Calibri" w:hAnsi="Calibri" w:cs="Calibri"/>
                <w:sz w:val="22"/>
                <w:szCs w:val="22"/>
                <w:lang w:val="en-US"/>
              </w:rPr>
              <w:t> </w:t>
            </w:r>
          </w:p>
        </w:tc>
        <w:tc>
          <w:tcPr>
            <w:tcW w:w="684" w:type="dxa"/>
            <w:tcBorders>
              <w:top w:val="nil"/>
              <w:left w:val="nil"/>
              <w:bottom w:val="nil"/>
              <w:right w:val="nil"/>
            </w:tcBorders>
            <w:shd w:val="clear" w:color="000000" w:fill="FFFFFF"/>
            <w:noWrap/>
            <w:vAlign w:val="bottom"/>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r w:rsidRPr="00D629EA">
              <w:rPr>
                <w:rFonts w:ascii="Calibri" w:hAnsi="Calibri" w:cs="Calibri"/>
                <w:sz w:val="22"/>
                <w:szCs w:val="22"/>
                <w:lang w:val="en-US"/>
              </w:rPr>
              <w:t> </w:t>
            </w:r>
          </w:p>
        </w:tc>
        <w:tc>
          <w:tcPr>
            <w:tcW w:w="364" w:type="dxa"/>
            <w:tcBorders>
              <w:top w:val="nil"/>
              <w:left w:val="nil"/>
              <w:bottom w:val="nil"/>
              <w:right w:val="nil"/>
            </w:tcBorders>
            <w:shd w:val="clear" w:color="000000" w:fill="FFFFFF"/>
            <w:noWrap/>
            <w:vAlign w:val="bottom"/>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r w:rsidRPr="00D629EA">
              <w:rPr>
                <w:rFonts w:ascii="Calibri" w:hAnsi="Calibri" w:cs="Calibri"/>
                <w:sz w:val="22"/>
                <w:szCs w:val="22"/>
                <w:lang w:val="en-US"/>
              </w:rPr>
              <w:t> </w:t>
            </w:r>
          </w:p>
        </w:tc>
        <w:tc>
          <w:tcPr>
            <w:tcW w:w="1023" w:type="dxa"/>
            <w:tcBorders>
              <w:top w:val="nil"/>
              <w:left w:val="nil"/>
              <w:bottom w:val="nil"/>
              <w:right w:val="nil"/>
            </w:tcBorders>
            <w:shd w:val="clear" w:color="000000" w:fill="FFFFFF"/>
            <w:noWrap/>
            <w:vAlign w:val="bottom"/>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r w:rsidRPr="00D629EA">
              <w:rPr>
                <w:rFonts w:ascii="Calibri" w:hAnsi="Calibri" w:cs="Calibri"/>
                <w:sz w:val="22"/>
                <w:szCs w:val="22"/>
                <w:lang w:val="en-US"/>
              </w:rPr>
              <w:t> </w:t>
            </w:r>
          </w:p>
        </w:tc>
        <w:tc>
          <w:tcPr>
            <w:tcW w:w="1207" w:type="dxa"/>
            <w:tcBorders>
              <w:top w:val="nil"/>
              <w:left w:val="nil"/>
              <w:bottom w:val="nil"/>
              <w:right w:val="nil"/>
            </w:tcBorders>
            <w:shd w:val="clear" w:color="000000" w:fill="FFFFFF"/>
            <w:noWrap/>
            <w:vAlign w:val="bottom"/>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r w:rsidRPr="00D629EA">
              <w:rPr>
                <w:rFonts w:ascii="Calibri" w:hAnsi="Calibri" w:cs="Calibri"/>
                <w:sz w:val="22"/>
                <w:szCs w:val="22"/>
                <w:lang w:val="en-US"/>
              </w:rPr>
              <w:t> </w:t>
            </w:r>
          </w:p>
        </w:tc>
        <w:tc>
          <w:tcPr>
            <w:tcW w:w="271" w:type="dxa"/>
            <w:tcBorders>
              <w:top w:val="nil"/>
              <w:left w:val="nil"/>
              <w:bottom w:val="nil"/>
              <w:right w:val="nil"/>
            </w:tcBorders>
            <w:shd w:val="clear" w:color="000000" w:fill="FFFFFF"/>
            <w:noWrap/>
            <w:vAlign w:val="bottom"/>
            <w:hideMark/>
          </w:tcPr>
          <w:p w:rsidR="00D629EA" w:rsidRPr="00D629EA" w:rsidRDefault="00D629EA" w:rsidP="00D629EA">
            <w:pPr>
              <w:overflowPunct/>
              <w:autoSpaceDE/>
              <w:autoSpaceDN/>
              <w:adjustRightInd/>
              <w:spacing w:line="240" w:lineRule="auto"/>
              <w:textAlignment w:val="auto"/>
              <w:rPr>
                <w:rFonts w:ascii="Calibri" w:hAnsi="Calibri" w:cs="Calibri"/>
                <w:sz w:val="22"/>
                <w:szCs w:val="22"/>
                <w:lang w:val="en-US"/>
              </w:rPr>
            </w:pPr>
            <w:r w:rsidRPr="00D629EA">
              <w:rPr>
                <w:rFonts w:ascii="Calibri" w:hAnsi="Calibri" w:cs="Calibri"/>
                <w:sz w:val="22"/>
                <w:szCs w:val="22"/>
                <w:lang w:val="en-US"/>
              </w:rPr>
              <w:t> </w:t>
            </w:r>
          </w:p>
        </w:tc>
        <w:tc>
          <w:tcPr>
            <w:tcW w:w="1162" w:type="dxa"/>
            <w:tcBorders>
              <w:top w:val="nil"/>
              <w:left w:val="nil"/>
              <w:bottom w:val="nil"/>
              <w:right w:val="nil"/>
            </w:tcBorders>
            <w:shd w:val="clear" w:color="auto" w:fill="auto"/>
            <w:noWrap/>
            <w:vAlign w:val="bottom"/>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p>
        </w:tc>
        <w:tc>
          <w:tcPr>
            <w:tcW w:w="1181" w:type="dxa"/>
            <w:tcBorders>
              <w:top w:val="nil"/>
              <w:left w:val="nil"/>
              <w:bottom w:val="nil"/>
              <w:right w:val="single" w:sz="4" w:space="0" w:color="auto"/>
            </w:tcBorders>
            <w:shd w:val="clear" w:color="auto" w:fill="auto"/>
            <w:noWrap/>
            <w:vAlign w:val="bottom"/>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r w:rsidRPr="00D629EA">
              <w:rPr>
                <w:rFonts w:ascii="Calibri" w:hAnsi="Calibri" w:cs="Calibri"/>
                <w:sz w:val="22"/>
                <w:szCs w:val="22"/>
                <w:lang w:val="en-US"/>
              </w:rPr>
              <w:t> </w:t>
            </w:r>
          </w:p>
        </w:tc>
      </w:tr>
      <w:tr w:rsidR="00D629EA" w:rsidRPr="00D629EA" w:rsidTr="00D629EA">
        <w:trPr>
          <w:trHeight w:val="270"/>
        </w:trPr>
        <w:tc>
          <w:tcPr>
            <w:tcW w:w="3295" w:type="dxa"/>
            <w:tcBorders>
              <w:top w:val="nil"/>
              <w:left w:val="single" w:sz="4" w:space="0" w:color="auto"/>
              <w:bottom w:val="nil"/>
              <w:right w:val="nil"/>
            </w:tcBorders>
            <w:shd w:val="clear" w:color="000000" w:fill="FFFFFF"/>
            <w:noWrap/>
            <w:hideMark/>
          </w:tcPr>
          <w:p w:rsidR="00D629EA" w:rsidRPr="00D629EA" w:rsidRDefault="00D629EA" w:rsidP="00D629EA">
            <w:pPr>
              <w:overflowPunct/>
              <w:autoSpaceDE/>
              <w:autoSpaceDN/>
              <w:adjustRightInd/>
              <w:spacing w:line="240" w:lineRule="auto"/>
              <w:textAlignment w:val="auto"/>
              <w:rPr>
                <w:rFonts w:ascii="Calibri" w:hAnsi="Calibri" w:cs="Calibri"/>
                <w:b/>
                <w:bCs/>
                <w:sz w:val="22"/>
                <w:szCs w:val="22"/>
                <w:lang w:val="en-US"/>
              </w:rPr>
            </w:pPr>
            <w:r w:rsidRPr="00D629EA">
              <w:rPr>
                <w:rFonts w:ascii="Calibri" w:hAnsi="Calibri" w:cs="Calibri"/>
                <w:b/>
                <w:bCs/>
                <w:sz w:val="22"/>
                <w:szCs w:val="22"/>
                <w:lang w:val="en-US"/>
              </w:rPr>
              <w:t>Cash flow from investing activities</w:t>
            </w:r>
          </w:p>
        </w:tc>
        <w:tc>
          <w:tcPr>
            <w:tcW w:w="684" w:type="dxa"/>
            <w:tcBorders>
              <w:top w:val="nil"/>
              <w:left w:val="nil"/>
              <w:bottom w:val="nil"/>
              <w:right w:val="nil"/>
            </w:tcBorders>
            <w:shd w:val="clear" w:color="000000" w:fill="FFFFFF"/>
            <w:noWrap/>
            <w:vAlign w:val="bottom"/>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r w:rsidRPr="00D629EA">
              <w:rPr>
                <w:rFonts w:ascii="Calibri" w:hAnsi="Calibri" w:cs="Calibri"/>
                <w:sz w:val="22"/>
                <w:szCs w:val="22"/>
                <w:lang w:val="en-US"/>
              </w:rPr>
              <w:t> </w:t>
            </w:r>
          </w:p>
        </w:tc>
        <w:tc>
          <w:tcPr>
            <w:tcW w:w="364" w:type="dxa"/>
            <w:tcBorders>
              <w:top w:val="nil"/>
              <w:left w:val="nil"/>
              <w:bottom w:val="nil"/>
              <w:right w:val="nil"/>
            </w:tcBorders>
            <w:shd w:val="clear" w:color="000000" w:fill="FFFFFF"/>
            <w:noWrap/>
            <w:vAlign w:val="bottom"/>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r w:rsidRPr="00D629EA">
              <w:rPr>
                <w:rFonts w:ascii="Calibri" w:hAnsi="Calibri" w:cs="Calibri"/>
                <w:sz w:val="22"/>
                <w:szCs w:val="22"/>
                <w:lang w:val="en-US"/>
              </w:rPr>
              <w:t> </w:t>
            </w:r>
          </w:p>
        </w:tc>
        <w:tc>
          <w:tcPr>
            <w:tcW w:w="1023" w:type="dxa"/>
            <w:tcBorders>
              <w:top w:val="nil"/>
              <w:left w:val="nil"/>
              <w:bottom w:val="nil"/>
              <w:right w:val="nil"/>
            </w:tcBorders>
            <w:shd w:val="clear" w:color="000000" w:fill="FFFFFF"/>
            <w:noWrap/>
            <w:vAlign w:val="bottom"/>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r w:rsidRPr="00D629EA">
              <w:rPr>
                <w:rFonts w:ascii="Calibri" w:hAnsi="Calibri" w:cs="Calibri"/>
                <w:sz w:val="22"/>
                <w:szCs w:val="22"/>
                <w:lang w:val="en-US"/>
              </w:rPr>
              <w:t> </w:t>
            </w:r>
          </w:p>
        </w:tc>
        <w:tc>
          <w:tcPr>
            <w:tcW w:w="1207" w:type="dxa"/>
            <w:tcBorders>
              <w:top w:val="nil"/>
              <w:left w:val="nil"/>
              <w:bottom w:val="nil"/>
              <w:right w:val="nil"/>
            </w:tcBorders>
            <w:shd w:val="clear" w:color="000000" w:fill="FFFFFF"/>
            <w:noWrap/>
            <w:vAlign w:val="bottom"/>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r w:rsidRPr="00D629EA">
              <w:rPr>
                <w:rFonts w:ascii="Calibri" w:hAnsi="Calibri" w:cs="Calibri"/>
                <w:sz w:val="22"/>
                <w:szCs w:val="22"/>
                <w:lang w:val="en-US"/>
              </w:rPr>
              <w:t> </w:t>
            </w:r>
          </w:p>
        </w:tc>
        <w:tc>
          <w:tcPr>
            <w:tcW w:w="271" w:type="dxa"/>
            <w:tcBorders>
              <w:top w:val="nil"/>
              <w:left w:val="nil"/>
              <w:bottom w:val="nil"/>
              <w:right w:val="nil"/>
            </w:tcBorders>
            <w:shd w:val="clear" w:color="000000" w:fill="FFFFFF"/>
            <w:noWrap/>
            <w:vAlign w:val="bottom"/>
            <w:hideMark/>
          </w:tcPr>
          <w:p w:rsidR="00D629EA" w:rsidRPr="00D629EA" w:rsidRDefault="00D629EA" w:rsidP="00D629EA">
            <w:pPr>
              <w:overflowPunct/>
              <w:autoSpaceDE/>
              <w:autoSpaceDN/>
              <w:adjustRightInd/>
              <w:spacing w:line="240" w:lineRule="auto"/>
              <w:textAlignment w:val="auto"/>
              <w:rPr>
                <w:rFonts w:ascii="Calibri" w:hAnsi="Calibri" w:cs="Calibri"/>
                <w:sz w:val="22"/>
                <w:szCs w:val="22"/>
                <w:lang w:val="en-US"/>
              </w:rPr>
            </w:pPr>
            <w:r w:rsidRPr="00D629EA">
              <w:rPr>
                <w:rFonts w:ascii="Calibri" w:hAnsi="Calibri" w:cs="Calibri"/>
                <w:sz w:val="22"/>
                <w:szCs w:val="22"/>
                <w:lang w:val="en-US"/>
              </w:rPr>
              <w:t> </w:t>
            </w:r>
          </w:p>
        </w:tc>
        <w:tc>
          <w:tcPr>
            <w:tcW w:w="1162" w:type="dxa"/>
            <w:tcBorders>
              <w:top w:val="nil"/>
              <w:left w:val="nil"/>
              <w:bottom w:val="nil"/>
              <w:right w:val="nil"/>
            </w:tcBorders>
            <w:shd w:val="clear" w:color="auto" w:fill="auto"/>
            <w:noWrap/>
            <w:vAlign w:val="bottom"/>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p>
        </w:tc>
        <w:tc>
          <w:tcPr>
            <w:tcW w:w="1181" w:type="dxa"/>
            <w:tcBorders>
              <w:top w:val="nil"/>
              <w:left w:val="nil"/>
              <w:bottom w:val="nil"/>
              <w:right w:val="single" w:sz="4" w:space="0" w:color="auto"/>
            </w:tcBorders>
            <w:shd w:val="clear" w:color="auto" w:fill="auto"/>
            <w:noWrap/>
            <w:vAlign w:val="bottom"/>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r w:rsidRPr="00D629EA">
              <w:rPr>
                <w:rFonts w:ascii="Calibri" w:hAnsi="Calibri" w:cs="Calibri"/>
                <w:sz w:val="22"/>
                <w:szCs w:val="22"/>
                <w:lang w:val="en-US"/>
              </w:rPr>
              <w:t> </w:t>
            </w:r>
          </w:p>
        </w:tc>
      </w:tr>
      <w:tr w:rsidR="00D629EA" w:rsidRPr="00D629EA" w:rsidTr="00D629EA">
        <w:trPr>
          <w:trHeight w:val="270"/>
        </w:trPr>
        <w:tc>
          <w:tcPr>
            <w:tcW w:w="3979" w:type="dxa"/>
            <w:gridSpan w:val="2"/>
            <w:tcBorders>
              <w:top w:val="nil"/>
              <w:left w:val="single" w:sz="4" w:space="0" w:color="auto"/>
              <w:bottom w:val="nil"/>
              <w:right w:val="nil"/>
            </w:tcBorders>
            <w:shd w:val="clear" w:color="000000" w:fill="FFFFFF"/>
            <w:noWrap/>
            <w:hideMark/>
          </w:tcPr>
          <w:p w:rsidR="00D629EA" w:rsidRPr="00D629EA" w:rsidRDefault="00D629EA" w:rsidP="00D629EA">
            <w:pPr>
              <w:overflowPunct/>
              <w:autoSpaceDE/>
              <w:autoSpaceDN/>
              <w:adjustRightInd/>
              <w:spacing w:line="240" w:lineRule="auto"/>
              <w:textAlignment w:val="auto"/>
              <w:rPr>
                <w:rFonts w:ascii="Calibri" w:hAnsi="Calibri" w:cs="Calibri"/>
                <w:sz w:val="22"/>
                <w:szCs w:val="22"/>
                <w:lang w:val="en-US"/>
              </w:rPr>
            </w:pPr>
            <w:r w:rsidRPr="00D629EA">
              <w:rPr>
                <w:rFonts w:ascii="Calibri" w:hAnsi="Calibri" w:cs="Calibri"/>
                <w:sz w:val="22"/>
                <w:szCs w:val="22"/>
                <w:lang w:val="en-US"/>
              </w:rPr>
              <w:t>Investment in other financial fixed assets</w:t>
            </w:r>
          </w:p>
        </w:tc>
        <w:tc>
          <w:tcPr>
            <w:tcW w:w="364" w:type="dxa"/>
            <w:tcBorders>
              <w:top w:val="nil"/>
              <w:left w:val="nil"/>
              <w:bottom w:val="nil"/>
              <w:right w:val="nil"/>
            </w:tcBorders>
            <w:shd w:val="clear" w:color="000000" w:fill="FFFFFF"/>
            <w:noWrap/>
            <w:vAlign w:val="bottom"/>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r w:rsidRPr="00D629EA">
              <w:rPr>
                <w:rFonts w:ascii="Calibri" w:hAnsi="Calibri" w:cs="Calibri"/>
                <w:sz w:val="22"/>
                <w:szCs w:val="22"/>
                <w:lang w:val="en-US"/>
              </w:rPr>
              <w:t> </w:t>
            </w:r>
          </w:p>
        </w:tc>
        <w:tc>
          <w:tcPr>
            <w:tcW w:w="1023" w:type="dxa"/>
            <w:tcBorders>
              <w:top w:val="nil"/>
              <w:left w:val="nil"/>
              <w:bottom w:val="single" w:sz="4" w:space="0" w:color="auto"/>
              <w:right w:val="nil"/>
            </w:tcBorders>
            <w:shd w:val="clear" w:color="000000" w:fill="FFFFFF"/>
            <w:noWrap/>
            <w:hideMark/>
          </w:tcPr>
          <w:p w:rsidR="00D629EA" w:rsidRPr="00D629EA" w:rsidRDefault="00D629EA" w:rsidP="00FE025A">
            <w:pPr>
              <w:overflowPunct/>
              <w:autoSpaceDE/>
              <w:autoSpaceDN/>
              <w:adjustRightInd/>
              <w:spacing w:line="240" w:lineRule="auto"/>
              <w:jc w:val="right"/>
              <w:textAlignment w:val="auto"/>
              <w:rPr>
                <w:rFonts w:ascii="Calibri" w:hAnsi="Calibri" w:cs="Calibri"/>
                <w:sz w:val="22"/>
                <w:szCs w:val="22"/>
                <w:lang w:val="en-US"/>
              </w:rPr>
            </w:pPr>
            <w:r w:rsidRPr="00D629EA">
              <w:rPr>
                <w:rFonts w:ascii="Calibri" w:hAnsi="Calibri" w:cs="Calibri"/>
                <w:sz w:val="22"/>
                <w:szCs w:val="22"/>
                <w:lang w:val="en-US"/>
              </w:rPr>
              <w:t xml:space="preserve"> </w:t>
            </w:r>
            <w:r w:rsidR="00961DFE">
              <w:rPr>
                <w:rFonts w:ascii="Calibri" w:hAnsi="Calibri" w:cs="Calibri"/>
                <w:sz w:val="22"/>
                <w:szCs w:val="22"/>
                <w:lang w:val="en-US"/>
              </w:rPr>
              <w:t>7</w:t>
            </w:r>
            <w:r w:rsidR="00FE025A">
              <w:rPr>
                <w:rFonts w:ascii="Calibri" w:hAnsi="Calibri" w:cs="Calibri"/>
                <w:sz w:val="22"/>
                <w:szCs w:val="22"/>
                <w:lang w:val="en-US"/>
              </w:rPr>
              <w:t>22’230</w:t>
            </w:r>
            <w:r w:rsidRPr="00D629EA">
              <w:rPr>
                <w:rFonts w:ascii="Calibri" w:hAnsi="Calibri" w:cs="Calibri"/>
                <w:sz w:val="22"/>
                <w:szCs w:val="22"/>
                <w:lang w:val="en-US"/>
              </w:rPr>
              <w:t xml:space="preserve"> </w:t>
            </w:r>
          </w:p>
        </w:tc>
        <w:tc>
          <w:tcPr>
            <w:tcW w:w="1207" w:type="dxa"/>
            <w:tcBorders>
              <w:top w:val="nil"/>
              <w:left w:val="nil"/>
              <w:bottom w:val="nil"/>
              <w:right w:val="nil"/>
            </w:tcBorders>
            <w:shd w:val="clear" w:color="000000" w:fill="FFFFFF"/>
            <w:noWrap/>
            <w:vAlign w:val="bottom"/>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r w:rsidRPr="00D629EA">
              <w:rPr>
                <w:rFonts w:ascii="Calibri" w:hAnsi="Calibri" w:cs="Calibri"/>
                <w:sz w:val="22"/>
                <w:szCs w:val="22"/>
                <w:lang w:val="en-US"/>
              </w:rPr>
              <w:t> </w:t>
            </w:r>
          </w:p>
        </w:tc>
        <w:tc>
          <w:tcPr>
            <w:tcW w:w="271" w:type="dxa"/>
            <w:tcBorders>
              <w:top w:val="nil"/>
              <w:left w:val="nil"/>
              <w:bottom w:val="nil"/>
              <w:right w:val="nil"/>
            </w:tcBorders>
            <w:shd w:val="clear" w:color="000000" w:fill="FFFFFF"/>
            <w:noWrap/>
            <w:vAlign w:val="bottom"/>
            <w:hideMark/>
          </w:tcPr>
          <w:p w:rsidR="00D629EA" w:rsidRPr="00D629EA" w:rsidRDefault="00D629EA" w:rsidP="00D629EA">
            <w:pPr>
              <w:overflowPunct/>
              <w:autoSpaceDE/>
              <w:autoSpaceDN/>
              <w:adjustRightInd/>
              <w:spacing w:line="240" w:lineRule="auto"/>
              <w:textAlignment w:val="auto"/>
              <w:rPr>
                <w:rFonts w:ascii="Calibri" w:hAnsi="Calibri" w:cs="Calibri"/>
                <w:sz w:val="22"/>
                <w:szCs w:val="22"/>
                <w:lang w:val="en-US"/>
              </w:rPr>
            </w:pPr>
            <w:r w:rsidRPr="00D629EA">
              <w:rPr>
                <w:rFonts w:ascii="Calibri" w:hAnsi="Calibri" w:cs="Calibri"/>
                <w:sz w:val="22"/>
                <w:szCs w:val="22"/>
                <w:lang w:val="en-US"/>
              </w:rPr>
              <w:t> </w:t>
            </w:r>
          </w:p>
        </w:tc>
        <w:tc>
          <w:tcPr>
            <w:tcW w:w="1162" w:type="dxa"/>
            <w:tcBorders>
              <w:top w:val="nil"/>
              <w:left w:val="nil"/>
              <w:bottom w:val="single" w:sz="4" w:space="0" w:color="auto"/>
              <w:right w:val="nil"/>
            </w:tcBorders>
            <w:shd w:val="clear" w:color="auto" w:fill="auto"/>
            <w:noWrap/>
            <w:vAlign w:val="bottom"/>
            <w:hideMark/>
          </w:tcPr>
          <w:p w:rsidR="00D629EA" w:rsidRPr="00D629EA" w:rsidRDefault="00D629EA" w:rsidP="00D629EA">
            <w:pPr>
              <w:overflowPunct/>
              <w:autoSpaceDE/>
              <w:autoSpaceDN/>
              <w:adjustRightInd/>
              <w:spacing w:line="240" w:lineRule="auto"/>
              <w:jc w:val="right"/>
              <w:textAlignment w:val="auto"/>
              <w:rPr>
                <w:rFonts w:ascii="Calibri" w:hAnsi="Calibri" w:cs="Calibri"/>
                <w:sz w:val="22"/>
                <w:szCs w:val="22"/>
                <w:lang w:val="en-US"/>
              </w:rPr>
            </w:pPr>
            <w:r w:rsidRPr="00D629EA">
              <w:rPr>
                <w:rFonts w:ascii="Calibri" w:hAnsi="Calibri" w:cs="Calibri"/>
                <w:sz w:val="22"/>
                <w:szCs w:val="22"/>
                <w:lang w:val="en-US"/>
              </w:rPr>
              <w:t xml:space="preserve">                     -   </w:t>
            </w:r>
          </w:p>
        </w:tc>
        <w:tc>
          <w:tcPr>
            <w:tcW w:w="1181" w:type="dxa"/>
            <w:tcBorders>
              <w:top w:val="nil"/>
              <w:left w:val="nil"/>
              <w:bottom w:val="nil"/>
              <w:right w:val="single" w:sz="4" w:space="0" w:color="auto"/>
            </w:tcBorders>
            <w:shd w:val="clear" w:color="auto" w:fill="auto"/>
            <w:noWrap/>
            <w:vAlign w:val="bottom"/>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r w:rsidRPr="00D629EA">
              <w:rPr>
                <w:rFonts w:ascii="Calibri" w:hAnsi="Calibri" w:cs="Calibri"/>
                <w:sz w:val="22"/>
                <w:szCs w:val="22"/>
                <w:lang w:val="en-US"/>
              </w:rPr>
              <w:t> </w:t>
            </w:r>
          </w:p>
        </w:tc>
      </w:tr>
      <w:tr w:rsidR="00D629EA" w:rsidRPr="00D629EA" w:rsidTr="00D629EA">
        <w:trPr>
          <w:trHeight w:val="270"/>
        </w:trPr>
        <w:tc>
          <w:tcPr>
            <w:tcW w:w="3295" w:type="dxa"/>
            <w:tcBorders>
              <w:top w:val="nil"/>
              <w:left w:val="single" w:sz="4" w:space="0" w:color="auto"/>
              <w:bottom w:val="nil"/>
              <w:right w:val="nil"/>
            </w:tcBorders>
            <w:shd w:val="clear" w:color="000000" w:fill="FFFFFF"/>
            <w:noWrap/>
            <w:hideMark/>
          </w:tcPr>
          <w:p w:rsidR="00D629EA" w:rsidRPr="00D629EA" w:rsidRDefault="00D629EA" w:rsidP="00D629EA">
            <w:pPr>
              <w:overflowPunct/>
              <w:autoSpaceDE/>
              <w:autoSpaceDN/>
              <w:adjustRightInd/>
              <w:spacing w:line="240" w:lineRule="auto"/>
              <w:textAlignment w:val="auto"/>
              <w:rPr>
                <w:rFonts w:ascii="Calibri" w:hAnsi="Calibri" w:cs="Calibri"/>
                <w:sz w:val="22"/>
                <w:szCs w:val="22"/>
                <w:lang w:val="en-US"/>
              </w:rPr>
            </w:pPr>
            <w:r w:rsidRPr="00D629EA">
              <w:rPr>
                <w:rFonts w:ascii="Calibri" w:hAnsi="Calibri" w:cs="Calibri"/>
                <w:sz w:val="22"/>
                <w:szCs w:val="22"/>
                <w:lang w:val="en-US"/>
              </w:rPr>
              <w:t>Cash flow from investing activities</w:t>
            </w:r>
          </w:p>
        </w:tc>
        <w:tc>
          <w:tcPr>
            <w:tcW w:w="684" w:type="dxa"/>
            <w:tcBorders>
              <w:top w:val="nil"/>
              <w:left w:val="nil"/>
              <w:bottom w:val="nil"/>
              <w:right w:val="nil"/>
            </w:tcBorders>
            <w:shd w:val="clear" w:color="000000" w:fill="FFFFFF"/>
            <w:noWrap/>
            <w:vAlign w:val="bottom"/>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r w:rsidRPr="00D629EA">
              <w:rPr>
                <w:rFonts w:ascii="Calibri" w:hAnsi="Calibri" w:cs="Calibri"/>
                <w:sz w:val="22"/>
                <w:szCs w:val="22"/>
                <w:lang w:val="en-US"/>
              </w:rPr>
              <w:t> </w:t>
            </w:r>
          </w:p>
        </w:tc>
        <w:tc>
          <w:tcPr>
            <w:tcW w:w="364" w:type="dxa"/>
            <w:tcBorders>
              <w:top w:val="nil"/>
              <w:left w:val="nil"/>
              <w:bottom w:val="nil"/>
              <w:right w:val="nil"/>
            </w:tcBorders>
            <w:shd w:val="clear" w:color="000000" w:fill="FFFFFF"/>
            <w:noWrap/>
            <w:vAlign w:val="bottom"/>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r w:rsidRPr="00D629EA">
              <w:rPr>
                <w:rFonts w:ascii="Calibri" w:hAnsi="Calibri" w:cs="Calibri"/>
                <w:sz w:val="22"/>
                <w:szCs w:val="22"/>
                <w:lang w:val="en-US"/>
              </w:rPr>
              <w:t> </w:t>
            </w:r>
          </w:p>
        </w:tc>
        <w:tc>
          <w:tcPr>
            <w:tcW w:w="1023" w:type="dxa"/>
            <w:tcBorders>
              <w:top w:val="nil"/>
              <w:left w:val="nil"/>
              <w:bottom w:val="nil"/>
              <w:right w:val="nil"/>
            </w:tcBorders>
            <w:shd w:val="clear" w:color="000000" w:fill="FFFFFF"/>
            <w:noWrap/>
            <w:vAlign w:val="bottom"/>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r w:rsidRPr="00D629EA">
              <w:rPr>
                <w:rFonts w:ascii="Calibri" w:hAnsi="Calibri" w:cs="Calibri"/>
                <w:sz w:val="22"/>
                <w:szCs w:val="22"/>
                <w:lang w:val="en-US"/>
              </w:rPr>
              <w:t> </w:t>
            </w:r>
          </w:p>
        </w:tc>
        <w:tc>
          <w:tcPr>
            <w:tcW w:w="1207" w:type="dxa"/>
            <w:tcBorders>
              <w:top w:val="nil"/>
              <w:left w:val="nil"/>
              <w:bottom w:val="nil"/>
              <w:right w:val="nil"/>
            </w:tcBorders>
            <w:shd w:val="clear" w:color="000000" w:fill="FFFFFF"/>
            <w:noWrap/>
            <w:hideMark/>
          </w:tcPr>
          <w:p w:rsidR="00D629EA" w:rsidRPr="00D629EA" w:rsidRDefault="00D629EA" w:rsidP="00D629EA">
            <w:pPr>
              <w:overflowPunct/>
              <w:autoSpaceDE/>
              <w:autoSpaceDN/>
              <w:adjustRightInd/>
              <w:spacing w:line="240" w:lineRule="auto"/>
              <w:jc w:val="right"/>
              <w:textAlignment w:val="auto"/>
              <w:rPr>
                <w:rFonts w:ascii="Calibri" w:hAnsi="Calibri" w:cs="Calibri"/>
                <w:sz w:val="22"/>
                <w:szCs w:val="22"/>
                <w:lang w:val="en-US"/>
              </w:rPr>
            </w:pPr>
            <w:r w:rsidRPr="00D629EA">
              <w:rPr>
                <w:rFonts w:ascii="Calibri" w:hAnsi="Calibri" w:cs="Calibri"/>
                <w:sz w:val="22"/>
                <w:szCs w:val="22"/>
                <w:lang w:val="en-US"/>
              </w:rPr>
              <w:t xml:space="preserve"> </w:t>
            </w:r>
            <w:r w:rsidR="000104B8" w:rsidRPr="00D629EA">
              <w:rPr>
                <w:rFonts w:ascii="Calibri" w:hAnsi="Calibri" w:cs="Calibri"/>
                <w:sz w:val="22"/>
                <w:szCs w:val="22"/>
                <w:lang w:val="en-US"/>
              </w:rPr>
              <w:t xml:space="preserve"> </w:t>
            </w:r>
            <w:r w:rsidR="000104B8">
              <w:rPr>
                <w:rFonts w:ascii="Calibri" w:hAnsi="Calibri" w:cs="Calibri"/>
                <w:sz w:val="22"/>
                <w:szCs w:val="22"/>
                <w:lang w:val="en-US"/>
              </w:rPr>
              <w:t>722’230</w:t>
            </w:r>
          </w:p>
        </w:tc>
        <w:tc>
          <w:tcPr>
            <w:tcW w:w="271" w:type="dxa"/>
            <w:tcBorders>
              <w:top w:val="nil"/>
              <w:left w:val="nil"/>
              <w:bottom w:val="nil"/>
              <w:right w:val="nil"/>
            </w:tcBorders>
            <w:shd w:val="clear" w:color="000000" w:fill="FFFFFF"/>
            <w:noWrap/>
            <w:vAlign w:val="bottom"/>
            <w:hideMark/>
          </w:tcPr>
          <w:p w:rsidR="00D629EA" w:rsidRPr="00D629EA" w:rsidRDefault="00D629EA" w:rsidP="00D629EA">
            <w:pPr>
              <w:overflowPunct/>
              <w:autoSpaceDE/>
              <w:autoSpaceDN/>
              <w:adjustRightInd/>
              <w:spacing w:line="240" w:lineRule="auto"/>
              <w:textAlignment w:val="auto"/>
              <w:rPr>
                <w:rFonts w:ascii="Calibri" w:hAnsi="Calibri" w:cs="Calibri"/>
                <w:sz w:val="22"/>
                <w:szCs w:val="22"/>
                <w:lang w:val="en-US"/>
              </w:rPr>
            </w:pPr>
            <w:r w:rsidRPr="00D629EA">
              <w:rPr>
                <w:rFonts w:ascii="Calibri" w:hAnsi="Calibri" w:cs="Calibri"/>
                <w:sz w:val="22"/>
                <w:szCs w:val="22"/>
                <w:lang w:val="en-US"/>
              </w:rPr>
              <w:t> </w:t>
            </w:r>
          </w:p>
        </w:tc>
        <w:tc>
          <w:tcPr>
            <w:tcW w:w="1162" w:type="dxa"/>
            <w:tcBorders>
              <w:top w:val="nil"/>
              <w:left w:val="nil"/>
              <w:bottom w:val="nil"/>
              <w:right w:val="nil"/>
            </w:tcBorders>
            <w:shd w:val="clear" w:color="auto" w:fill="auto"/>
            <w:noWrap/>
            <w:vAlign w:val="bottom"/>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p>
        </w:tc>
        <w:tc>
          <w:tcPr>
            <w:tcW w:w="1181" w:type="dxa"/>
            <w:tcBorders>
              <w:top w:val="nil"/>
              <w:left w:val="nil"/>
              <w:bottom w:val="nil"/>
              <w:right w:val="single" w:sz="4" w:space="0" w:color="auto"/>
            </w:tcBorders>
            <w:shd w:val="clear" w:color="auto" w:fill="auto"/>
            <w:noWrap/>
            <w:vAlign w:val="bottom"/>
            <w:hideMark/>
          </w:tcPr>
          <w:p w:rsidR="00D629EA" w:rsidRPr="00D629EA" w:rsidRDefault="00D629EA" w:rsidP="00D629EA">
            <w:pPr>
              <w:overflowPunct/>
              <w:autoSpaceDE/>
              <w:autoSpaceDN/>
              <w:adjustRightInd/>
              <w:spacing w:line="240" w:lineRule="auto"/>
              <w:jc w:val="right"/>
              <w:textAlignment w:val="auto"/>
              <w:rPr>
                <w:rFonts w:ascii="Calibri" w:hAnsi="Calibri" w:cs="Calibri"/>
                <w:sz w:val="22"/>
                <w:szCs w:val="22"/>
                <w:lang w:val="en-US"/>
              </w:rPr>
            </w:pPr>
            <w:r w:rsidRPr="00D629EA">
              <w:rPr>
                <w:rFonts w:ascii="Calibri" w:hAnsi="Calibri" w:cs="Calibri"/>
                <w:sz w:val="22"/>
                <w:szCs w:val="22"/>
                <w:lang w:val="en-US"/>
              </w:rPr>
              <w:t xml:space="preserve">                     -   </w:t>
            </w:r>
          </w:p>
        </w:tc>
      </w:tr>
      <w:tr w:rsidR="00D629EA" w:rsidRPr="00D629EA" w:rsidTr="00D629EA">
        <w:trPr>
          <w:trHeight w:val="270"/>
        </w:trPr>
        <w:tc>
          <w:tcPr>
            <w:tcW w:w="3295" w:type="dxa"/>
            <w:tcBorders>
              <w:top w:val="nil"/>
              <w:left w:val="single" w:sz="4" w:space="0" w:color="auto"/>
              <w:bottom w:val="nil"/>
              <w:right w:val="nil"/>
            </w:tcBorders>
            <w:shd w:val="clear" w:color="000000" w:fill="FFFFFF"/>
            <w:noWrap/>
            <w:hideMark/>
          </w:tcPr>
          <w:p w:rsidR="00D629EA" w:rsidRPr="00D629EA" w:rsidRDefault="00D629EA" w:rsidP="00D629EA">
            <w:pPr>
              <w:overflowPunct/>
              <w:autoSpaceDE/>
              <w:autoSpaceDN/>
              <w:adjustRightInd/>
              <w:spacing w:line="240" w:lineRule="auto"/>
              <w:textAlignment w:val="auto"/>
              <w:rPr>
                <w:rFonts w:ascii="Calibri" w:hAnsi="Calibri" w:cs="Calibri"/>
                <w:sz w:val="22"/>
                <w:szCs w:val="22"/>
                <w:lang w:val="en-US"/>
              </w:rPr>
            </w:pPr>
            <w:r w:rsidRPr="00D629EA">
              <w:rPr>
                <w:rFonts w:ascii="Calibri" w:hAnsi="Calibri" w:cs="Calibri"/>
                <w:sz w:val="22"/>
                <w:szCs w:val="22"/>
                <w:lang w:val="en-US"/>
              </w:rPr>
              <w:t> </w:t>
            </w:r>
          </w:p>
        </w:tc>
        <w:tc>
          <w:tcPr>
            <w:tcW w:w="684" w:type="dxa"/>
            <w:tcBorders>
              <w:top w:val="nil"/>
              <w:left w:val="nil"/>
              <w:bottom w:val="nil"/>
              <w:right w:val="nil"/>
            </w:tcBorders>
            <w:shd w:val="clear" w:color="000000" w:fill="FFFFFF"/>
            <w:noWrap/>
            <w:vAlign w:val="bottom"/>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r w:rsidRPr="00D629EA">
              <w:rPr>
                <w:rFonts w:ascii="Calibri" w:hAnsi="Calibri" w:cs="Calibri"/>
                <w:sz w:val="22"/>
                <w:szCs w:val="22"/>
                <w:lang w:val="en-US"/>
              </w:rPr>
              <w:t> </w:t>
            </w:r>
          </w:p>
        </w:tc>
        <w:tc>
          <w:tcPr>
            <w:tcW w:w="364" w:type="dxa"/>
            <w:tcBorders>
              <w:top w:val="nil"/>
              <w:left w:val="nil"/>
              <w:bottom w:val="nil"/>
              <w:right w:val="nil"/>
            </w:tcBorders>
            <w:shd w:val="clear" w:color="000000" w:fill="FFFFFF"/>
            <w:noWrap/>
            <w:vAlign w:val="bottom"/>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r w:rsidRPr="00D629EA">
              <w:rPr>
                <w:rFonts w:ascii="Calibri" w:hAnsi="Calibri" w:cs="Calibri"/>
                <w:sz w:val="22"/>
                <w:szCs w:val="22"/>
                <w:lang w:val="en-US"/>
              </w:rPr>
              <w:t> </w:t>
            </w:r>
          </w:p>
        </w:tc>
        <w:tc>
          <w:tcPr>
            <w:tcW w:w="1023" w:type="dxa"/>
            <w:tcBorders>
              <w:top w:val="nil"/>
              <w:left w:val="nil"/>
              <w:bottom w:val="nil"/>
              <w:right w:val="nil"/>
            </w:tcBorders>
            <w:shd w:val="clear" w:color="000000" w:fill="FFFFFF"/>
            <w:noWrap/>
            <w:vAlign w:val="bottom"/>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r w:rsidRPr="00D629EA">
              <w:rPr>
                <w:rFonts w:ascii="Calibri" w:hAnsi="Calibri" w:cs="Calibri"/>
                <w:sz w:val="22"/>
                <w:szCs w:val="22"/>
                <w:lang w:val="en-US"/>
              </w:rPr>
              <w:t> </w:t>
            </w:r>
          </w:p>
        </w:tc>
        <w:tc>
          <w:tcPr>
            <w:tcW w:w="1207" w:type="dxa"/>
            <w:tcBorders>
              <w:top w:val="nil"/>
              <w:left w:val="nil"/>
              <w:bottom w:val="nil"/>
              <w:right w:val="nil"/>
            </w:tcBorders>
            <w:shd w:val="clear" w:color="000000" w:fill="FFFFFF"/>
            <w:noWrap/>
            <w:vAlign w:val="bottom"/>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r w:rsidRPr="00D629EA">
              <w:rPr>
                <w:rFonts w:ascii="Calibri" w:hAnsi="Calibri" w:cs="Calibri"/>
                <w:sz w:val="22"/>
                <w:szCs w:val="22"/>
                <w:lang w:val="en-US"/>
              </w:rPr>
              <w:t> </w:t>
            </w:r>
          </w:p>
        </w:tc>
        <w:tc>
          <w:tcPr>
            <w:tcW w:w="271" w:type="dxa"/>
            <w:tcBorders>
              <w:top w:val="nil"/>
              <w:left w:val="nil"/>
              <w:bottom w:val="nil"/>
              <w:right w:val="nil"/>
            </w:tcBorders>
            <w:shd w:val="clear" w:color="000000" w:fill="FFFFFF"/>
            <w:noWrap/>
            <w:vAlign w:val="bottom"/>
            <w:hideMark/>
          </w:tcPr>
          <w:p w:rsidR="00D629EA" w:rsidRPr="00D629EA" w:rsidRDefault="00D629EA" w:rsidP="00D629EA">
            <w:pPr>
              <w:overflowPunct/>
              <w:autoSpaceDE/>
              <w:autoSpaceDN/>
              <w:adjustRightInd/>
              <w:spacing w:line="240" w:lineRule="auto"/>
              <w:textAlignment w:val="auto"/>
              <w:rPr>
                <w:rFonts w:ascii="Calibri" w:hAnsi="Calibri" w:cs="Calibri"/>
                <w:sz w:val="22"/>
                <w:szCs w:val="22"/>
                <w:lang w:val="en-US"/>
              </w:rPr>
            </w:pPr>
            <w:r w:rsidRPr="00D629EA">
              <w:rPr>
                <w:rFonts w:ascii="Calibri" w:hAnsi="Calibri" w:cs="Calibri"/>
                <w:sz w:val="22"/>
                <w:szCs w:val="22"/>
                <w:lang w:val="en-US"/>
              </w:rPr>
              <w:t> </w:t>
            </w:r>
          </w:p>
        </w:tc>
        <w:tc>
          <w:tcPr>
            <w:tcW w:w="1162" w:type="dxa"/>
            <w:tcBorders>
              <w:top w:val="nil"/>
              <w:left w:val="nil"/>
              <w:bottom w:val="nil"/>
              <w:right w:val="nil"/>
            </w:tcBorders>
            <w:shd w:val="clear" w:color="auto" w:fill="auto"/>
            <w:noWrap/>
            <w:vAlign w:val="bottom"/>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p>
        </w:tc>
        <w:tc>
          <w:tcPr>
            <w:tcW w:w="1181" w:type="dxa"/>
            <w:tcBorders>
              <w:top w:val="nil"/>
              <w:left w:val="nil"/>
              <w:bottom w:val="nil"/>
              <w:right w:val="single" w:sz="4" w:space="0" w:color="auto"/>
            </w:tcBorders>
            <w:shd w:val="clear" w:color="auto" w:fill="auto"/>
            <w:noWrap/>
            <w:vAlign w:val="bottom"/>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r w:rsidRPr="00D629EA">
              <w:rPr>
                <w:rFonts w:ascii="Calibri" w:hAnsi="Calibri" w:cs="Calibri"/>
                <w:sz w:val="22"/>
                <w:szCs w:val="22"/>
                <w:lang w:val="en-US"/>
              </w:rPr>
              <w:t> </w:t>
            </w:r>
          </w:p>
        </w:tc>
      </w:tr>
      <w:tr w:rsidR="00D629EA" w:rsidRPr="00D629EA" w:rsidTr="00D629EA">
        <w:trPr>
          <w:trHeight w:val="270"/>
        </w:trPr>
        <w:tc>
          <w:tcPr>
            <w:tcW w:w="3295" w:type="dxa"/>
            <w:tcBorders>
              <w:top w:val="nil"/>
              <w:left w:val="single" w:sz="4" w:space="0" w:color="auto"/>
              <w:bottom w:val="nil"/>
              <w:right w:val="nil"/>
            </w:tcBorders>
            <w:shd w:val="clear" w:color="000000" w:fill="FFFFFF"/>
            <w:noWrap/>
            <w:hideMark/>
          </w:tcPr>
          <w:p w:rsidR="00D629EA" w:rsidRPr="00D629EA" w:rsidRDefault="00D629EA" w:rsidP="00D629EA">
            <w:pPr>
              <w:overflowPunct/>
              <w:autoSpaceDE/>
              <w:autoSpaceDN/>
              <w:adjustRightInd/>
              <w:spacing w:line="240" w:lineRule="auto"/>
              <w:textAlignment w:val="auto"/>
              <w:rPr>
                <w:rFonts w:ascii="Calibri" w:hAnsi="Calibri" w:cs="Calibri"/>
                <w:b/>
                <w:bCs/>
                <w:sz w:val="22"/>
                <w:szCs w:val="22"/>
                <w:lang w:val="en-US"/>
              </w:rPr>
            </w:pPr>
            <w:r w:rsidRPr="00D629EA">
              <w:rPr>
                <w:rFonts w:ascii="Calibri" w:hAnsi="Calibri" w:cs="Calibri"/>
                <w:b/>
                <w:bCs/>
                <w:sz w:val="22"/>
                <w:szCs w:val="22"/>
                <w:lang w:val="en-US"/>
              </w:rPr>
              <w:t>Cash flow from financing activities</w:t>
            </w:r>
          </w:p>
        </w:tc>
        <w:tc>
          <w:tcPr>
            <w:tcW w:w="684" w:type="dxa"/>
            <w:tcBorders>
              <w:top w:val="nil"/>
              <w:left w:val="nil"/>
              <w:bottom w:val="nil"/>
              <w:right w:val="nil"/>
            </w:tcBorders>
            <w:shd w:val="clear" w:color="000000" w:fill="FFFFFF"/>
            <w:noWrap/>
            <w:vAlign w:val="bottom"/>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r w:rsidRPr="00D629EA">
              <w:rPr>
                <w:rFonts w:ascii="Calibri" w:hAnsi="Calibri" w:cs="Calibri"/>
                <w:sz w:val="22"/>
                <w:szCs w:val="22"/>
                <w:lang w:val="en-US"/>
              </w:rPr>
              <w:t> </w:t>
            </w:r>
          </w:p>
        </w:tc>
        <w:tc>
          <w:tcPr>
            <w:tcW w:w="364" w:type="dxa"/>
            <w:tcBorders>
              <w:top w:val="nil"/>
              <w:left w:val="nil"/>
              <w:bottom w:val="nil"/>
              <w:right w:val="nil"/>
            </w:tcBorders>
            <w:shd w:val="clear" w:color="000000" w:fill="FFFFFF"/>
            <w:noWrap/>
            <w:vAlign w:val="bottom"/>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r w:rsidRPr="00D629EA">
              <w:rPr>
                <w:rFonts w:ascii="Calibri" w:hAnsi="Calibri" w:cs="Calibri"/>
                <w:sz w:val="22"/>
                <w:szCs w:val="22"/>
                <w:lang w:val="en-US"/>
              </w:rPr>
              <w:t> </w:t>
            </w:r>
          </w:p>
        </w:tc>
        <w:tc>
          <w:tcPr>
            <w:tcW w:w="1023" w:type="dxa"/>
            <w:tcBorders>
              <w:top w:val="nil"/>
              <w:left w:val="nil"/>
              <w:bottom w:val="nil"/>
              <w:right w:val="nil"/>
            </w:tcBorders>
            <w:shd w:val="clear" w:color="000000" w:fill="FFFFFF"/>
            <w:noWrap/>
            <w:vAlign w:val="bottom"/>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r w:rsidRPr="00D629EA">
              <w:rPr>
                <w:rFonts w:ascii="Calibri" w:hAnsi="Calibri" w:cs="Calibri"/>
                <w:sz w:val="22"/>
                <w:szCs w:val="22"/>
                <w:lang w:val="en-US"/>
              </w:rPr>
              <w:t> </w:t>
            </w:r>
          </w:p>
        </w:tc>
        <w:tc>
          <w:tcPr>
            <w:tcW w:w="1207" w:type="dxa"/>
            <w:tcBorders>
              <w:top w:val="nil"/>
              <w:left w:val="nil"/>
              <w:bottom w:val="nil"/>
              <w:right w:val="nil"/>
            </w:tcBorders>
            <w:shd w:val="clear" w:color="000000" w:fill="FFFFFF"/>
            <w:noWrap/>
            <w:vAlign w:val="bottom"/>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r w:rsidRPr="00D629EA">
              <w:rPr>
                <w:rFonts w:ascii="Calibri" w:hAnsi="Calibri" w:cs="Calibri"/>
                <w:sz w:val="22"/>
                <w:szCs w:val="22"/>
                <w:lang w:val="en-US"/>
              </w:rPr>
              <w:t> </w:t>
            </w:r>
          </w:p>
        </w:tc>
        <w:tc>
          <w:tcPr>
            <w:tcW w:w="271" w:type="dxa"/>
            <w:tcBorders>
              <w:top w:val="nil"/>
              <w:left w:val="nil"/>
              <w:bottom w:val="nil"/>
              <w:right w:val="nil"/>
            </w:tcBorders>
            <w:shd w:val="clear" w:color="000000" w:fill="FFFFFF"/>
            <w:noWrap/>
            <w:vAlign w:val="bottom"/>
            <w:hideMark/>
          </w:tcPr>
          <w:p w:rsidR="00D629EA" w:rsidRPr="00D629EA" w:rsidRDefault="00D629EA" w:rsidP="00D629EA">
            <w:pPr>
              <w:overflowPunct/>
              <w:autoSpaceDE/>
              <w:autoSpaceDN/>
              <w:adjustRightInd/>
              <w:spacing w:line="240" w:lineRule="auto"/>
              <w:textAlignment w:val="auto"/>
              <w:rPr>
                <w:rFonts w:ascii="Calibri" w:hAnsi="Calibri" w:cs="Calibri"/>
                <w:sz w:val="22"/>
                <w:szCs w:val="22"/>
                <w:lang w:val="en-US"/>
              </w:rPr>
            </w:pPr>
            <w:r w:rsidRPr="00D629EA">
              <w:rPr>
                <w:rFonts w:ascii="Calibri" w:hAnsi="Calibri" w:cs="Calibri"/>
                <w:sz w:val="22"/>
                <w:szCs w:val="22"/>
                <w:lang w:val="en-US"/>
              </w:rPr>
              <w:t> </w:t>
            </w:r>
          </w:p>
        </w:tc>
        <w:tc>
          <w:tcPr>
            <w:tcW w:w="1162" w:type="dxa"/>
            <w:tcBorders>
              <w:top w:val="nil"/>
              <w:left w:val="nil"/>
              <w:bottom w:val="nil"/>
              <w:right w:val="nil"/>
            </w:tcBorders>
            <w:shd w:val="clear" w:color="auto" w:fill="auto"/>
            <w:noWrap/>
            <w:vAlign w:val="bottom"/>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p>
        </w:tc>
        <w:tc>
          <w:tcPr>
            <w:tcW w:w="1181" w:type="dxa"/>
            <w:tcBorders>
              <w:top w:val="nil"/>
              <w:left w:val="nil"/>
              <w:bottom w:val="nil"/>
              <w:right w:val="single" w:sz="4" w:space="0" w:color="auto"/>
            </w:tcBorders>
            <w:shd w:val="clear" w:color="auto" w:fill="auto"/>
            <w:noWrap/>
            <w:vAlign w:val="bottom"/>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r w:rsidRPr="00D629EA">
              <w:rPr>
                <w:rFonts w:ascii="Calibri" w:hAnsi="Calibri" w:cs="Calibri"/>
                <w:sz w:val="22"/>
                <w:szCs w:val="22"/>
                <w:lang w:val="en-US"/>
              </w:rPr>
              <w:t> </w:t>
            </w:r>
          </w:p>
        </w:tc>
      </w:tr>
      <w:tr w:rsidR="00D629EA" w:rsidRPr="00D629EA" w:rsidTr="00D629EA">
        <w:trPr>
          <w:trHeight w:val="270"/>
        </w:trPr>
        <w:tc>
          <w:tcPr>
            <w:tcW w:w="3295" w:type="dxa"/>
            <w:tcBorders>
              <w:top w:val="nil"/>
              <w:left w:val="single" w:sz="4" w:space="0" w:color="auto"/>
              <w:bottom w:val="nil"/>
              <w:right w:val="nil"/>
            </w:tcBorders>
            <w:shd w:val="clear" w:color="000000" w:fill="FFFFFF"/>
            <w:noWrap/>
            <w:hideMark/>
          </w:tcPr>
          <w:p w:rsidR="00D629EA" w:rsidRPr="00D629EA" w:rsidRDefault="00D629EA" w:rsidP="00D629EA">
            <w:pPr>
              <w:overflowPunct/>
              <w:autoSpaceDE/>
              <w:autoSpaceDN/>
              <w:adjustRightInd/>
              <w:spacing w:line="240" w:lineRule="auto"/>
              <w:textAlignment w:val="auto"/>
              <w:rPr>
                <w:rFonts w:ascii="Calibri" w:hAnsi="Calibri" w:cs="Calibri"/>
                <w:sz w:val="22"/>
                <w:szCs w:val="22"/>
                <w:lang w:val="en-US"/>
              </w:rPr>
            </w:pPr>
            <w:r w:rsidRPr="00D629EA">
              <w:rPr>
                <w:rFonts w:ascii="Calibri" w:hAnsi="Calibri" w:cs="Calibri"/>
                <w:sz w:val="22"/>
                <w:szCs w:val="22"/>
                <w:lang w:val="en-US"/>
              </w:rPr>
              <w:t>Proceeds from long-term liabilities</w:t>
            </w:r>
          </w:p>
        </w:tc>
        <w:tc>
          <w:tcPr>
            <w:tcW w:w="684" w:type="dxa"/>
            <w:tcBorders>
              <w:top w:val="nil"/>
              <w:left w:val="nil"/>
              <w:bottom w:val="nil"/>
              <w:right w:val="nil"/>
            </w:tcBorders>
            <w:shd w:val="clear" w:color="000000" w:fill="FFFFFF"/>
            <w:noWrap/>
            <w:vAlign w:val="bottom"/>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r w:rsidRPr="00D629EA">
              <w:rPr>
                <w:rFonts w:ascii="Calibri" w:hAnsi="Calibri" w:cs="Calibri"/>
                <w:sz w:val="22"/>
                <w:szCs w:val="22"/>
                <w:lang w:val="en-US"/>
              </w:rPr>
              <w:t> </w:t>
            </w:r>
          </w:p>
        </w:tc>
        <w:tc>
          <w:tcPr>
            <w:tcW w:w="364" w:type="dxa"/>
            <w:tcBorders>
              <w:top w:val="nil"/>
              <w:left w:val="nil"/>
              <w:bottom w:val="nil"/>
              <w:right w:val="nil"/>
            </w:tcBorders>
            <w:shd w:val="clear" w:color="000000" w:fill="FFFFFF"/>
            <w:noWrap/>
            <w:vAlign w:val="bottom"/>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r w:rsidRPr="00D629EA">
              <w:rPr>
                <w:rFonts w:ascii="Calibri" w:hAnsi="Calibri" w:cs="Calibri"/>
                <w:sz w:val="22"/>
                <w:szCs w:val="22"/>
                <w:lang w:val="en-US"/>
              </w:rPr>
              <w:t> </w:t>
            </w:r>
          </w:p>
        </w:tc>
        <w:tc>
          <w:tcPr>
            <w:tcW w:w="1023" w:type="dxa"/>
            <w:tcBorders>
              <w:top w:val="nil"/>
              <w:left w:val="nil"/>
              <w:bottom w:val="single" w:sz="4" w:space="0" w:color="auto"/>
              <w:right w:val="nil"/>
            </w:tcBorders>
            <w:shd w:val="clear" w:color="000000" w:fill="FFFFFF"/>
            <w:noWrap/>
            <w:hideMark/>
          </w:tcPr>
          <w:p w:rsidR="00D629EA" w:rsidRPr="00D629EA" w:rsidRDefault="00D629EA" w:rsidP="00FE025A">
            <w:pPr>
              <w:overflowPunct/>
              <w:autoSpaceDE/>
              <w:autoSpaceDN/>
              <w:adjustRightInd/>
              <w:spacing w:line="240" w:lineRule="auto"/>
              <w:jc w:val="right"/>
              <w:textAlignment w:val="auto"/>
              <w:rPr>
                <w:rFonts w:ascii="Calibri" w:hAnsi="Calibri" w:cs="Calibri"/>
                <w:sz w:val="22"/>
                <w:szCs w:val="22"/>
                <w:lang w:val="en-US"/>
              </w:rPr>
            </w:pPr>
            <w:r w:rsidRPr="00D629EA">
              <w:rPr>
                <w:rFonts w:ascii="Calibri" w:hAnsi="Calibri" w:cs="Calibri"/>
                <w:sz w:val="22"/>
                <w:szCs w:val="22"/>
                <w:lang w:val="en-US"/>
              </w:rPr>
              <w:t xml:space="preserve"> </w:t>
            </w:r>
            <w:r w:rsidR="000104B8">
              <w:rPr>
                <w:rFonts w:ascii="Calibri" w:hAnsi="Calibri" w:cs="Calibri"/>
                <w:sz w:val="22"/>
                <w:szCs w:val="22"/>
                <w:lang w:val="en-US"/>
              </w:rPr>
              <w:t>(</w:t>
            </w:r>
            <w:r w:rsidR="00961DFE">
              <w:rPr>
                <w:rFonts w:ascii="Calibri" w:hAnsi="Calibri" w:cs="Calibri"/>
                <w:sz w:val="22"/>
                <w:szCs w:val="22"/>
                <w:lang w:val="en-US"/>
              </w:rPr>
              <w:t>7</w:t>
            </w:r>
            <w:r w:rsidR="00FE025A">
              <w:rPr>
                <w:rFonts w:ascii="Calibri" w:hAnsi="Calibri" w:cs="Calibri"/>
                <w:sz w:val="22"/>
                <w:szCs w:val="22"/>
                <w:lang w:val="en-US"/>
              </w:rPr>
              <w:t>2</w:t>
            </w:r>
            <w:r w:rsidR="00096CEE">
              <w:rPr>
                <w:rFonts w:ascii="Calibri" w:hAnsi="Calibri" w:cs="Calibri"/>
                <w:sz w:val="22"/>
                <w:szCs w:val="22"/>
                <w:lang w:val="en-US"/>
              </w:rPr>
              <w:t>2’</w:t>
            </w:r>
            <w:r w:rsidR="00FE025A">
              <w:rPr>
                <w:rFonts w:ascii="Calibri" w:hAnsi="Calibri" w:cs="Calibri"/>
                <w:sz w:val="22"/>
                <w:szCs w:val="22"/>
                <w:lang w:val="en-US"/>
              </w:rPr>
              <w:t>230</w:t>
            </w:r>
            <w:r w:rsidRPr="00D629EA">
              <w:rPr>
                <w:rFonts w:ascii="Calibri" w:hAnsi="Calibri" w:cs="Calibri"/>
                <w:sz w:val="22"/>
                <w:szCs w:val="22"/>
                <w:lang w:val="en-US"/>
              </w:rPr>
              <w:t>)</w:t>
            </w:r>
          </w:p>
        </w:tc>
        <w:tc>
          <w:tcPr>
            <w:tcW w:w="1207" w:type="dxa"/>
            <w:tcBorders>
              <w:top w:val="nil"/>
              <w:left w:val="nil"/>
              <w:bottom w:val="nil"/>
              <w:right w:val="nil"/>
            </w:tcBorders>
            <w:shd w:val="clear" w:color="000000" w:fill="FFFFFF"/>
            <w:noWrap/>
            <w:vAlign w:val="bottom"/>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r w:rsidRPr="00D629EA">
              <w:rPr>
                <w:rFonts w:ascii="Calibri" w:hAnsi="Calibri" w:cs="Calibri"/>
                <w:sz w:val="22"/>
                <w:szCs w:val="22"/>
                <w:lang w:val="en-US"/>
              </w:rPr>
              <w:t> </w:t>
            </w:r>
          </w:p>
        </w:tc>
        <w:tc>
          <w:tcPr>
            <w:tcW w:w="271" w:type="dxa"/>
            <w:tcBorders>
              <w:top w:val="nil"/>
              <w:left w:val="nil"/>
              <w:bottom w:val="nil"/>
              <w:right w:val="nil"/>
            </w:tcBorders>
            <w:shd w:val="clear" w:color="000000" w:fill="FFFFFF"/>
            <w:noWrap/>
            <w:vAlign w:val="bottom"/>
            <w:hideMark/>
          </w:tcPr>
          <w:p w:rsidR="00D629EA" w:rsidRPr="00D629EA" w:rsidRDefault="00D629EA" w:rsidP="00D629EA">
            <w:pPr>
              <w:overflowPunct/>
              <w:autoSpaceDE/>
              <w:autoSpaceDN/>
              <w:adjustRightInd/>
              <w:spacing w:line="240" w:lineRule="auto"/>
              <w:textAlignment w:val="auto"/>
              <w:rPr>
                <w:rFonts w:ascii="Calibri" w:hAnsi="Calibri" w:cs="Calibri"/>
                <w:sz w:val="22"/>
                <w:szCs w:val="22"/>
                <w:lang w:val="en-US"/>
              </w:rPr>
            </w:pPr>
            <w:r w:rsidRPr="00D629EA">
              <w:rPr>
                <w:rFonts w:ascii="Calibri" w:hAnsi="Calibri" w:cs="Calibri"/>
                <w:sz w:val="22"/>
                <w:szCs w:val="22"/>
                <w:lang w:val="en-US"/>
              </w:rPr>
              <w:t> </w:t>
            </w:r>
          </w:p>
        </w:tc>
        <w:tc>
          <w:tcPr>
            <w:tcW w:w="1162" w:type="dxa"/>
            <w:tcBorders>
              <w:top w:val="nil"/>
              <w:left w:val="nil"/>
              <w:bottom w:val="single" w:sz="4" w:space="0" w:color="auto"/>
              <w:right w:val="nil"/>
            </w:tcBorders>
            <w:shd w:val="clear" w:color="auto" w:fill="auto"/>
            <w:noWrap/>
            <w:vAlign w:val="bottom"/>
            <w:hideMark/>
          </w:tcPr>
          <w:p w:rsidR="00D629EA" w:rsidRPr="00D629EA" w:rsidRDefault="00D629EA" w:rsidP="00D629EA">
            <w:pPr>
              <w:overflowPunct/>
              <w:autoSpaceDE/>
              <w:autoSpaceDN/>
              <w:adjustRightInd/>
              <w:spacing w:line="240" w:lineRule="auto"/>
              <w:jc w:val="right"/>
              <w:textAlignment w:val="auto"/>
              <w:rPr>
                <w:rFonts w:ascii="Calibri" w:hAnsi="Calibri" w:cs="Calibri"/>
                <w:sz w:val="22"/>
                <w:szCs w:val="22"/>
                <w:lang w:val="en-US"/>
              </w:rPr>
            </w:pPr>
            <w:r w:rsidRPr="00D629EA">
              <w:rPr>
                <w:rFonts w:ascii="Calibri" w:hAnsi="Calibri" w:cs="Calibri"/>
                <w:sz w:val="22"/>
                <w:szCs w:val="22"/>
                <w:lang w:val="en-US"/>
              </w:rPr>
              <w:t xml:space="preserve">                     -   </w:t>
            </w:r>
          </w:p>
        </w:tc>
        <w:tc>
          <w:tcPr>
            <w:tcW w:w="1181" w:type="dxa"/>
            <w:tcBorders>
              <w:top w:val="nil"/>
              <w:left w:val="nil"/>
              <w:bottom w:val="nil"/>
              <w:right w:val="single" w:sz="4" w:space="0" w:color="auto"/>
            </w:tcBorders>
            <w:shd w:val="clear" w:color="auto" w:fill="auto"/>
            <w:noWrap/>
            <w:vAlign w:val="bottom"/>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r w:rsidRPr="00D629EA">
              <w:rPr>
                <w:rFonts w:ascii="Calibri" w:hAnsi="Calibri" w:cs="Calibri"/>
                <w:sz w:val="22"/>
                <w:szCs w:val="22"/>
                <w:lang w:val="en-US"/>
              </w:rPr>
              <w:t> </w:t>
            </w:r>
          </w:p>
        </w:tc>
      </w:tr>
      <w:tr w:rsidR="00D629EA" w:rsidRPr="00D629EA" w:rsidTr="00D629EA">
        <w:trPr>
          <w:trHeight w:val="270"/>
        </w:trPr>
        <w:tc>
          <w:tcPr>
            <w:tcW w:w="3295" w:type="dxa"/>
            <w:tcBorders>
              <w:top w:val="nil"/>
              <w:left w:val="single" w:sz="4" w:space="0" w:color="auto"/>
              <w:bottom w:val="nil"/>
              <w:right w:val="nil"/>
            </w:tcBorders>
            <w:shd w:val="clear" w:color="000000" w:fill="FFFFFF"/>
            <w:noWrap/>
            <w:hideMark/>
          </w:tcPr>
          <w:p w:rsidR="00D629EA" w:rsidRPr="00D629EA" w:rsidRDefault="00D629EA" w:rsidP="00D629EA">
            <w:pPr>
              <w:overflowPunct/>
              <w:autoSpaceDE/>
              <w:autoSpaceDN/>
              <w:adjustRightInd/>
              <w:spacing w:line="240" w:lineRule="auto"/>
              <w:textAlignment w:val="auto"/>
              <w:rPr>
                <w:rFonts w:ascii="Calibri" w:hAnsi="Calibri" w:cs="Calibri"/>
                <w:sz w:val="22"/>
                <w:szCs w:val="22"/>
                <w:lang w:val="en-US"/>
              </w:rPr>
            </w:pPr>
            <w:r w:rsidRPr="00D629EA">
              <w:rPr>
                <w:rFonts w:ascii="Calibri" w:hAnsi="Calibri" w:cs="Calibri"/>
                <w:sz w:val="22"/>
                <w:szCs w:val="22"/>
                <w:lang w:val="en-US"/>
              </w:rPr>
              <w:t>Cash flow from financing activities</w:t>
            </w:r>
          </w:p>
        </w:tc>
        <w:tc>
          <w:tcPr>
            <w:tcW w:w="684" w:type="dxa"/>
            <w:tcBorders>
              <w:top w:val="nil"/>
              <w:left w:val="nil"/>
              <w:bottom w:val="nil"/>
              <w:right w:val="nil"/>
            </w:tcBorders>
            <w:shd w:val="clear" w:color="000000" w:fill="FFFFFF"/>
            <w:noWrap/>
            <w:vAlign w:val="bottom"/>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r w:rsidRPr="00D629EA">
              <w:rPr>
                <w:rFonts w:ascii="Calibri" w:hAnsi="Calibri" w:cs="Calibri"/>
                <w:sz w:val="22"/>
                <w:szCs w:val="22"/>
                <w:lang w:val="en-US"/>
              </w:rPr>
              <w:t> </w:t>
            </w:r>
          </w:p>
        </w:tc>
        <w:tc>
          <w:tcPr>
            <w:tcW w:w="364" w:type="dxa"/>
            <w:tcBorders>
              <w:top w:val="nil"/>
              <w:left w:val="nil"/>
              <w:bottom w:val="nil"/>
              <w:right w:val="nil"/>
            </w:tcBorders>
            <w:shd w:val="clear" w:color="000000" w:fill="FFFFFF"/>
            <w:noWrap/>
            <w:vAlign w:val="bottom"/>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r w:rsidRPr="00D629EA">
              <w:rPr>
                <w:rFonts w:ascii="Calibri" w:hAnsi="Calibri" w:cs="Calibri"/>
                <w:sz w:val="22"/>
                <w:szCs w:val="22"/>
                <w:lang w:val="en-US"/>
              </w:rPr>
              <w:t> </w:t>
            </w:r>
          </w:p>
        </w:tc>
        <w:tc>
          <w:tcPr>
            <w:tcW w:w="1023" w:type="dxa"/>
            <w:tcBorders>
              <w:top w:val="nil"/>
              <w:left w:val="nil"/>
              <w:bottom w:val="nil"/>
              <w:right w:val="nil"/>
            </w:tcBorders>
            <w:shd w:val="clear" w:color="000000" w:fill="FFFFFF"/>
            <w:noWrap/>
            <w:vAlign w:val="bottom"/>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r w:rsidRPr="00D629EA">
              <w:rPr>
                <w:rFonts w:ascii="Calibri" w:hAnsi="Calibri" w:cs="Calibri"/>
                <w:sz w:val="22"/>
                <w:szCs w:val="22"/>
                <w:lang w:val="en-US"/>
              </w:rPr>
              <w:t> </w:t>
            </w:r>
          </w:p>
        </w:tc>
        <w:tc>
          <w:tcPr>
            <w:tcW w:w="1207" w:type="dxa"/>
            <w:tcBorders>
              <w:top w:val="nil"/>
              <w:left w:val="nil"/>
              <w:bottom w:val="nil"/>
              <w:right w:val="nil"/>
            </w:tcBorders>
            <w:shd w:val="clear" w:color="000000" w:fill="FFFFFF"/>
            <w:noWrap/>
            <w:hideMark/>
          </w:tcPr>
          <w:p w:rsidR="00D629EA" w:rsidRPr="00D629EA" w:rsidRDefault="000104B8" w:rsidP="00D629EA">
            <w:pPr>
              <w:overflowPunct/>
              <w:autoSpaceDE/>
              <w:autoSpaceDN/>
              <w:adjustRightInd/>
              <w:spacing w:line="240" w:lineRule="auto"/>
              <w:jc w:val="right"/>
              <w:textAlignment w:val="auto"/>
              <w:rPr>
                <w:rFonts w:ascii="Calibri" w:hAnsi="Calibri" w:cs="Calibri"/>
                <w:sz w:val="22"/>
                <w:szCs w:val="22"/>
                <w:lang w:val="en-US"/>
              </w:rPr>
            </w:pPr>
            <w:r>
              <w:rPr>
                <w:rFonts w:ascii="Calibri" w:hAnsi="Calibri" w:cs="Calibri"/>
                <w:sz w:val="22"/>
                <w:szCs w:val="22"/>
                <w:lang w:val="en-US"/>
              </w:rPr>
              <w:t>(722’230</w:t>
            </w:r>
            <w:r w:rsidRPr="00D629EA">
              <w:rPr>
                <w:rFonts w:ascii="Calibri" w:hAnsi="Calibri" w:cs="Calibri"/>
                <w:sz w:val="22"/>
                <w:szCs w:val="22"/>
                <w:lang w:val="en-US"/>
              </w:rPr>
              <w:t>)</w:t>
            </w:r>
          </w:p>
        </w:tc>
        <w:tc>
          <w:tcPr>
            <w:tcW w:w="271" w:type="dxa"/>
            <w:tcBorders>
              <w:top w:val="nil"/>
              <w:left w:val="nil"/>
              <w:bottom w:val="nil"/>
              <w:right w:val="nil"/>
            </w:tcBorders>
            <w:shd w:val="clear" w:color="000000" w:fill="FFFFFF"/>
            <w:noWrap/>
            <w:vAlign w:val="bottom"/>
            <w:hideMark/>
          </w:tcPr>
          <w:p w:rsidR="00D629EA" w:rsidRPr="00D629EA" w:rsidRDefault="00D629EA" w:rsidP="00D629EA">
            <w:pPr>
              <w:overflowPunct/>
              <w:autoSpaceDE/>
              <w:autoSpaceDN/>
              <w:adjustRightInd/>
              <w:spacing w:line="240" w:lineRule="auto"/>
              <w:textAlignment w:val="auto"/>
              <w:rPr>
                <w:rFonts w:ascii="Calibri" w:hAnsi="Calibri" w:cs="Calibri"/>
                <w:sz w:val="22"/>
                <w:szCs w:val="22"/>
                <w:lang w:val="en-US"/>
              </w:rPr>
            </w:pPr>
            <w:r w:rsidRPr="00D629EA">
              <w:rPr>
                <w:rFonts w:ascii="Calibri" w:hAnsi="Calibri" w:cs="Calibri"/>
                <w:sz w:val="22"/>
                <w:szCs w:val="22"/>
                <w:lang w:val="en-US"/>
              </w:rPr>
              <w:t> </w:t>
            </w:r>
          </w:p>
        </w:tc>
        <w:tc>
          <w:tcPr>
            <w:tcW w:w="1162" w:type="dxa"/>
            <w:tcBorders>
              <w:top w:val="nil"/>
              <w:left w:val="nil"/>
              <w:bottom w:val="nil"/>
              <w:right w:val="nil"/>
            </w:tcBorders>
            <w:shd w:val="clear" w:color="auto" w:fill="auto"/>
            <w:noWrap/>
            <w:vAlign w:val="bottom"/>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p>
        </w:tc>
        <w:tc>
          <w:tcPr>
            <w:tcW w:w="1181" w:type="dxa"/>
            <w:tcBorders>
              <w:top w:val="nil"/>
              <w:left w:val="nil"/>
              <w:bottom w:val="nil"/>
              <w:right w:val="single" w:sz="4" w:space="0" w:color="auto"/>
            </w:tcBorders>
            <w:shd w:val="clear" w:color="auto" w:fill="auto"/>
            <w:noWrap/>
            <w:vAlign w:val="bottom"/>
            <w:hideMark/>
          </w:tcPr>
          <w:p w:rsidR="00D629EA" w:rsidRPr="00D629EA" w:rsidRDefault="00D629EA" w:rsidP="00D629EA">
            <w:pPr>
              <w:overflowPunct/>
              <w:autoSpaceDE/>
              <w:autoSpaceDN/>
              <w:adjustRightInd/>
              <w:spacing w:line="240" w:lineRule="auto"/>
              <w:jc w:val="right"/>
              <w:textAlignment w:val="auto"/>
              <w:rPr>
                <w:rFonts w:ascii="Calibri" w:hAnsi="Calibri" w:cs="Calibri"/>
                <w:sz w:val="22"/>
                <w:szCs w:val="22"/>
                <w:lang w:val="en-US"/>
              </w:rPr>
            </w:pPr>
            <w:r w:rsidRPr="00D629EA">
              <w:rPr>
                <w:rFonts w:ascii="Calibri" w:hAnsi="Calibri" w:cs="Calibri"/>
                <w:sz w:val="22"/>
                <w:szCs w:val="22"/>
                <w:lang w:val="en-US"/>
              </w:rPr>
              <w:t xml:space="preserve">                     -   </w:t>
            </w:r>
          </w:p>
        </w:tc>
      </w:tr>
      <w:tr w:rsidR="00D629EA" w:rsidRPr="00D629EA" w:rsidTr="00D629EA">
        <w:trPr>
          <w:trHeight w:val="270"/>
        </w:trPr>
        <w:tc>
          <w:tcPr>
            <w:tcW w:w="3295" w:type="dxa"/>
            <w:tcBorders>
              <w:top w:val="nil"/>
              <w:left w:val="single" w:sz="4" w:space="0" w:color="auto"/>
              <w:bottom w:val="nil"/>
              <w:right w:val="nil"/>
            </w:tcBorders>
            <w:shd w:val="clear" w:color="000000" w:fill="FFFFFF"/>
            <w:noWrap/>
            <w:hideMark/>
          </w:tcPr>
          <w:p w:rsidR="00D629EA" w:rsidRPr="00D629EA" w:rsidRDefault="00D629EA" w:rsidP="00D629EA">
            <w:pPr>
              <w:overflowPunct/>
              <w:autoSpaceDE/>
              <w:autoSpaceDN/>
              <w:adjustRightInd/>
              <w:spacing w:line="240" w:lineRule="auto"/>
              <w:textAlignment w:val="auto"/>
              <w:rPr>
                <w:rFonts w:ascii="Calibri" w:hAnsi="Calibri" w:cs="Calibri"/>
                <w:sz w:val="22"/>
                <w:szCs w:val="22"/>
                <w:lang w:val="en-US"/>
              </w:rPr>
            </w:pPr>
            <w:r w:rsidRPr="00D629EA">
              <w:rPr>
                <w:rFonts w:ascii="Calibri" w:hAnsi="Calibri" w:cs="Calibri"/>
                <w:sz w:val="22"/>
                <w:szCs w:val="22"/>
                <w:lang w:val="en-US"/>
              </w:rPr>
              <w:t> </w:t>
            </w:r>
          </w:p>
        </w:tc>
        <w:tc>
          <w:tcPr>
            <w:tcW w:w="684" w:type="dxa"/>
            <w:tcBorders>
              <w:top w:val="nil"/>
              <w:left w:val="nil"/>
              <w:bottom w:val="nil"/>
              <w:right w:val="nil"/>
            </w:tcBorders>
            <w:shd w:val="clear" w:color="000000" w:fill="FFFFFF"/>
            <w:noWrap/>
            <w:vAlign w:val="bottom"/>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r w:rsidRPr="00D629EA">
              <w:rPr>
                <w:rFonts w:ascii="Calibri" w:hAnsi="Calibri" w:cs="Calibri"/>
                <w:sz w:val="22"/>
                <w:szCs w:val="22"/>
                <w:lang w:val="en-US"/>
              </w:rPr>
              <w:t> </w:t>
            </w:r>
          </w:p>
        </w:tc>
        <w:tc>
          <w:tcPr>
            <w:tcW w:w="364" w:type="dxa"/>
            <w:tcBorders>
              <w:top w:val="nil"/>
              <w:left w:val="nil"/>
              <w:bottom w:val="nil"/>
              <w:right w:val="nil"/>
            </w:tcBorders>
            <w:shd w:val="clear" w:color="000000" w:fill="FFFFFF"/>
            <w:noWrap/>
            <w:vAlign w:val="bottom"/>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r w:rsidRPr="00D629EA">
              <w:rPr>
                <w:rFonts w:ascii="Calibri" w:hAnsi="Calibri" w:cs="Calibri"/>
                <w:sz w:val="22"/>
                <w:szCs w:val="22"/>
                <w:lang w:val="en-US"/>
              </w:rPr>
              <w:t> </w:t>
            </w:r>
          </w:p>
        </w:tc>
        <w:tc>
          <w:tcPr>
            <w:tcW w:w="1023" w:type="dxa"/>
            <w:tcBorders>
              <w:top w:val="nil"/>
              <w:left w:val="nil"/>
              <w:bottom w:val="nil"/>
              <w:right w:val="nil"/>
            </w:tcBorders>
            <w:shd w:val="clear" w:color="000000" w:fill="FFFFFF"/>
            <w:noWrap/>
            <w:vAlign w:val="bottom"/>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r w:rsidRPr="00D629EA">
              <w:rPr>
                <w:rFonts w:ascii="Calibri" w:hAnsi="Calibri" w:cs="Calibri"/>
                <w:sz w:val="22"/>
                <w:szCs w:val="22"/>
                <w:lang w:val="en-US"/>
              </w:rPr>
              <w:t> </w:t>
            </w:r>
          </w:p>
        </w:tc>
        <w:tc>
          <w:tcPr>
            <w:tcW w:w="1207" w:type="dxa"/>
            <w:tcBorders>
              <w:top w:val="nil"/>
              <w:left w:val="nil"/>
              <w:bottom w:val="nil"/>
              <w:right w:val="nil"/>
            </w:tcBorders>
            <w:shd w:val="clear" w:color="000000" w:fill="FFFFFF"/>
            <w:noWrap/>
            <w:vAlign w:val="bottom"/>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r w:rsidRPr="00D629EA">
              <w:rPr>
                <w:rFonts w:ascii="Calibri" w:hAnsi="Calibri" w:cs="Calibri"/>
                <w:sz w:val="22"/>
                <w:szCs w:val="22"/>
                <w:lang w:val="en-US"/>
              </w:rPr>
              <w:t> </w:t>
            </w:r>
          </w:p>
        </w:tc>
        <w:tc>
          <w:tcPr>
            <w:tcW w:w="271" w:type="dxa"/>
            <w:tcBorders>
              <w:top w:val="nil"/>
              <w:left w:val="nil"/>
              <w:bottom w:val="nil"/>
              <w:right w:val="nil"/>
            </w:tcBorders>
            <w:shd w:val="clear" w:color="000000" w:fill="FFFFFF"/>
            <w:noWrap/>
            <w:vAlign w:val="bottom"/>
            <w:hideMark/>
          </w:tcPr>
          <w:p w:rsidR="00D629EA" w:rsidRPr="00D629EA" w:rsidRDefault="00D629EA" w:rsidP="00D629EA">
            <w:pPr>
              <w:overflowPunct/>
              <w:autoSpaceDE/>
              <w:autoSpaceDN/>
              <w:adjustRightInd/>
              <w:spacing w:line="240" w:lineRule="auto"/>
              <w:textAlignment w:val="auto"/>
              <w:rPr>
                <w:rFonts w:ascii="Calibri" w:hAnsi="Calibri" w:cs="Calibri"/>
                <w:sz w:val="22"/>
                <w:szCs w:val="22"/>
                <w:lang w:val="en-US"/>
              </w:rPr>
            </w:pPr>
            <w:r w:rsidRPr="00D629EA">
              <w:rPr>
                <w:rFonts w:ascii="Calibri" w:hAnsi="Calibri" w:cs="Calibri"/>
                <w:sz w:val="22"/>
                <w:szCs w:val="22"/>
                <w:lang w:val="en-US"/>
              </w:rPr>
              <w:t> </w:t>
            </w:r>
          </w:p>
        </w:tc>
        <w:tc>
          <w:tcPr>
            <w:tcW w:w="1162" w:type="dxa"/>
            <w:tcBorders>
              <w:top w:val="nil"/>
              <w:left w:val="nil"/>
              <w:bottom w:val="nil"/>
              <w:right w:val="nil"/>
            </w:tcBorders>
            <w:shd w:val="clear" w:color="auto" w:fill="auto"/>
            <w:noWrap/>
            <w:vAlign w:val="bottom"/>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p>
        </w:tc>
        <w:tc>
          <w:tcPr>
            <w:tcW w:w="1181" w:type="dxa"/>
            <w:tcBorders>
              <w:top w:val="nil"/>
              <w:left w:val="nil"/>
              <w:bottom w:val="nil"/>
              <w:right w:val="single" w:sz="4" w:space="0" w:color="auto"/>
            </w:tcBorders>
            <w:shd w:val="clear" w:color="auto" w:fill="auto"/>
            <w:noWrap/>
            <w:vAlign w:val="bottom"/>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r w:rsidRPr="00D629EA">
              <w:rPr>
                <w:rFonts w:ascii="Calibri" w:hAnsi="Calibri" w:cs="Calibri"/>
                <w:sz w:val="22"/>
                <w:szCs w:val="22"/>
                <w:lang w:val="en-US"/>
              </w:rPr>
              <w:t> </w:t>
            </w:r>
          </w:p>
        </w:tc>
      </w:tr>
      <w:tr w:rsidR="00D629EA" w:rsidRPr="00D629EA" w:rsidTr="00D629EA">
        <w:trPr>
          <w:trHeight w:val="283"/>
        </w:trPr>
        <w:tc>
          <w:tcPr>
            <w:tcW w:w="4344" w:type="dxa"/>
            <w:gridSpan w:val="3"/>
            <w:tcBorders>
              <w:top w:val="nil"/>
              <w:left w:val="single" w:sz="4" w:space="0" w:color="auto"/>
              <w:bottom w:val="nil"/>
              <w:right w:val="nil"/>
            </w:tcBorders>
            <w:shd w:val="clear" w:color="000000" w:fill="FFFFFF"/>
            <w:noWrap/>
            <w:hideMark/>
          </w:tcPr>
          <w:p w:rsidR="00D629EA" w:rsidRPr="00D629EA" w:rsidRDefault="00D629EA" w:rsidP="00D629EA">
            <w:pPr>
              <w:overflowPunct/>
              <w:autoSpaceDE/>
              <w:autoSpaceDN/>
              <w:adjustRightInd/>
              <w:spacing w:line="240" w:lineRule="auto"/>
              <w:textAlignment w:val="auto"/>
              <w:rPr>
                <w:rFonts w:ascii="Calibri" w:hAnsi="Calibri" w:cs="Calibri"/>
                <w:b/>
                <w:bCs/>
                <w:sz w:val="22"/>
                <w:szCs w:val="22"/>
                <w:lang w:val="en-US"/>
              </w:rPr>
            </w:pPr>
            <w:r w:rsidRPr="00D629EA">
              <w:rPr>
                <w:rFonts w:ascii="Calibri" w:hAnsi="Calibri" w:cs="Calibri"/>
                <w:b/>
                <w:bCs/>
                <w:sz w:val="22"/>
                <w:szCs w:val="22"/>
                <w:lang w:val="en-US"/>
              </w:rPr>
              <w:t>Increase (decrease) in cash at bank and in hand</w:t>
            </w:r>
          </w:p>
        </w:tc>
        <w:tc>
          <w:tcPr>
            <w:tcW w:w="1023" w:type="dxa"/>
            <w:tcBorders>
              <w:top w:val="nil"/>
              <w:left w:val="nil"/>
              <w:bottom w:val="nil"/>
              <w:right w:val="nil"/>
            </w:tcBorders>
            <w:shd w:val="clear" w:color="000000" w:fill="FFFFFF"/>
            <w:noWrap/>
            <w:vAlign w:val="bottom"/>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r w:rsidRPr="00D629EA">
              <w:rPr>
                <w:rFonts w:ascii="Calibri" w:hAnsi="Calibri" w:cs="Calibri"/>
                <w:sz w:val="22"/>
                <w:szCs w:val="22"/>
                <w:lang w:val="en-US"/>
              </w:rPr>
              <w:t> </w:t>
            </w:r>
          </w:p>
        </w:tc>
        <w:tc>
          <w:tcPr>
            <w:tcW w:w="1207" w:type="dxa"/>
            <w:tcBorders>
              <w:top w:val="single" w:sz="4" w:space="0" w:color="auto"/>
              <w:left w:val="nil"/>
              <w:bottom w:val="double" w:sz="6" w:space="0" w:color="auto"/>
              <w:right w:val="nil"/>
            </w:tcBorders>
            <w:shd w:val="clear" w:color="000000" w:fill="FFFFFF"/>
            <w:noWrap/>
            <w:vAlign w:val="bottom"/>
            <w:hideMark/>
          </w:tcPr>
          <w:p w:rsidR="00D629EA" w:rsidRPr="00D629EA" w:rsidRDefault="00D629EA" w:rsidP="00D629EA">
            <w:pPr>
              <w:overflowPunct/>
              <w:autoSpaceDE/>
              <w:autoSpaceDN/>
              <w:adjustRightInd/>
              <w:spacing w:line="240" w:lineRule="auto"/>
              <w:jc w:val="right"/>
              <w:textAlignment w:val="auto"/>
              <w:rPr>
                <w:rFonts w:ascii="Calibri" w:hAnsi="Calibri" w:cs="Calibri"/>
                <w:sz w:val="22"/>
                <w:szCs w:val="22"/>
                <w:lang w:val="en-US"/>
              </w:rPr>
            </w:pPr>
            <w:r w:rsidRPr="00D629EA">
              <w:rPr>
                <w:rFonts w:ascii="Calibri" w:hAnsi="Calibri" w:cs="Calibri"/>
                <w:sz w:val="22"/>
                <w:szCs w:val="22"/>
                <w:lang w:val="en-US"/>
              </w:rPr>
              <w:t xml:space="preserve"> 18 </w:t>
            </w:r>
          </w:p>
        </w:tc>
        <w:tc>
          <w:tcPr>
            <w:tcW w:w="271" w:type="dxa"/>
            <w:tcBorders>
              <w:top w:val="nil"/>
              <w:left w:val="nil"/>
              <w:bottom w:val="nil"/>
              <w:right w:val="nil"/>
            </w:tcBorders>
            <w:shd w:val="clear" w:color="000000" w:fill="FFFFFF"/>
            <w:noWrap/>
            <w:vAlign w:val="bottom"/>
            <w:hideMark/>
          </w:tcPr>
          <w:p w:rsidR="00D629EA" w:rsidRPr="00D629EA" w:rsidRDefault="00D629EA" w:rsidP="00D629EA">
            <w:pPr>
              <w:overflowPunct/>
              <w:autoSpaceDE/>
              <w:autoSpaceDN/>
              <w:adjustRightInd/>
              <w:spacing w:line="240" w:lineRule="auto"/>
              <w:textAlignment w:val="auto"/>
              <w:rPr>
                <w:rFonts w:ascii="Calibri" w:hAnsi="Calibri" w:cs="Calibri"/>
                <w:sz w:val="22"/>
                <w:szCs w:val="22"/>
                <w:lang w:val="en-US"/>
              </w:rPr>
            </w:pPr>
            <w:r w:rsidRPr="00D629EA">
              <w:rPr>
                <w:rFonts w:ascii="Calibri" w:hAnsi="Calibri" w:cs="Calibri"/>
                <w:sz w:val="22"/>
                <w:szCs w:val="22"/>
                <w:lang w:val="en-US"/>
              </w:rPr>
              <w:t> </w:t>
            </w:r>
          </w:p>
        </w:tc>
        <w:tc>
          <w:tcPr>
            <w:tcW w:w="1162" w:type="dxa"/>
            <w:tcBorders>
              <w:top w:val="nil"/>
              <w:left w:val="nil"/>
              <w:bottom w:val="nil"/>
              <w:right w:val="nil"/>
            </w:tcBorders>
            <w:shd w:val="clear" w:color="auto" w:fill="auto"/>
            <w:noWrap/>
            <w:vAlign w:val="bottom"/>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p>
        </w:tc>
        <w:tc>
          <w:tcPr>
            <w:tcW w:w="1181" w:type="dxa"/>
            <w:tcBorders>
              <w:top w:val="single" w:sz="4" w:space="0" w:color="auto"/>
              <w:left w:val="nil"/>
              <w:bottom w:val="double" w:sz="6" w:space="0" w:color="auto"/>
              <w:right w:val="single" w:sz="4" w:space="0" w:color="auto"/>
            </w:tcBorders>
            <w:shd w:val="clear" w:color="auto" w:fill="auto"/>
            <w:noWrap/>
            <w:vAlign w:val="bottom"/>
            <w:hideMark/>
          </w:tcPr>
          <w:p w:rsidR="00D629EA" w:rsidRPr="00D629EA" w:rsidRDefault="00D629EA" w:rsidP="00D629EA">
            <w:pPr>
              <w:overflowPunct/>
              <w:autoSpaceDE/>
              <w:autoSpaceDN/>
              <w:adjustRightInd/>
              <w:spacing w:line="240" w:lineRule="auto"/>
              <w:jc w:val="right"/>
              <w:textAlignment w:val="auto"/>
              <w:rPr>
                <w:rFonts w:ascii="Calibri" w:hAnsi="Calibri" w:cs="Calibri"/>
                <w:sz w:val="22"/>
                <w:szCs w:val="22"/>
                <w:lang w:val="en-US"/>
              </w:rPr>
            </w:pPr>
            <w:r w:rsidRPr="00D629EA">
              <w:rPr>
                <w:rFonts w:ascii="Calibri" w:hAnsi="Calibri" w:cs="Calibri"/>
                <w:sz w:val="22"/>
                <w:szCs w:val="22"/>
                <w:lang w:val="en-US"/>
              </w:rPr>
              <w:t>( 23)</w:t>
            </w:r>
          </w:p>
        </w:tc>
      </w:tr>
      <w:tr w:rsidR="00D629EA" w:rsidRPr="00D629EA" w:rsidTr="00D629EA">
        <w:trPr>
          <w:trHeight w:val="283"/>
        </w:trPr>
        <w:tc>
          <w:tcPr>
            <w:tcW w:w="3295" w:type="dxa"/>
            <w:tcBorders>
              <w:top w:val="nil"/>
              <w:left w:val="single" w:sz="4" w:space="0" w:color="auto"/>
              <w:bottom w:val="single" w:sz="4" w:space="0" w:color="auto"/>
              <w:right w:val="nil"/>
            </w:tcBorders>
            <w:shd w:val="clear" w:color="000000" w:fill="FFFFFF"/>
            <w:hideMark/>
          </w:tcPr>
          <w:p w:rsidR="00D629EA" w:rsidRPr="00D629EA" w:rsidRDefault="00D629EA" w:rsidP="00D629EA">
            <w:pPr>
              <w:overflowPunct/>
              <w:autoSpaceDE/>
              <w:autoSpaceDN/>
              <w:adjustRightInd/>
              <w:spacing w:line="240" w:lineRule="auto"/>
              <w:textAlignment w:val="auto"/>
              <w:rPr>
                <w:rFonts w:ascii="Calibri" w:hAnsi="Calibri" w:cs="Calibri"/>
                <w:sz w:val="22"/>
                <w:szCs w:val="22"/>
                <w:lang w:val="en-US"/>
              </w:rPr>
            </w:pPr>
            <w:r w:rsidRPr="00D629EA">
              <w:rPr>
                <w:rFonts w:ascii="Calibri" w:hAnsi="Calibri" w:cs="Calibri"/>
                <w:sz w:val="22"/>
                <w:szCs w:val="22"/>
                <w:lang w:val="en-US"/>
              </w:rPr>
              <w:t> </w:t>
            </w:r>
          </w:p>
        </w:tc>
        <w:tc>
          <w:tcPr>
            <w:tcW w:w="684" w:type="dxa"/>
            <w:tcBorders>
              <w:top w:val="nil"/>
              <w:left w:val="nil"/>
              <w:bottom w:val="single" w:sz="4" w:space="0" w:color="auto"/>
              <w:right w:val="nil"/>
            </w:tcBorders>
            <w:shd w:val="clear" w:color="000000" w:fill="FFFFFF"/>
            <w:hideMark/>
          </w:tcPr>
          <w:p w:rsidR="00D629EA" w:rsidRPr="00D629EA" w:rsidRDefault="00D629EA" w:rsidP="00D629EA">
            <w:pPr>
              <w:overflowPunct/>
              <w:autoSpaceDE/>
              <w:autoSpaceDN/>
              <w:adjustRightInd/>
              <w:spacing w:line="240" w:lineRule="auto"/>
              <w:jc w:val="center"/>
              <w:textAlignment w:val="auto"/>
              <w:rPr>
                <w:rFonts w:ascii="Calibri" w:hAnsi="Calibri" w:cs="Calibri"/>
                <w:sz w:val="22"/>
                <w:szCs w:val="22"/>
                <w:lang w:val="en-US"/>
              </w:rPr>
            </w:pPr>
            <w:r w:rsidRPr="00D629EA">
              <w:rPr>
                <w:rFonts w:ascii="Calibri" w:hAnsi="Calibri" w:cs="Calibri"/>
                <w:sz w:val="22"/>
                <w:szCs w:val="22"/>
                <w:lang w:val="en-US"/>
              </w:rPr>
              <w:t> </w:t>
            </w:r>
          </w:p>
        </w:tc>
        <w:tc>
          <w:tcPr>
            <w:tcW w:w="364" w:type="dxa"/>
            <w:tcBorders>
              <w:top w:val="nil"/>
              <w:left w:val="nil"/>
              <w:bottom w:val="single" w:sz="4" w:space="0" w:color="auto"/>
              <w:right w:val="nil"/>
            </w:tcBorders>
            <w:shd w:val="clear" w:color="000000" w:fill="FFFFFF"/>
            <w:hideMark/>
          </w:tcPr>
          <w:p w:rsidR="00D629EA" w:rsidRPr="00D629EA" w:rsidRDefault="00D629EA" w:rsidP="00D629EA">
            <w:pPr>
              <w:overflowPunct/>
              <w:autoSpaceDE/>
              <w:autoSpaceDN/>
              <w:adjustRightInd/>
              <w:spacing w:line="240" w:lineRule="auto"/>
              <w:ind w:firstLineChars="100" w:firstLine="220"/>
              <w:jc w:val="right"/>
              <w:textAlignment w:val="auto"/>
              <w:rPr>
                <w:rFonts w:ascii="Calibri" w:hAnsi="Calibri" w:cs="Calibri"/>
                <w:sz w:val="22"/>
                <w:szCs w:val="22"/>
                <w:lang w:val="en-US"/>
              </w:rPr>
            </w:pPr>
            <w:r w:rsidRPr="00D629EA">
              <w:rPr>
                <w:rFonts w:ascii="Calibri" w:hAnsi="Calibri" w:cs="Calibri"/>
                <w:sz w:val="22"/>
                <w:szCs w:val="22"/>
                <w:lang w:val="en-US"/>
              </w:rPr>
              <w:t> </w:t>
            </w:r>
          </w:p>
        </w:tc>
        <w:tc>
          <w:tcPr>
            <w:tcW w:w="1023" w:type="dxa"/>
            <w:tcBorders>
              <w:top w:val="nil"/>
              <w:left w:val="nil"/>
              <w:bottom w:val="single" w:sz="4" w:space="0" w:color="auto"/>
              <w:right w:val="nil"/>
            </w:tcBorders>
            <w:shd w:val="clear" w:color="000000" w:fill="FFFFFF"/>
            <w:hideMark/>
          </w:tcPr>
          <w:p w:rsidR="00D629EA" w:rsidRPr="00D629EA" w:rsidRDefault="00D629EA" w:rsidP="00D629EA">
            <w:pPr>
              <w:overflowPunct/>
              <w:autoSpaceDE/>
              <w:autoSpaceDN/>
              <w:adjustRightInd/>
              <w:spacing w:line="240" w:lineRule="auto"/>
              <w:ind w:firstLineChars="100" w:firstLine="220"/>
              <w:jc w:val="right"/>
              <w:textAlignment w:val="auto"/>
              <w:rPr>
                <w:rFonts w:ascii="Calibri" w:hAnsi="Calibri" w:cs="Calibri"/>
                <w:sz w:val="22"/>
                <w:szCs w:val="22"/>
                <w:lang w:val="en-US"/>
              </w:rPr>
            </w:pPr>
            <w:r w:rsidRPr="00D629EA">
              <w:rPr>
                <w:rFonts w:ascii="Calibri" w:hAnsi="Calibri" w:cs="Calibri"/>
                <w:sz w:val="22"/>
                <w:szCs w:val="22"/>
                <w:lang w:val="en-US"/>
              </w:rPr>
              <w:t> </w:t>
            </w:r>
          </w:p>
        </w:tc>
        <w:tc>
          <w:tcPr>
            <w:tcW w:w="1207" w:type="dxa"/>
            <w:tcBorders>
              <w:top w:val="nil"/>
              <w:left w:val="nil"/>
              <w:bottom w:val="single" w:sz="4" w:space="0" w:color="auto"/>
              <w:right w:val="nil"/>
            </w:tcBorders>
            <w:shd w:val="clear" w:color="000000" w:fill="FFFFFF"/>
            <w:hideMark/>
          </w:tcPr>
          <w:p w:rsidR="00D629EA" w:rsidRPr="00D629EA" w:rsidRDefault="00D629EA" w:rsidP="00D629EA">
            <w:pPr>
              <w:overflowPunct/>
              <w:autoSpaceDE/>
              <w:autoSpaceDN/>
              <w:adjustRightInd/>
              <w:spacing w:line="240" w:lineRule="auto"/>
              <w:ind w:firstLineChars="100" w:firstLine="220"/>
              <w:jc w:val="right"/>
              <w:textAlignment w:val="auto"/>
              <w:rPr>
                <w:rFonts w:ascii="Calibri" w:hAnsi="Calibri" w:cs="Calibri"/>
                <w:sz w:val="22"/>
                <w:szCs w:val="22"/>
                <w:lang w:val="en-US"/>
              </w:rPr>
            </w:pPr>
            <w:r w:rsidRPr="00D629EA">
              <w:rPr>
                <w:rFonts w:ascii="Calibri" w:hAnsi="Calibri" w:cs="Calibri"/>
                <w:sz w:val="22"/>
                <w:szCs w:val="22"/>
                <w:lang w:val="en-US"/>
              </w:rPr>
              <w:t> </w:t>
            </w:r>
          </w:p>
        </w:tc>
        <w:tc>
          <w:tcPr>
            <w:tcW w:w="271" w:type="dxa"/>
            <w:tcBorders>
              <w:top w:val="nil"/>
              <w:left w:val="nil"/>
              <w:bottom w:val="single" w:sz="4" w:space="0" w:color="auto"/>
              <w:right w:val="nil"/>
            </w:tcBorders>
            <w:shd w:val="clear" w:color="000000" w:fill="FFFFFF"/>
            <w:noWrap/>
            <w:vAlign w:val="bottom"/>
            <w:hideMark/>
          </w:tcPr>
          <w:p w:rsidR="00D629EA" w:rsidRPr="00D629EA" w:rsidRDefault="00D629EA" w:rsidP="00D629EA">
            <w:pPr>
              <w:overflowPunct/>
              <w:autoSpaceDE/>
              <w:autoSpaceDN/>
              <w:adjustRightInd/>
              <w:spacing w:line="240" w:lineRule="auto"/>
              <w:textAlignment w:val="auto"/>
              <w:rPr>
                <w:rFonts w:ascii="Calibri" w:hAnsi="Calibri" w:cs="Calibri"/>
                <w:sz w:val="22"/>
                <w:szCs w:val="22"/>
                <w:lang w:val="en-US"/>
              </w:rPr>
            </w:pPr>
            <w:r w:rsidRPr="00D629EA">
              <w:rPr>
                <w:rFonts w:ascii="Calibri" w:hAnsi="Calibri" w:cs="Calibri"/>
                <w:sz w:val="22"/>
                <w:szCs w:val="22"/>
                <w:lang w:val="en-US"/>
              </w:rPr>
              <w:t> </w:t>
            </w:r>
          </w:p>
        </w:tc>
        <w:tc>
          <w:tcPr>
            <w:tcW w:w="1162" w:type="dxa"/>
            <w:tcBorders>
              <w:top w:val="nil"/>
              <w:left w:val="nil"/>
              <w:bottom w:val="single" w:sz="4" w:space="0" w:color="auto"/>
              <w:right w:val="nil"/>
            </w:tcBorders>
            <w:shd w:val="clear" w:color="auto" w:fill="auto"/>
            <w:hideMark/>
          </w:tcPr>
          <w:p w:rsidR="00D629EA" w:rsidRPr="00D629EA" w:rsidRDefault="00D629EA" w:rsidP="00D629EA">
            <w:pPr>
              <w:overflowPunct/>
              <w:autoSpaceDE/>
              <w:autoSpaceDN/>
              <w:adjustRightInd/>
              <w:spacing w:line="240" w:lineRule="auto"/>
              <w:ind w:firstLineChars="100" w:firstLine="220"/>
              <w:jc w:val="right"/>
              <w:textAlignment w:val="auto"/>
              <w:rPr>
                <w:rFonts w:ascii="Calibri" w:hAnsi="Calibri" w:cs="Calibri"/>
                <w:sz w:val="22"/>
                <w:szCs w:val="22"/>
                <w:lang w:val="en-US"/>
              </w:rPr>
            </w:pPr>
            <w:r w:rsidRPr="00D629EA">
              <w:rPr>
                <w:rFonts w:ascii="Calibri" w:hAnsi="Calibri" w:cs="Calibri"/>
                <w:sz w:val="22"/>
                <w:szCs w:val="22"/>
                <w:lang w:val="en-US"/>
              </w:rPr>
              <w:t> </w:t>
            </w:r>
          </w:p>
        </w:tc>
        <w:tc>
          <w:tcPr>
            <w:tcW w:w="1181" w:type="dxa"/>
            <w:tcBorders>
              <w:top w:val="nil"/>
              <w:left w:val="nil"/>
              <w:bottom w:val="single" w:sz="4" w:space="0" w:color="auto"/>
              <w:right w:val="single" w:sz="4" w:space="0" w:color="auto"/>
            </w:tcBorders>
            <w:shd w:val="clear" w:color="auto" w:fill="auto"/>
            <w:hideMark/>
          </w:tcPr>
          <w:p w:rsidR="00D629EA" w:rsidRPr="00D629EA" w:rsidRDefault="00D629EA" w:rsidP="00D629EA">
            <w:pPr>
              <w:overflowPunct/>
              <w:autoSpaceDE/>
              <w:autoSpaceDN/>
              <w:adjustRightInd/>
              <w:spacing w:line="240" w:lineRule="auto"/>
              <w:ind w:firstLineChars="100" w:firstLine="220"/>
              <w:jc w:val="right"/>
              <w:textAlignment w:val="auto"/>
              <w:rPr>
                <w:rFonts w:ascii="Calibri" w:hAnsi="Calibri" w:cs="Calibri"/>
                <w:sz w:val="22"/>
                <w:szCs w:val="22"/>
                <w:lang w:val="en-US"/>
              </w:rPr>
            </w:pPr>
            <w:r w:rsidRPr="00D629EA">
              <w:rPr>
                <w:rFonts w:ascii="Calibri" w:hAnsi="Calibri" w:cs="Calibri"/>
                <w:sz w:val="22"/>
                <w:szCs w:val="22"/>
                <w:lang w:val="en-US"/>
              </w:rPr>
              <w:t> </w:t>
            </w:r>
          </w:p>
        </w:tc>
      </w:tr>
    </w:tbl>
    <w:p w:rsidR="00D629EA" w:rsidRPr="00D629EA" w:rsidRDefault="00D629EA" w:rsidP="00D629EA">
      <w:pPr>
        <w:pStyle w:val="000"/>
      </w:pPr>
    </w:p>
    <w:p w:rsidR="003326A1" w:rsidRPr="003326A1" w:rsidRDefault="003326A1" w:rsidP="003326A1">
      <w:pPr>
        <w:pStyle w:val="000"/>
      </w:pPr>
    </w:p>
    <w:p w:rsidR="000F5CCC" w:rsidRPr="00D756D3" w:rsidRDefault="000F5CCC" w:rsidP="00D629EA">
      <w:pPr>
        <w:pStyle w:val="407"/>
        <w:sectPr w:rsidR="000F5CCC" w:rsidRPr="00D756D3" w:rsidSect="00280409">
          <w:pgSz w:w="11907" w:h="16840" w:code="9"/>
          <w:pgMar w:top="2591" w:right="1247" w:bottom="1814" w:left="1247" w:header="941" w:footer="720" w:gutter="0"/>
          <w:cols w:space="720"/>
        </w:sectPr>
      </w:pPr>
    </w:p>
    <w:p w:rsidR="00C2424A" w:rsidRPr="009049AB" w:rsidRDefault="00C2424A" w:rsidP="00C2424A">
      <w:pPr>
        <w:pStyle w:val="080"/>
        <w:rPr>
          <w:rFonts w:cs="Arial"/>
          <w:bCs/>
        </w:rPr>
      </w:pPr>
      <w:r w:rsidRPr="009049AB">
        <w:rPr>
          <w:rFonts w:cs="Arial"/>
          <w:bCs/>
        </w:rPr>
        <w:lastRenderedPageBreak/>
        <w:t>accounting policies</w:t>
      </w:r>
      <w:bookmarkEnd w:id="4"/>
      <w:bookmarkEnd w:id="5"/>
      <w:bookmarkEnd w:id="6"/>
      <w:bookmarkEnd w:id="7"/>
    </w:p>
    <w:p w:rsidR="00C2424A" w:rsidRPr="009049AB" w:rsidRDefault="00C2424A" w:rsidP="00C2424A">
      <w:pPr>
        <w:pStyle w:val="081"/>
        <w:rPr>
          <w:rFonts w:cs="Arial"/>
          <w:bCs/>
          <w:szCs w:val="24"/>
        </w:rPr>
      </w:pPr>
      <w:r w:rsidRPr="009049AB">
        <w:rPr>
          <w:rFonts w:cs="Arial"/>
          <w:bCs/>
          <w:szCs w:val="24"/>
        </w:rPr>
        <w:t>General</w:t>
      </w:r>
    </w:p>
    <w:p w:rsidR="00E152E1" w:rsidRPr="009049AB" w:rsidRDefault="000F4C70" w:rsidP="00E152E1">
      <w:pPr>
        <w:pStyle w:val="Style000"/>
        <w:rPr>
          <w:rFonts w:cs="Arial"/>
        </w:rPr>
      </w:pPr>
      <w:r w:rsidRPr="009049AB">
        <w:rPr>
          <w:rFonts w:cs="Arial"/>
        </w:rPr>
        <w:t xml:space="preserve">Syngenta </w:t>
      </w:r>
      <w:r w:rsidR="00F65B64" w:rsidRPr="009049AB">
        <w:rPr>
          <w:rFonts w:cs="Arial"/>
        </w:rPr>
        <w:t>Finance</w:t>
      </w:r>
      <w:r w:rsidRPr="009049AB">
        <w:rPr>
          <w:rFonts w:cs="Arial"/>
        </w:rPr>
        <w:t xml:space="preserve"> N.V. (hereafter “t</w:t>
      </w:r>
      <w:r w:rsidR="009A2C69" w:rsidRPr="009049AB">
        <w:rPr>
          <w:rFonts w:cs="Arial"/>
        </w:rPr>
        <w:t>he C</w:t>
      </w:r>
      <w:r w:rsidRPr="009049AB">
        <w:rPr>
          <w:rFonts w:cs="Arial"/>
        </w:rPr>
        <w:t xml:space="preserve">ompany”) </w:t>
      </w:r>
      <w:r w:rsidR="00E152E1" w:rsidRPr="009049AB">
        <w:rPr>
          <w:rFonts w:cs="Arial"/>
        </w:rPr>
        <w:t xml:space="preserve">is a private limited liability company incorporated on 20 March </w:t>
      </w:r>
      <w:r w:rsidR="00C94BD4" w:rsidRPr="009049AB">
        <w:rPr>
          <w:rFonts w:cs="Arial"/>
        </w:rPr>
        <w:t>200</w:t>
      </w:r>
      <w:r w:rsidR="00CE634C" w:rsidRPr="009049AB">
        <w:rPr>
          <w:rFonts w:cs="Arial"/>
        </w:rPr>
        <w:t>7</w:t>
      </w:r>
      <w:r w:rsidR="00E152E1" w:rsidRPr="009049AB">
        <w:rPr>
          <w:rFonts w:cs="Arial"/>
        </w:rPr>
        <w:t xml:space="preserve">. Its corporate seat is in Amsterdam. </w:t>
      </w:r>
      <w:r w:rsidR="006D6911" w:rsidRPr="009049AB">
        <w:rPr>
          <w:rFonts w:cs="Arial"/>
        </w:rPr>
        <w:t>The o</w:t>
      </w:r>
      <w:r w:rsidR="00A152C8" w:rsidRPr="009049AB">
        <w:rPr>
          <w:rFonts w:cs="Arial"/>
        </w:rPr>
        <w:t>bjectives</w:t>
      </w:r>
      <w:r w:rsidR="006D6911" w:rsidRPr="009049AB">
        <w:rPr>
          <w:rFonts w:cs="Arial"/>
        </w:rPr>
        <w:t xml:space="preserve"> of the </w:t>
      </w:r>
      <w:r w:rsidR="00C23D89" w:rsidRPr="009049AB">
        <w:rPr>
          <w:rFonts w:cs="Arial"/>
        </w:rPr>
        <w:t>C</w:t>
      </w:r>
      <w:r w:rsidR="006D6911" w:rsidRPr="009049AB">
        <w:rPr>
          <w:rFonts w:cs="Arial"/>
        </w:rPr>
        <w:t>ompany are to participate in, take an interest in any other way and conduct the management of other business enterprises of whatever nature, to borrow, lend and raise funds, amongst other by issuing bonds, promissory notes and other financial instruments and evidence of indebtedness as well as to enter into agreements, of any kind whatsoever in connection with such financing activities, to finance group companies and third parties and in any way to provide security or undertake the obligations of group companies and third parties, to invest in securities of any kind whatsoever to enter into foreign exchange transactions of any kind whatsoever as well as any kind of commodity and derivative transactions with group companies as well as with other parties and finally all activities which are incidental or may be conducive to any of the foregoing.</w:t>
      </w:r>
      <w:r w:rsidR="00CE634C" w:rsidRPr="009049AB">
        <w:rPr>
          <w:rFonts w:cs="Arial"/>
        </w:rPr>
        <w:t xml:space="preserve"> </w:t>
      </w:r>
      <w:r w:rsidR="00E152E1" w:rsidRPr="009049AB">
        <w:rPr>
          <w:rFonts w:cs="Arial"/>
        </w:rPr>
        <w:t xml:space="preserve">The </w:t>
      </w:r>
      <w:r w:rsidR="009A2C69" w:rsidRPr="009049AB">
        <w:rPr>
          <w:rFonts w:cs="Arial"/>
        </w:rPr>
        <w:t>C</w:t>
      </w:r>
      <w:r w:rsidR="00E152E1" w:rsidRPr="009049AB">
        <w:rPr>
          <w:rFonts w:cs="Arial"/>
        </w:rPr>
        <w:t xml:space="preserve">ompany's ultimate holding company is Syngenta </w:t>
      </w:r>
      <w:r w:rsidR="00F00529" w:rsidRPr="009049AB">
        <w:rPr>
          <w:rFonts w:cs="Arial"/>
        </w:rPr>
        <w:t>AG</w:t>
      </w:r>
      <w:r w:rsidR="00E152E1" w:rsidRPr="009049AB">
        <w:rPr>
          <w:rFonts w:cs="Arial"/>
        </w:rPr>
        <w:t>, Switzerland.</w:t>
      </w:r>
    </w:p>
    <w:p w:rsidR="00E152E1" w:rsidRPr="009049AB" w:rsidRDefault="00E152E1" w:rsidP="00E152E1">
      <w:pPr>
        <w:pStyle w:val="Style000"/>
        <w:rPr>
          <w:rFonts w:cs="Arial"/>
        </w:rPr>
      </w:pPr>
    </w:p>
    <w:p w:rsidR="000F4C70" w:rsidRPr="009049AB" w:rsidRDefault="00E152E1" w:rsidP="000F4C70">
      <w:pPr>
        <w:pStyle w:val="Style000"/>
        <w:rPr>
          <w:rFonts w:cs="Arial"/>
        </w:rPr>
      </w:pPr>
      <w:r w:rsidRPr="009049AB">
        <w:rPr>
          <w:rFonts w:cs="Arial"/>
        </w:rPr>
        <w:t xml:space="preserve">The </w:t>
      </w:r>
      <w:r w:rsidR="009A2C69" w:rsidRPr="009049AB">
        <w:rPr>
          <w:rFonts w:cs="Arial"/>
        </w:rPr>
        <w:t>C</w:t>
      </w:r>
      <w:r w:rsidRPr="009049AB">
        <w:rPr>
          <w:rFonts w:cs="Arial"/>
        </w:rPr>
        <w:t>ompany financial statements have been prepared in accordance with Part 9 of Book 2 of the Netherlands Civil Code.</w:t>
      </w:r>
    </w:p>
    <w:p w:rsidR="00C2424A" w:rsidRPr="009049AB" w:rsidRDefault="00C2424A" w:rsidP="00C2424A">
      <w:pPr>
        <w:pStyle w:val="081"/>
        <w:rPr>
          <w:rFonts w:cs="Arial"/>
          <w:bCs/>
          <w:szCs w:val="24"/>
        </w:rPr>
      </w:pPr>
      <w:r w:rsidRPr="009049AB">
        <w:rPr>
          <w:rFonts w:cs="Arial"/>
          <w:bCs/>
          <w:szCs w:val="24"/>
        </w:rPr>
        <w:t>Foreign currency translation</w:t>
      </w:r>
    </w:p>
    <w:p w:rsidR="009F3666" w:rsidRPr="009049AB" w:rsidRDefault="000F4C70" w:rsidP="009F3666">
      <w:pPr>
        <w:pStyle w:val="Style000"/>
        <w:rPr>
          <w:rFonts w:cs="Arial"/>
        </w:rPr>
      </w:pPr>
      <w:r w:rsidRPr="009049AB">
        <w:rPr>
          <w:rFonts w:cs="Arial"/>
        </w:rPr>
        <w:t>The financial statements are presented in United States Dollar (“USD</w:t>
      </w:r>
      <w:r w:rsidR="009F3666" w:rsidRPr="009049AB">
        <w:rPr>
          <w:rFonts w:cs="Arial"/>
        </w:rPr>
        <w:t>”)</w:t>
      </w:r>
      <w:r w:rsidR="008B0BFF" w:rsidRPr="009049AB">
        <w:rPr>
          <w:rFonts w:cs="Arial"/>
        </w:rPr>
        <w:t xml:space="preserve">. </w:t>
      </w:r>
      <w:r w:rsidR="009F3666" w:rsidRPr="009049AB">
        <w:rPr>
          <w:rFonts w:cs="Arial"/>
        </w:rPr>
        <w:t>Transactions denominated in foreign currencies are initially carried at the exchange rates ruling at the date of transaction.</w:t>
      </w:r>
    </w:p>
    <w:p w:rsidR="009F3666" w:rsidRPr="009049AB" w:rsidRDefault="009F3666" w:rsidP="009F3666">
      <w:pPr>
        <w:pStyle w:val="Style000"/>
        <w:rPr>
          <w:rFonts w:cs="Arial"/>
        </w:rPr>
      </w:pPr>
    </w:p>
    <w:p w:rsidR="009F3666" w:rsidRPr="009049AB" w:rsidRDefault="009F3666" w:rsidP="009F3666">
      <w:pPr>
        <w:pStyle w:val="Style000"/>
        <w:rPr>
          <w:rFonts w:cs="Arial"/>
        </w:rPr>
      </w:pPr>
      <w:r w:rsidRPr="009049AB">
        <w:rPr>
          <w:rFonts w:cs="Arial"/>
        </w:rPr>
        <w:t>Monetary balance sheet items denominated in foreign currencies are translated at the exchange rates ruling at the balance sheet date. Non-monetary balance sheet items that are measured at historical cost in a foreign currency are translated at the exchange rates ruling at the date of transaction. Non-monetary balance sheet items that are measured at current value are translated at the exchange rates ruling at the date of valuation.</w:t>
      </w:r>
    </w:p>
    <w:p w:rsidR="009F3666" w:rsidRPr="009049AB" w:rsidRDefault="009F3666" w:rsidP="009F3666">
      <w:pPr>
        <w:pStyle w:val="Style000"/>
        <w:rPr>
          <w:rFonts w:cs="Arial"/>
        </w:rPr>
      </w:pPr>
    </w:p>
    <w:p w:rsidR="009F3666" w:rsidRPr="009049AB" w:rsidRDefault="009F3666" w:rsidP="009F3666">
      <w:pPr>
        <w:pStyle w:val="Style000"/>
        <w:rPr>
          <w:rFonts w:cs="Arial"/>
        </w:rPr>
      </w:pPr>
      <w:r w:rsidRPr="009049AB">
        <w:rPr>
          <w:rFonts w:cs="Arial"/>
        </w:rPr>
        <w:t>Exchange differences arising on the settlement or translation of monetary items denominated in foreign currencies are taken to the profit and loss account</w:t>
      </w:r>
      <w:r w:rsidR="00B9523A" w:rsidRPr="009049AB">
        <w:rPr>
          <w:rFonts w:cs="Arial"/>
        </w:rPr>
        <w:t xml:space="preserve">. </w:t>
      </w:r>
    </w:p>
    <w:p w:rsidR="009F3666" w:rsidRPr="009049AB" w:rsidRDefault="009F3666" w:rsidP="009F3666">
      <w:pPr>
        <w:pStyle w:val="Style000"/>
        <w:rPr>
          <w:rFonts w:cs="Arial"/>
        </w:rPr>
      </w:pPr>
    </w:p>
    <w:p w:rsidR="00E52BE7" w:rsidRPr="009049AB" w:rsidRDefault="00E52BE7" w:rsidP="00E52BE7">
      <w:pPr>
        <w:pStyle w:val="Style000"/>
        <w:rPr>
          <w:rFonts w:cs="Arial"/>
        </w:rPr>
      </w:pPr>
      <w:r w:rsidRPr="009049AB">
        <w:rPr>
          <w:rFonts w:cs="Arial"/>
        </w:rPr>
        <w:t xml:space="preserve">The exchange rate used, where applicable for </w:t>
      </w:r>
      <w:r w:rsidR="00D846DF" w:rsidRPr="009049AB">
        <w:rPr>
          <w:rFonts w:cs="Arial"/>
        </w:rPr>
        <w:t>2011</w:t>
      </w:r>
      <w:r w:rsidRPr="009049AB">
        <w:rPr>
          <w:rFonts w:cs="Arial"/>
        </w:rPr>
        <w:t xml:space="preserve">, is </w:t>
      </w:r>
      <w:r w:rsidR="00ED3084" w:rsidRPr="009049AB">
        <w:rPr>
          <w:rFonts w:cs="Arial"/>
        </w:rPr>
        <w:t xml:space="preserve">USD </w:t>
      </w:r>
      <w:r w:rsidR="008F36AF" w:rsidRPr="009049AB">
        <w:rPr>
          <w:rFonts w:cs="Arial"/>
        </w:rPr>
        <w:t>0.7</w:t>
      </w:r>
      <w:r w:rsidR="00D846DF" w:rsidRPr="009049AB">
        <w:rPr>
          <w:rFonts w:cs="Arial"/>
        </w:rPr>
        <w:t>735</w:t>
      </w:r>
      <w:r w:rsidR="008F36AF" w:rsidRPr="009049AB">
        <w:rPr>
          <w:rFonts w:cs="Arial"/>
        </w:rPr>
        <w:t xml:space="preserve"> </w:t>
      </w:r>
      <w:r w:rsidRPr="009049AB">
        <w:rPr>
          <w:rFonts w:cs="Arial"/>
        </w:rPr>
        <w:t>to Euro 1.</w:t>
      </w:r>
    </w:p>
    <w:p w:rsidR="00E52BE7" w:rsidRPr="00D756D3" w:rsidRDefault="00E52BE7" w:rsidP="00E52BE7">
      <w:pPr>
        <w:pStyle w:val="Style000"/>
        <w:rPr>
          <w:rFonts w:cs="Arial"/>
        </w:rPr>
      </w:pPr>
      <w:r w:rsidRPr="009049AB">
        <w:rPr>
          <w:rFonts w:cs="Arial"/>
        </w:rPr>
        <w:t xml:space="preserve">The exchange rate used, where applicable for </w:t>
      </w:r>
      <w:r w:rsidR="00D846DF" w:rsidRPr="009049AB">
        <w:rPr>
          <w:rFonts w:cs="Arial"/>
        </w:rPr>
        <w:t xml:space="preserve">2010, is USD 0.7486 </w:t>
      </w:r>
      <w:r w:rsidRPr="009049AB">
        <w:rPr>
          <w:rFonts w:cs="Arial"/>
        </w:rPr>
        <w:t>to Euro 1.</w:t>
      </w:r>
    </w:p>
    <w:p w:rsidR="00C2424A" w:rsidRPr="002872B4" w:rsidRDefault="00C23D89" w:rsidP="002B6147">
      <w:pPr>
        <w:pStyle w:val="081"/>
      </w:pPr>
      <w:r w:rsidRPr="009049AB">
        <w:lastRenderedPageBreak/>
        <w:t>Balance sheet</w:t>
      </w:r>
    </w:p>
    <w:p w:rsidR="00C2424A" w:rsidRPr="00CA2C1A" w:rsidRDefault="00C23D89" w:rsidP="009273BB">
      <w:pPr>
        <w:pStyle w:val="082"/>
        <w:rPr>
          <w:rFonts w:cs="Arial"/>
          <w:bCs/>
        </w:rPr>
      </w:pPr>
      <w:r w:rsidRPr="00CA2C1A">
        <w:rPr>
          <w:rFonts w:cs="Arial"/>
          <w:bCs/>
        </w:rPr>
        <w:t>Financial fixed assets</w:t>
      </w:r>
    </w:p>
    <w:p w:rsidR="00C2424A" w:rsidRPr="00CA2C1A" w:rsidRDefault="00C23D89" w:rsidP="00431517">
      <w:pPr>
        <w:pStyle w:val="Style000"/>
        <w:rPr>
          <w:rFonts w:cs="Arial"/>
        </w:rPr>
      </w:pPr>
      <w:r w:rsidRPr="00CA2C1A">
        <w:rPr>
          <w:rFonts w:cs="Arial"/>
        </w:rPr>
        <w:t>Financial fixed assets represent l</w:t>
      </w:r>
      <w:r w:rsidR="000F5CCC" w:rsidRPr="00CA2C1A">
        <w:rPr>
          <w:rFonts w:cs="Arial"/>
        </w:rPr>
        <w:t>oans receivable from group companies</w:t>
      </w:r>
      <w:r w:rsidRPr="00CA2C1A">
        <w:rPr>
          <w:rFonts w:cs="Arial"/>
        </w:rPr>
        <w:t>.</w:t>
      </w:r>
      <w:r w:rsidR="00C2424A" w:rsidRPr="00CA2C1A">
        <w:rPr>
          <w:rFonts w:cs="Arial"/>
        </w:rPr>
        <w:t xml:space="preserve"> </w:t>
      </w:r>
      <w:r w:rsidR="009A0E37" w:rsidRPr="00CA2C1A">
        <w:t xml:space="preserve">After initial measurement, </w:t>
      </w:r>
      <w:r w:rsidR="009A0E37" w:rsidRPr="00CA2C1A">
        <w:rPr>
          <w:rFonts w:cs="Arial"/>
        </w:rPr>
        <w:t xml:space="preserve">financial fixed assets </w:t>
      </w:r>
      <w:r w:rsidR="009A0E37" w:rsidRPr="00CA2C1A">
        <w:t xml:space="preserve">are carried at amortised cost based on the effective interest </w:t>
      </w:r>
      <w:r w:rsidR="00E026CA" w:rsidRPr="00CA2C1A">
        <w:t xml:space="preserve">rate </w:t>
      </w:r>
      <w:r w:rsidR="009A0E37" w:rsidRPr="00CA2C1A">
        <w:t>method. Gains and losses are taken to the profit and loss account through the amortisation process.</w:t>
      </w:r>
      <w:r w:rsidR="00E47C8C" w:rsidRPr="00CA2C1A">
        <w:rPr>
          <w:rFonts w:cs="Arial"/>
        </w:rPr>
        <w:t xml:space="preserve"> </w:t>
      </w:r>
    </w:p>
    <w:p w:rsidR="00C2424A" w:rsidRPr="00CA2C1A" w:rsidRDefault="00C2424A" w:rsidP="00C2424A">
      <w:pPr>
        <w:pStyle w:val="081"/>
        <w:rPr>
          <w:rFonts w:cs="Arial"/>
          <w:bCs/>
          <w:sz w:val="20"/>
        </w:rPr>
      </w:pPr>
      <w:r w:rsidRPr="00CA2C1A">
        <w:rPr>
          <w:rFonts w:cs="Arial"/>
          <w:bCs/>
          <w:sz w:val="20"/>
        </w:rPr>
        <w:t>Receivables</w:t>
      </w:r>
    </w:p>
    <w:p w:rsidR="000F5CCC" w:rsidRPr="00CA2C1A" w:rsidRDefault="00C2424A" w:rsidP="000F5CCC">
      <w:pPr>
        <w:pStyle w:val="Style000"/>
        <w:rPr>
          <w:rFonts w:cs="Arial"/>
        </w:rPr>
      </w:pPr>
      <w:r w:rsidRPr="00CA2C1A">
        <w:rPr>
          <w:rFonts w:cs="Arial"/>
        </w:rPr>
        <w:t xml:space="preserve">Receivables </w:t>
      </w:r>
      <w:r w:rsidR="00E47C8C" w:rsidRPr="00CA2C1A">
        <w:rPr>
          <w:rFonts w:cs="Arial"/>
        </w:rPr>
        <w:t>represent loans receivable from group companies with a maturity of under one year and other receivables. Receivables</w:t>
      </w:r>
      <w:r w:rsidR="000F5CCC" w:rsidRPr="00CA2C1A">
        <w:rPr>
          <w:rFonts w:cs="Arial"/>
        </w:rPr>
        <w:t xml:space="preserve"> are carried at the lower of face value and recoverable amount (being the higher of value in use and fair value less costs to sell). </w:t>
      </w:r>
    </w:p>
    <w:p w:rsidR="00C2424A" w:rsidRPr="00E47C8C" w:rsidRDefault="00C2424A" w:rsidP="00C2424A">
      <w:pPr>
        <w:pStyle w:val="081"/>
        <w:rPr>
          <w:rFonts w:cs="Arial"/>
          <w:bCs/>
          <w:sz w:val="20"/>
        </w:rPr>
      </w:pPr>
      <w:r w:rsidRPr="00CA2C1A">
        <w:rPr>
          <w:rFonts w:cs="Arial"/>
          <w:bCs/>
          <w:sz w:val="20"/>
        </w:rPr>
        <w:t>Cash at bank and in hand</w:t>
      </w:r>
    </w:p>
    <w:p w:rsidR="00C2424A" w:rsidRPr="002872B4" w:rsidRDefault="00C2424A" w:rsidP="00431517">
      <w:pPr>
        <w:pStyle w:val="Style000"/>
        <w:rPr>
          <w:rFonts w:cs="Arial"/>
        </w:rPr>
      </w:pPr>
      <w:r w:rsidRPr="002872B4">
        <w:rPr>
          <w:rFonts w:cs="Arial"/>
        </w:rPr>
        <w:t>Cash and cash equivalents are carried at their face value.</w:t>
      </w:r>
    </w:p>
    <w:p w:rsidR="001026DB" w:rsidRPr="00E47C8C" w:rsidRDefault="001026DB" w:rsidP="001026DB">
      <w:pPr>
        <w:pStyle w:val="081"/>
        <w:rPr>
          <w:rFonts w:cs="Arial"/>
          <w:bCs/>
          <w:sz w:val="20"/>
        </w:rPr>
      </w:pPr>
      <w:bookmarkStart w:id="15" w:name="_Toc166662864"/>
      <w:bookmarkStart w:id="16" w:name="_Toc170721826"/>
      <w:bookmarkStart w:id="17" w:name="_Toc170726640"/>
      <w:bookmarkStart w:id="18" w:name="_Toc171138765"/>
      <w:bookmarkEnd w:id="0"/>
      <w:bookmarkEnd w:id="1"/>
      <w:bookmarkEnd w:id="2"/>
      <w:bookmarkEnd w:id="3"/>
      <w:r w:rsidRPr="00E47C8C">
        <w:rPr>
          <w:rFonts w:cs="Arial"/>
          <w:bCs/>
          <w:sz w:val="20"/>
        </w:rPr>
        <w:t>Financial liabilities</w:t>
      </w:r>
    </w:p>
    <w:p w:rsidR="001026DB" w:rsidRPr="002872B4" w:rsidRDefault="001026DB" w:rsidP="001026DB">
      <w:pPr>
        <w:jc w:val="both"/>
        <w:rPr>
          <w:rFonts w:ascii="Arial" w:hAnsi="Arial" w:cs="Arial"/>
          <w:sz w:val="20"/>
        </w:rPr>
      </w:pPr>
      <w:r w:rsidRPr="002872B4">
        <w:rPr>
          <w:rFonts w:ascii="Arial" w:hAnsi="Arial" w:cs="Arial"/>
          <w:sz w:val="20"/>
        </w:rPr>
        <w:t xml:space="preserve">Financial liabilities are recognized initially at </w:t>
      </w:r>
      <w:r w:rsidR="001730EB">
        <w:rPr>
          <w:rFonts w:ascii="Arial" w:hAnsi="Arial" w:cs="Arial"/>
          <w:sz w:val="20"/>
        </w:rPr>
        <w:t>their</w:t>
      </w:r>
      <w:r w:rsidRPr="002872B4">
        <w:rPr>
          <w:rFonts w:ascii="Arial" w:hAnsi="Arial" w:cs="Arial"/>
          <w:sz w:val="20"/>
        </w:rPr>
        <w:t xml:space="preserve"> fair value less transaction costs, which represents the net proceeds of issuing the liability. Subsequently, financial liabilities are stated at amortized cost using the effective interest </w:t>
      </w:r>
      <w:r w:rsidR="001730EB">
        <w:rPr>
          <w:rFonts w:ascii="Arial" w:hAnsi="Arial" w:cs="Arial"/>
          <w:sz w:val="20"/>
        </w:rPr>
        <w:t xml:space="preserve">rate </w:t>
      </w:r>
      <w:r w:rsidRPr="002872B4">
        <w:rPr>
          <w:rFonts w:ascii="Arial" w:hAnsi="Arial" w:cs="Arial"/>
          <w:sz w:val="20"/>
        </w:rPr>
        <w:t>method. Financial liabilities are classified as current if the debt agreement terms require repayment within one year of the balance sheet date. Otherwise, they are classified as non-current.</w:t>
      </w:r>
    </w:p>
    <w:p w:rsidR="009F3666" w:rsidRPr="00E47C8C" w:rsidRDefault="009F3666" w:rsidP="009F3666">
      <w:pPr>
        <w:pStyle w:val="081"/>
        <w:rPr>
          <w:rFonts w:cs="Arial"/>
          <w:bCs/>
          <w:sz w:val="20"/>
        </w:rPr>
      </w:pPr>
      <w:r w:rsidRPr="00E47C8C">
        <w:rPr>
          <w:rFonts w:cs="Arial"/>
          <w:bCs/>
          <w:sz w:val="20"/>
        </w:rPr>
        <w:t>Income taxes</w:t>
      </w:r>
    </w:p>
    <w:p w:rsidR="00E50AC8" w:rsidRPr="002872B4" w:rsidRDefault="00E50AC8" w:rsidP="00E50AC8">
      <w:pPr>
        <w:pStyle w:val="Style000"/>
        <w:rPr>
          <w:rFonts w:cs="Arial"/>
        </w:rPr>
      </w:pPr>
      <w:r w:rsidRPr="002872B4">
        <w:rPr>
          <w:rFonts w:cs="Arial"/>
        </w:rPr>
        <w:t xml:space="preserve">The </w:t>
      </w:r>
      <w:r w:rsidR="00E47C8C">
        <w:rPr>
          <w:rFonts w:cs="Arial"/>
        </w:rPr>
        <w:t>C</w:t>
      </w:r>
      <w:r w:rsidRPr="002872B4">
        <w:rPr>
          <w:rFonts w:cs="Arial"/>
        </w:rPr>
        <w:t xml:space="preserve">ompany together with Syngenta Treasury N.V. constitutes a fiscal unity. All companies within the fiscal unity are </w:t>
      </w:r>
      <w:r w:rsidR="001730EB">
        <w:rPr>
          <w:rFonts w:cs="Arial"/>
        </w:rPr>
        <w:t xml:space="preserve">jointly and </w:t>
      </w:r>
      <w:r w:rsidRPr="002872B4">
        <w:rPr>
          <w:rFonts w:cs="Arial"/>
        </w:rPr>
        <w:t>severa</w:t>
      </w:r>
      <w:r w:rsidR="001730EB">
        <w:rPr>
          <w:rFonts w:cs="Arial"/>
        </w:rPr>
        <w:t>lly</w:t>
      </w:r>
      <w:r w:rsidRPr="002872B4">
        <w:rPr>
          <w:rFonts w:cs="Arial"/>
        </w:rPr>
        <w:t xml:space="preserve"> liable for the tax liabilities</w:t>
      </w:r>
      <w:r w:rsidR="001730EB">
        <w:rPr>
          <w:rFonts w:cs="Arial"/>
        </w:rPr>
        <w:t xml:space="preserve"> of the fiscal unity</w:t>
      </w:r>
      <w:r w:rsidRPr="002872B4">
        <w:rPr>
          <w:rFonts w:cs="Arial"/>
        </w:rPr>
        <w:t>.</w:t>
      </w:r>
      <w:r w:rsidRPr="002872B4" w:rsidDel="005C52A2">
        <w:rPr>
          <w:rFonts w:cs="Arial"/>
        </w:rPr>
        <w:t xml:space="preserve"> </w:t>
      </w:r>
    </w:p>
    <w:p w:rsidR="00E50AC8" w:rsidRPr="002872B4" w:rsidRDefault="00E50AC8" w:rsidP="00E50AC8">
      <w:pPr>
        <w:pStyle w:val="Style000"/>
        <w:rPr>
          <w:rFonts w:cs="Arial"/>
        </w:rPr>
      </w:pPr>
    </w:p>
    <w:p w:rsidR="00E50AC8" w:rsidRPr="002872B4" w:rsidRDefault="00E50AC8" w:rsidP="00E50AC8">
      <w:pPr>
        <w:pStyle w:val="Style000"/>
        <w:rPr>
          <w:rFonts w:cs="Arial"/>
        </w:rPr>
      </w:pPr>
      <w:r w:rsidRPr="002872B4">
        <w:rPr>
          <w:rFonts w:cs="Arial"/>
        </w:rPr>
        <w:t xml:space="preserve">The </w:t>
      </w:r>
      <w:r w:rsidR="00E47C8C">
        <w:rPr>
          <w:rFonts w:cs="Arial"/>
        </w:rPr>
        <w:t>C</w:t>
      </w:r>
      <w:r w:rsidRPr="002872B4">
        <w:rPr>
          <w:rFonts w:cs="Arial"/>
        </w:rPr>
        <w:t xml:space="preserve">ompany is subject to ordinary applicable Dutch corporate income tax rate, its taxable income being calculated on an arm’s length reward corresponding to the functions performed and risks assumed by the </w:t>
      </w:r>
      <w:r w:rsidR="007D71CC">
        <w:rPr>
          <w:rFonts w:cs="Arial"/>
        </w:rPr>
        <w:t>C</w:t>
      </w:r>
      <w:r w:rsidRPr="002872B4">
        <w:rPr>
          <w:rFonts w:cs="Arial"/>
        </w:rPr>
        <w:t>ompany.</w:t>
      </w:r>
    </w:p>
    <w:p w:rsidR="00E50AC8" w:rsidRPr="002872B4" w:rsidRDefault="00E50AC8" w:rsidP="00E50AC8">
      <w:pPr>
        <w:pStyle w:val="Style000"/>
        <w:rPr>
          <w:rFonts w:cs="Arial"/>
        </w:rPr>
      </w:pPr>
    </w:p>
    <w:p w:rsidR="00E50AC8" w:rsidRPr="002872B4" w:rsidRDefault="00E50AC8" w:rsidP="00E50AC8">
      <w:pPr>
        <w:pStyle w:val="000"/>
      </w:pPr>
    </w:p>
    <w:p w:rsidR="003072EE" w:rsidRPr="002872B4" w:rsidRDefault="003072EE" w:rsidP="003072EE">
      <w:pPr>
        <w:pStyle w:val="081"/>
        <w:rPr>
          <w:rFonts w:cs="Arial"/>
          <w:bCs/>
          <w:szCs w:val="24"/>
        </w:rPr>
      </w:pPr>
      <w:r w:rsidRPr="009049AB">
        <w:rPr>
          <w:rFonts w:cs="Arial"/>
          <w:bCs/>
          <w:szCs w:val="24"/>
        </w:rPr>
        <w:lastRenderedPageBreak/>
        <w:t>Profit and loss account</w:t>
      </w:r>
    </w:p>
    <w:p w:rsidR="003072EE" w:rsidRPr="002872B4" w:rsidRDefault="003072EE" w:rsidP="003072EE">
      <w:pPr>
        <w:pStyle w:val="082"/>
        <w:rPr>
          <w:rFonts w:cs="Arial"/>
          <w:bCs/>
        </w:rPr>
      </w:pPr>
      <w:r w:rsidRPr="002872B4">
        <w:rPr>
          <w:rFonts w:cs="Arial"/>
          <w:bCs/>
        </w:rPr>
        <w:t>Gross interest margin</w:t>
      </w:r>
    </w:p>
    <w:p w:rsidR="003072EE" w:rsidRPr="002872B4" w:rsidRDefault="003072EE" w:rsidP="003072EE">
      <w:pPr>
        <w:pStyle w:val="Style000"/>
        <w:rPr>
          <w:rFonts w:cs="Arial"/>
        </w:rPr>
      </w:pPr>
      <w:r w:rsidRPr="002872B4">
        <w:rPr>
          <w:rFonts w:cs="Arial"/>
        </w:rPr>
        <w:t xml:space="preserve">Gross interest margin represents the proceeds and cost from/of </w:t>
      </w:r>
      <w:r w:rsidRPr="002872B4">
        <w:t>the supply of services</w:t>
      </w:r>
      <w:r w:rsidRPr="002872B4">
        <w:rPr>
          <w:rFonts w:cs="Arial"/>
        </w:rPr>
        <w:t>, net of withholding taxes.</w:t>
      </w:r>
    </w:p>
    <w:p w:rsidR="003072EE" w:rsidRPr="002872B4" w:rsidRDefault="003072EE" w:rsidP="003072EE">
      <w:pPr>
        <w:pStyle w:val="Style000"/>
        <w:rPr>
          <w:rFonts w:cs="Arial"/>
        </w:rPr>
      </w:pPr>
    </w:p>
    <w:p w:rsidR="003072EE" w:rsidRDefault="003072EE" w:rsidP="003072EE">
      <w:pPr>
        <w:pStyle w:val="Style000"/>
        <w:rPr>
          <w:rFonts w:cs="Arial"/>
        </w:rPr>
      </w:pPr>
      <w:r w:rsidRPr="002872B4">
        <w:rPr>
          <w:rFonts w:cs="Arial"/>
        </w:rPr>
        <w:t>Interest income is recognised pro rata in the profit and loss account, taking into account the effective interest rate for the asset concerned, provided the income can be measured and the income is probable to be received.</w:t>
      </w:r>
    </w:p>
    <w:p w:rsidR="00E47C8C" w:rsidRPr="002872B4" w:rsidRDefault="00E47C8C" w:rsidP="003072EE">
      <w:pPr>
        <w:pStyle w:val="Style000"/>
        <w:rPr>
          <w:rFonts w:cs="Arial"/>
        </w:rPr>
      </w:pPr>
    </w:p>
    <w:p w:rsidR="003072EE" w:rsidRPr="002872B4" w:rsidRDefault="003072EE" w:rsidP="003072EE">
      <w:pPr>
        <w:pStyle w:val="Style000"/>
        <w:rPr>
          <w:rFonts w:cs="Arial"/>
        </w:rPr>
      </w:pPr>
      <w:r w:rsidRPr="002872B4">
        <w:rPr>
          <w:rFonts w:cs="Arial"/>
        </w:rPr>
        <w:t xml:space="preserve">Interest expense is allocated to successive financial reporting periods in proportion to the outstanding principal. Premiums and </w:t>
      </w:r>
      <w:r w:rsidR="0007580B" w:rsidRPr="002872B4">
        <w:rPr>
          <w:rFonts w:cs="Arial"/>
        </w:rPr>
        <w:t>discounts</w:t>
      </w:r>
      <w:r w:rsidRPr="002872B4">
        <w:rPr>
          <w:rFonts w:cs="Arial"/>
        </w:rPr>
        <w:t xml:space="preserve"> are treated as annual interest charges so that the effective interest rate, together with the interest payable on the loan, is recognised in the profit and loss account, with the amortised cost of the liabilities being recognised in the balance sheet. Period interest charges and similar charges are recognised in the year in which they fall due.</w:t>
      </w:r>
    </w:p>
    <w:p w:rsidR="003072EE" w:rsidRPr="002872B4" w:rsidRDefault="003072EE" w:rsidP="003072EE">
      <w:pPr>
        <w:pStyle w:val="082"/>
        <w:tabs>
          <w:tab w:val="left" w:pos="1170"/>
        </w:tabs>
        <w:rPr>
          <w:rFonts w:cs="Arial"/>
          <w:bCs/>
        </w:rPr>
      </w:pPr>
      <w:r w:rsidRPr="002872B4">
        <w:rPr>
          <w:rFonts w:cs="Arial"/>
          <w:bCs/>
        </w:rPr>
        <w:t>General</w:t>
      </w:r>
      <w:r w:rsidR="00E47C8C">
        <w:rPr>
          <w:rFonts w:cs="Arial"/>
          <w:bCs/>
        </w:rPr>
        <w:t xml:space="preserve"> expenses</w:t>
      </w:r>
      <w:r w:rsidRPr="002872B4">
        <w:rPr>
          <w:rFonts w:cs="Arial"/>
          <w:bCs/>
        </w:rPr>
        <w:tab/>
      </w:r>
    </w:p>
    <w:p w:rsidR="003072EE" w:rsidRDefault="003072EE" w:rsidP="003072EE">
      <w:pPr>
        <w:pStyle w:val="Style000"/>
        <w:rPr>
          <w:rFonts w:cs="Arial"/>
        </w:rPr>
      </w:pPr>
      <w:r w:rsidRPr="002872B4">
        <w:rPr>
          <w:rFonts w:cs="Arial"/>
        </w:rPr>
        <w:t>Expenses are determined with due observance of the aforementioned accounting policies and allocated to the financial year to which they relate. Foreseeable and other obligations as well as potential losses arising before the financial year-end are recognised if they are known before the financial statements are prepared and provided all other conditions for forming provisions are met.</w:t>
      </w:r>
    </w:p>
    <w:p w:rsidR="00FC3114" w:rsidRDefault="00FC3114" w:rsidP="003072EE">
      <w:pPr>
        <w:pStyle w:val="Style000"/>
        <w:rPr>
          <w:rFonts w:cs="Arial"/>
        </w:rPr>
      </w:pPr>
    </w:p>
    <w:p w:rsidR="00FC3114" w:rsidRDefault="00FC3114" w:rsidP="003072EE">
      <w:pPr>
        <w:pStyle w:val="Style000"/>
        <w:rPr>
          <w:rFonts w:cs="Arial"/>
        </w:rPr>
      </w:pPr>
    </w:p>
    <w:p w:rsidR="00FC3114" w:rsidRDefault="00FC3114" w:rsidP="003072EE">
      <w:pPr>
        <w:pStyle w:val="Style000"/>
        <w:rPr>
          <w:rFonts w:cs="Arial"/>
        </w:rPr>
      </w:pPr>
    </w:p>
    <w:p w:rsidR="00FC3114" w:rsidRDefault="00FC3114" w:rsidP="003072EE">
      <w:pPr>
        <w:pStyle w:val="Style000"/>
        <w:rPr>
          <w:rFonts w:cs="Arial"/>
        </w:rPr>
      </w:pPr>
    </w:p>
    <w:p w:rsidR="00FC3114" w:rsidRDefault="00FC3114" w:rsidP="003072EE">
      <w:pPr>
        <w:pStyle w:val="Style000"/>
        <w:rPr>
          <w:rFonts w:cs="Arial"/>
        </w:rPr>
      </w:pPr>
    </w:p>
    <w:p w:rsidR="00FC3114" w:rsidRDefault="00FC3114" w:rsidP="003072EE">
      <w:pPr>
        <w:pStyle w:val="Style000"/>
        <w:rPr>
          <w:rFonts w:cs="Arial"/>
        </w:rPr>
      </w:pPr>
    </w:p>
    <w:p w:rsidR="00FC3114" w:rsidRDefault="00FC3114" w:rsidP="003072EE">
      <w:pPr>
        <w:pStyle w:val="Style000"/>
        <w:rPr>
          <w:rFonts w:cs="Arial"/>
        </w:rPr>
      </w:pPr>
    </w:p>
    <w:p w:rsidR="00FC3114" w:rsidRDefault="00FC3114" w:rsidP="003072EE">
      <w:pPr>
        <w:pStyle w:val="Style000"/>
        <w:rPr>
          <w:rFonts w:cs="Arial"/>
        </w:rPr>
      </w:pPr>
    </w:p>
    <w:p w:rsidR="00FC3114" w:rsidRDefault="00FC3114" w:rsidP="003072EE">
      <w:pPr>
        <w:pStyle w:val="Style000"/>
        <w:rPr>
          <w:rFonts w:cs="Arial"/>
        </w:rPr>
      </w:pPr>
    </w:p>
    <w:p w:rsidR="00FC3114" w:rsidRDefault="00FC3114" w:rsidP="003072EE">
      <w:pPr>
        <w:pStyle w:val="Style000"/>
        <w:rPr>
          <w:rFonts w:cs="Arial"/>
        </w:rPr>
      </w:pPr>
    </w:p>
    <w:p w:rsidR="00FC3114" w:rsidRDefault="00FC3114" w:rsidP="003072EE">
      <w:pPr>
        <w:pStyle w:val="Style000"/>
        <w:rPr>
          <w:rFonts w:cs="Arial"/>
        </w:rPr>
      </w:pPr>
    </w:p>
    <w:p w:rsidR="00FC3114" w:rsidRDefault="00FC3114" w:rsidP="003072EE">
      <w:pPr>
        <w:pStyle w:val="Style000"/>
        <w:rPr>
          <w:rFonts w:cs="Arial"/>
        </w:rPr>
      </w:pPr>
    </w:p>
    <w:p w:rsidR="00FC3114" w:rsidRDefault="00FC3114" w:rsidP="003072EE">
      <w:pPr>
        <w:pStyle w:val="Style000"/>
        <w:rPr>
          <w:rFonts w:cs="Arial"/>
        </w:rPr>
      </w:pPr>
    </w:p>
    <w:p w:rsidR="00FC3114" w:rsidRDefault="00FC3114" w:rsidP="003072EE">
      <w:pPr>
        <w:pStyle w:val="Style000"/>
        <w:rPr>
          <w:rFonts w:cs="Arial"/>
        </w:rPr>
      </w:pPr>
    </w:p>
    <w:p w:rsidR="00FC3114" w:rsidRDefault="00FC3114" w:rsidP="003072EE">
      <w:pPr>
        <w:pStyle w:val="Style000"/>
        <w:rPr>
          <w:rFonts w:cs="Arial"/>
        </w:rPr>
      </w:pPr>
    </w:p>
    <w:p w:rsidR="00FC3114" w:rsidRDefault="00FC3114" w:rsidP="003072EE">
      <w:pPr>
        <w:pStyle w:val="Style000"/>
        <w:rPr>
          <w:rFonts w:cs="Arial"/>
        </w:rPr>
      </w:pPr>
    </w:p>
    <w:p w:rsidR="00FC3114" w:rsidRDefault="00FC3114" w:rsidP="003072EE">
      <w:pPr>
        <w:pStyle w:val="Style000"/>
        <w:rPr>
          <w:rFonts w:cs="Arial"/>
        </w:rPr>
      </w:pPr>
    </w:p>
    <w:p w:rsidR="00FC3114" w:rsidRDefault="00FC3114" w:rsidP="003072EE">
      <w:pPr>
        <w:pStyle w:val="Style000"/>
        <w:rPr>
          <w:rFonts w:cs="Arial"/>
        </w:rPr>
      </w:pPr>
    </w:p>
    <w:p w:rsidR="00FC3114" w:rsidRPr="00D756D3" w:rsidRDefault="00FC3114" w:rsidP="003072EE">
      <w:pPr>
        <w:pStyle w:val="Style000"/>
        <w:rPr>
          <w:rFonts w:cs="Arial"/>
        </w:rPr>
      </w:pPr>
    </w:p>
    <w:p w:rsidR="007E56CB" w:rsidRPr="007E56CB" w:rsidRDefault="003E3AB9" w:rsidP="00974386">
      <w:pPr>
        <w:pStyle w:val="080"/>
      </w:pPr>
      <w:r w:rsidRPr="00D756D3">
        <w:rPr>
          <w:rFonts w:cs="Arial"/>
          <w:bCs/>
        </w:rPr>
        <w:lastRenderedPageBreak/>
        <w:t xml:space="preserve">Notes to the </w:t>
      </w:r>
      <w:bookmarkEnd w:id="15"/>
      <w:bookmarkEnd w:id="16"/>
      <w:bookmarkEnd w:id="17"/>
      <w:bookmarkEnd w:id="18"/>
      <w:r w:rsidR="007B37DC">
        <w:t>Financial statements</w:t>
      </w:r>
    </w:p>
    <w:p w:rsidR="007E56CB" w:rsidRDefault="003E3AB9" w:rsidP="007E56CB">
      <w:pPr>
        <w:pStyle w:val="081"/>
        <w:numPr>
          <w:ilvl w:val="0"/>
          <w:numId w:val="6"/>
        </w:numPr>
        <w:rPr>
          <w:rFonts w:cs="Arial"/>
          <w:bCs/>
          <w:color w:val="FF0000"/>
        </w:rPr>
      </w:pPr>
      <w:r w:rsidRPr="007E56CB">
        <w:rPr>
          <w:rFonts w:cs="Arial"/>
          <w:bCs/>
          <w:szCs w:val="24"/>
        </w:rPr>
        <w:t>Financial fixed</w:t>
      </w:r>
      <w:r w:rsidR="000F4C50" w:rsidRPr="007E56CB">
        <w:rPr>
          <w:rFonts w:cs="Arial"/>
          <w:bCs/>
          <w:szCs w:val="24"/>
        </w:rPr>
        <w:t xml:space="preserve"> assets</w:t>
      </w:r>
    </w:p>
    <w:tbl>
      <w:tblPr>
        <w:tblW w:w="9066" w:type="dxa"/>
        <w:tblInd w:w="103" w:type="dxa"/>
        <w:tblLook w:val="04A0"/>
      </w:tblPr>
      <w:tblGrid>
        <w:gridCol w:w="3430"/>
        <w:gridCol w:w="381"/>
        <w:gridCol w:w="1228"/>
        <w:gridCol w:w="1151"/>
        <w:gridCol w:w="343"/>
        <w:gridCol w:w="1323"/>
        <w:gridCol w:w="1210"/>
      </w:tblGrid>
      <w:tr w:rsidR="007E56CB" w:rsidRPr="007E56CB" w:rsidTr="00B66938">
        <w:trPr>
          <w:trHeight w:val="286"/>
        </w:trPr>
        <w:tc>
          <w:tcPr>
            <w:tcW w:w="3430" w:type="dxa"/>
            <w:tcBorders>
              <w:top w:val="single" w:sz="4" w:space="0" w:color="auto"/>
              <w:left w:val="single" w:sz="4" w:space="0" w:color="auto"/>
              <w:bottom w:val="single" w:sz="4" w:space="0" w:color="auto"/>
              <w:right w:val="nil"/>
            </w:tcBorders>
            <w:shd w:val="clear" w:color="auto" w:fill="auto"/>
            <w:noWrap/>
            <w:vAlign w:val="bottom"/>
            <w:hideMark/>
          </w:tcPr>
          <w:p w:rsidR="007E56CB" w:rsidRPr="007E56CB" w:rsidRDefault="007E56CB" w:rsidP="007E56CB">
            <w:pPr>
              <w:overflowPunct/>
              <w:autoSpaceDE/>
              <w:autoSpaceDN/>
              <w:adjustRightInd/>
              <w:spacing w:line="240" w:lineRule="auto"/>
              <w:textAlignment w:val="auto"/>
              <w:rPr>
                <w:rFonts w:ascii="Arial" w:hAnsi="Arial" w:cs="Arial"/>
                <w:i/>
                <w:iCs/>
                <w:sz w:val="20"/>
                <w:lang w:val="en-US"/>
              </w:rPr>
            </w:pPr>
            <w:r w:rsidRPr="007E56CB">
              <w:rPr>
                <w:rFonts w:ascii="Arial" w:hAnsi="Arial" w:cs="Arial"/>
                <w:i/>
                <w:iCs/>
                <w:sz w:val="20"/>
                <w:lang w:val="en-US"/>
              </w:rPr>
              <w:t> </w:t>
            </w:r>
          </w:p>
        </w:tc>
        <w:tc>
          <w:tcPr>
            <w:tcW w:w="381" w:type="dxa"/>
            <w:tcBorders>
              <w:top w:val="single" w:sz="4" w:space="0" w:color="auto"/>
              <w:left w:val="nil"/>
              <w:bottom w:val="nil"/>
              <w:right w:val="nil"/>
            </w:tcBorders>
            <w:shd w:val="clear" w:color="auto" w:fill="auto"/>
            <w:noWrap/>
            <w:vAlign w:val="bottom"/>
            <w:hideMark/>
          </w:tcPr>
          <w:p w:rsidR="007E56CB" w:rsidRPr="007E56CB" w:rsidRDefault="007E56CB" w:rsidP="007E56CB">
            <w:pPr>
              <w:overflowPunct/>
              <w:autoSpaceDE/>
              <w:autoSpaceDN/>
              <w:adjustRightInd/>
              <w:spacing w:line="240" w:lineRule="auto"/>
              <w:textAlignment w:val="auto"/>
              <w:rPr>
                <w:rFonts w:ascii="Arial" w:hAnsi="Arial" w:cs="Arial"/>
                <w:i/>
                <w:iCs/>
                <w:sz w:val="20"/>
                <w:lang w:val="en-US"/>
              </w:rPr>
            </w:pPr>
            <w:r w:rsidRPr="007E56CB">
              <w:rPr>
                <w:rFonts w:ascii="Arial" w:hAnsi="Arial" w:cs="Arial"/>
                <w:i/>
                <w:iCs/>
                <w:sz w:val="20"/>
                <w:lang w:val="en-US"/>
              </w:rPr>
              <w:t> </w:t>
            </w:r>
          </w:p>
        </w:tc>
        <w:tc>
          <w:tcPr>
            <w:tcW w:w="2379" w:type="dxa"/>
            <w:gridSpan w:val="2"/>
            <w:tcBorders>
              <w:top w:val="single" w:sz="4" w:space="0" w:color="auto"/>
              <w:left w:val="nil"/>
              <w:bottom w:val="single" w:sz="4" w:space="0" w:color="auto"/>
              <w:right w:val="nil"/>
            </w:tcBorders>
            <w:shd w:val="clear" w:color="auto" w:fill="auto"/>
            <w:vAlign w:val="bottom"/>
            <w:hideMark/>
          </w:tcPr>
          <w:p w:rsidR="007E56CB" w:rsidRPr="007E56CB" w:rsidRDefault="007E56CB" w:rsidP="007E56CB">
            <w:pPr>
              <w:overflowPunct/>
              <w:autoSpaceDE/>
              <w:autoSpaceDN/>
              <w:adjustRightInd/>
              <w:spacing w:line="240" w:lineRule="auto"/>
              <w:jc w:val="center"/>
              <w:textAlignment w:val="auto"/>
              <w:rPr>
                <w:rFonts w:ascii="Arial" w:hAnsi="Arial" w:cs="Arial"/>
                <w:sz w:val="20"/>
                <w:lang w:val="en-US"/>
              </w:rPr>
            </w:pPr>
            <w:r w:rsidRPr="007E56CB">
              <w:rPr>
                <w:rFonts w:ascii="Arial" w:hAnsi="Arial" w:cs="Arial"/>
                <w:sz w:val="20"/>
                <w:lang w:val="en-US"/>
              </w:rPr>
              <w:t>2011</w:t>
            </w:r>
          </w:p>
        </w:tc>
        <w:tc>
          <w:tcPr>
            <w:tcW w:w="343" w:type="dxa"/>
            <w:tcBorders>
              <w:top w:val="single" w:sz="4" w:space="0" w:color="auto"/>
              <w:left w:val="nil"/>
              <w:bottom w:val="nil"/>
              <w:right w:val="nil"/>
            </w:tcBorders>
            <w:shd w:val="clear" w:color="auto" w:fill="auto"/>
            <w:noWrap/>
            <w:vAlign w:val="bottom"/>
            <w:hideMark/>
          </w:tcPr>
          <w:p w:rsidR="007E56CB" w:rsidRPr="007E56CB" w:rsidRDefault="007E56CB" w:rsidP="007E56CB">
            <w:pPr>
              <w:overflowPunct/>
              <w:autoSpaceDE/>
              <w:autoSpaceDN/>
              <w:adjustRightInd/>
              <w:spacing w:line="240" w:lineRule="auto"/>
              <w:jc w:val="center"/>
              <w:textAlignment w:val="auto"/>
              <w:rPr>
                <w:rFonts w:ascii="Arial" w:hAnsi="Arial" w:cs="Arial"/>
                <w:sz w:val="20"/>
                <w:lang w:val="en-US"/>
              </w:rPr>
            </w:pPr>
            <w:r w:rsidRPr="007E56CB">
              <w:rPr>
                <w:rFonts w:ascii="Arial" w:hAnsi="Arial" w:cs="Arial"/>
                <w:sz w:val="20"/>
                <w:lang w:val="en-US"/>
              </w:rPr>
              <w:t> </w:t>
            </w:r>
          </w:p>
        </w:tc>
        <w:tc>
          <w:tcPr>
            <w:tcW w:w="2533" w:type="dxa"/>
            <w:gridSpan w:val="2"/>
            <w:tcBorders>
              <w:top w:val="single" w:sz="4" w:space="0" w:color="auto"/>
              <w:left w:val="nil"/>
              <w:bottom w:val="single" w:sz="4" w:space="0" w:color="auto"/>
              <w:right w:val="single" w:sz="4" w:space="0" w:color="000000"/>
            </w:tcBorders>
            <w:shd w:val="clear" w:color="auto" w:fill="auto"/>
            <w:vAlign w:val="bottom"/>
            <w:hideMark/>
          </w:tcPr>
          <w:p w:rsidR="007E56CB" w:rsidRPr="007E56CB" w:rsidRDefault="007E56CB" w:rsidP="007E56CB">
            <w:pPr>
              <w:overflowPunct/>
              <w:autoSpaceDE/>
              <w:autoSpaceDN/>
              <w:adjustRightInd/>
              <w:spacing w:line="240" w:lineRule="auto"/>
              <w:jc w:val="center"/>
              <w:textAlignment w:val="auto"/>
              <w:rPr>
                <w:rFonts w:ascii="Arial" w:hAnsi="Arial" w:cs="Arial"/>
                <w:sz w:val="20"/>
                <w:lang w:val="en-US"/>
              </w:rPr>
            </w:pPr>
            <w:r w:rsidRPr="007E56CB">
              <w:rPr>
                <w:rFonts w:ascii="Arial" w:hAnsi="Arial" w:cs="Arial"/>
                <w:sz w:val="20"/>
                <w:lang w:val="en-US"/>
              </w:rPr>
              <w:t>2010</w:t>
            </w:r>
          </w:p>
        </w:tc>
      </w:tr>
      <w:tr w:rsidR="007E56CB" w:rsidRPr="007E56CB" w:rsidTr="00B66938">
        <w:trPr>
          <w:trHeight w:val="286"/>
        </w:trPr>
        <w:tc>
          <w:tcPr>
            <w:tcW w:w="3430" w:type="dxa"/>
            <w:tcBorders>
              <w:top w:val="nil"/>
              <w:left w:val="single" w:sz="4" w:space="0" w:color="auto"/>
              <w:bottom w:val="nil"/>
              <w:right w:val="nil"/>
            </w:tcBorders>
            <w:shd w:val="clear" w:color="auto" w:fill="auto"/>
            <w:hideMark/>
          </w:tcPr>
          <w:p w:rsidR="007E56CB" w:rsidRPr="007E56CB" w:rsidRDefault="007E56CB" w:rsidP="007E56CB">
            <w:pPr>
              <w:overflowPunct/>
              <w:autoSpaceDE/>
              <w:autoSpaceDN/>
              <w:adjustRightInd/>
              <w:spacing w:line="240" w:lineRule="auto"/>
              <w:textAlignment w:val="auto"/>
              <w:rPr>
                <w:rFonts w:ascii="Arial" w:hAnsi="Arial" w:cs="Arial"/>
                <w:sz w:val="16"/>
                <w:szCs w:val="16"/>
                <w:lang w:val="en-US"/>
              </w:rPr>
            </w:pPr>
            <w:r w:rsidRPr="007E56CB">
              <w:rPr>
                <w:rFonts w:ascii="Arial" w:hAnsi="Arial" w:cs="Arial"/>
                <w:sz w:val="16"/>
                <w:szCs w:val="16"/>
                <w:lang w:val="en-US"/>
              </w:rPr>
              <w:t>(in thousands of USD)</w:t>
            </w:r>
          </w:p>
        </w:tc>
        <w:tc>
          <w:tcPr>
            <w:tcW w:w="381" w:type="dxa"/>
            <w:tcBorders>
              <w:top w:val="nil"/>
              <w:left w:val="nil"/>
              <w:bottom w:val="nil"/>
              <w:right w:val="nil"/>
            </w:tcBorders>
            <w:shd w:val="clear" w:color="auto" w:fill="auto"/>
            <w:hideMark/>
          </w:tcPr>
          <w:p w:rsidR="007E56CB" w:rsidRPr="007E56CB" w:rsidRDefault="007E56CB" w:rsidP="007E56CB">
            <w:pPr>
              <w:overflowPunct/>
              <w:autoSpaceDE/>
              <w:autoSpaceDN/>
              <w:adjustRightInd/>
              <w:spacing w:line="240" w:lineRule="auto"/>
              <w:textAlignment w:val="auto"/>
              <w:rPr>
                <w:rFonts w:ascii="Arial" w:hAnsi="Arial" w:cs="Arial"/>
                <w:sz w:val="20"/>
                <w:lang w:val="en-US"/>
              </w:rPr>
            </w:pPr>
          </w:p>
        </w:tc>
        <w:tc>
          <w:tcPr>
            <w:tcW w:w="1228" w:type="dxa"/>
            <w:tcBorders>
              <w:top w:val="nil"/>
              <w:left w:val="nil"/>
              <w:bottom w:val="nil"/>
              <w:right w:val="nil"/>
            </w:tcBorders>
            <w:shd w:val="clear" w:color="auto" w:fill="auto"/>
            <w:hideMark/>
          </w:tcPr>
          <w:p w:rsidR="007E56CB" w:rsidRPr="007E56CB" w:rsidRDefault="007E56CB" w:rsidP="007E56CB">
            <w:pPr>
              <w:overflowPunct/>
              <w:autoSpaceDE/>
              <w:autoSpaceDN/>
              <w:adjustRightInd/>
              <w:spacing w:line="240" w:lineRule="auto"/>
              <w:textAlignment w:val="auto"/>
              <w:rPr>
                <w:rFonts w:ascii="Arial" w:hAnsi="Arial" w:cs="Arial"/>
                <w:sz w:val="20"/>
                <w:lang w:val="en-US"/>
              </w:rPr>
            </w:pPr>
          </w:p>
        </w:tc>
        <w:tc>
          <w:tcPr>
            <w:tcW w:w="1151" w:type="dxa"/>
            <w:tcBorders>
              <w:top w:val="nil"/>
              <w:left w:val="nil"/>
              <w:bottom w:val="nil"/>
              <w:right w:val="nil"/>
            </w:tcBorders>
            <w:shd w:val="clear" w:color="auto" w:fill="auto"/>
            <w:hideMark/>
          </w:tcPr>
          <w:p w:rsidR="007E56CB" w:rsidRPr="007E56CB" w:rsidRDefault="007E56CB" w:rsidP="007E56CB">
            <w:pPr>
              <w:overflowPunct/>
              <w:autoSpaceDE/>
              <w:autoSpaceDN/>
              <w:adjustRightInd/>
              <w:spacing w:line="240" w:lineRule="auto"/>
              <w:textAlignment w:val="auto"/>
              <w:rPr>
                <w:rFonts w:ascii="Arial" w:hAnsi="Arial" w:cs="Arial"/>
                <w:sz w:val="20"/>
                <w:lang w:val="en-US"/>
              </w:rPr>
            </w:pPr>
          </w:p>
        </w:tc>
        <w:tc>
          <w:tcPr>
            <w:tcW w:w="343" w:type="dxa"/>
            <w:tcBorders>
              <w:top w:val="nil"/>
              <w:left w:val="nil"/>
              <w:bottom w:val="nil"/>
              <w:right w:val="nil"/>
            </w:tcBorders>
            <w:shd w:val="clear" w:color="auto" w:fill="auto"/>
            <w:hideMark/>
          </w:tcPr>
          <w:p w:rsidR="007E56CB" w:rsidRPr="007E56CB" w:rsidRDefault="007E56CB" w:rsidP="007E56CB">
            <w:pPr>
              <w:overflowPunct/>
              <w:autoSpaceDE/>
              <w:autoSpaceDN/>
              <w:adjustRightInd/>
              <w:spacing w:line="240" w:lineRule="auto"/>
              <w:textAlignment w:val="auto"/>
              <w:rPr>
                <w:rFonts w:ascii="Arial" w:hAnsi="Arial" w:cs="Arial"/>
                <w:sz w:val="20"/>
                <w:lang w:val="en-US"/>
              </w:rPr>
            </w:pPr>
          </w:p>
        </w:tc>
        <w:tc>
          <w:tcPr>
            <w:tcW w:w="1323" w:type="dxa"/>
            <w:tcBorders>
              <w:top w:val="nil"/>
              <w:left w:val="nil"/>
              <w:bottom w:val="nil"/>
              <w:right w:val="nil"/>
            </w:tcBorders>
            <w:shd w:val="clear" w:color="auto" w:fill="auto"/>
            <w:noWrap/>
            <w:vAlign w:val="bottom"/>
            <w:hideMark/>
          </w:tcPr>
          <w:p w:rsidR="007E56CB" w:rsidRPr="007E56CB" w:rsidRDefault="007E56CB" w:rsidP="007E56CB">
            <w:pPr>
              <w:overflowPunct/>
              <w:autoSpaceDE/>
              <w:autoSpaceDN/>
              <w:adjustRightInd/>
              <w:spacing w:line="240" w:lineRule="auto"/>
              <w:jc w:val="right"/>
              <w:textAlignment w:val="auto"/>
              <w:rPr>
                <w:rFonts w:ascii="Arial" w:hAnsi="Arial" w:cs="Arial"/>
                <w:sz w:val="20"/>
                <w:lang w:val="en-US"/>
              </w:rPr>
            </w:pPr>
          </w:p>
        </w:tc>
        <w:tc>
          <w:tcPr>
            <w:tcW w:w="1210" w:type="dxa"/>
            <w:tcBorders>
              <w:top w:val="nil"/>
              <w:left w:val="nil"/>
              <w:bottom w:val="nil"/>
              <w:right w:val="single" w:sz="4" w:space="0" w:color="auto"/>
            </w:tcBorders>
            <w:shd w:val="clear" w:color="auto" w:fill="auto"/>
            <w:noWrap/>
            <w:hideMark/>
          </w:tcPr>
          <w:p w:rsidR="007E56CB" w:rsidRPr="007E56CB" w:rsidRDefault="007E56CB" w:rsidP="007E56CB">
            <w:pPr>
              <w:overflowPunct/>
              <w:autoSpaceDE/>
              <w:autoSpaceDN/>
              <w:adjustRightInd/>
              <w:spacing w:line="240" w:lineRule="auto"/>
              <w:textAlignment w:val="auto"/>
              <w:rPr>
                <w:rFonts w:ascii="Arial" w:hAnsi="Arial" w:cs="Arial"/>
                <w:sz w:val="20"/>
                <w:lang w:val="en-US"/>
              </w:rPr>
            </w:pPr>
            <w:r w:rsidRPr="007E56CB">
              <w:rPr>
                <w:rFonts w:ascii="Arial" w:hAnsi="Arial" w:cs="Arial"/>
                <w:sz w:val="20"/>
                <w:lang w:val="en-US"/>
              </w:rPr>
              <w:t> </w:t>
            </w:r>
          </w:p>
        </w:tc>
      </w:tr>
      <w:tr w:rsidR="007E56CB" w:rsidRPr="007E56CB" w:rsidTr="00B66938">
        <w:trPr>
          <w:trHeight w:val="286"/>
        </w:trPr>
        <w:tc>
          <w:tcPr>
            <w:tcW w:w="3430" w:type="dxa"/>
            <w:tcBorders>
              <w:top w:val="nil"/>
              <w:left w:val="single" w:sz="4" w:space="0" w:color="auto"/>
              <w:bottom w:val="nil"/>
              <w:right w:val="nil"/>
            </w:tcBorders>
            <w:shd w:val="clear" w:color="auto" w:fill="auto"/>
            <w:hideMark/>
          </w:tcPr>
          <w:p w:rsidR="007E56CB" w:rsidRPr="007E56CB" w:rsidRDefault="007E56CB" w:rsidP="007E56CB">
            <w:pPr>
              <w:overflowPunct/>
              <w:autoSpaceDE/>
              <w:autoSpaceDN/>
              <w:adjustRightInd/>
              <w:spacing w:line="240" w:lineRule="auto"/>
              <w:textAlignment w:val="auto"/>
              <w:rPr>
                <w:rFonts w:ascii="Arial" w:hAnsi="Arial" w:cs="Arial"/>
                <w:sz w:val="20"/>
                <w:lang w:val="en-US"/>
              </w:rPr>
            </w:pPr>
            <w:r w:rsidRPr="007E56CB">
              <w:rPr>
                <w:rFonts w:ascii="Arial" w:hAnsi="Arial" w:cs="Arial"/>
                <w:sz w:val="20"/>
                <w:lang w:val="en-US"/>
              </w:rPr>
              <w:t> </w:t>
            </w:r>
          </w:p>
        </w:tc>
        <w:tc>
          <w:tcPr>
            <w:tcW w:w="381" w:type="dxa"/>
            <w:tcBorders>
              <w:top w:val="nil"/>
              <w:left w:val="nil"/>
              <w:bottom w:val="nil"/>
              <w:right w:val="nil"/>
            </w:tcBorders>
            <w:shd w:val="clear" w:color="auto" w:fill="auto"/>
            <w:hideMark/>
          </w:tcPr>
          <w:p w:rsidR="007E56CB" w:rsidRPr="007E56CB" w:rsidRDefault="007E56CB" w:rsidP="007E56CB">
            <w:pPr>
              <w:overflowPunct/>
              <w:autoSpaceDE/>
              <w:autoSpaceDN/>
              <w:adjustRightInd/>
              <w:spacing w:line="240" w:lineRule="auto"/>
              <w:textAlignment w:val="auto"/>
              <w:rPr>
                <w:rFonts w:ascii="Arial" w:hAnsi="Arial" w:cs="Arial"/>
                <w:sz w:val="20"/>
                <w:lang w:val="en-US"/>
              </w:rPr>
            </w:pPr>
          </w:p>
        </w:tc>
        <w:tc>
          <w:tcPr>
            <w:tcW w:w="1228" w:type="dxa"/>
            <w:tcBorders>
              <w:top w:val="nil"/>
              <w:left w:val="nil"/>
              <w:bottom w:val="nil"/>
              <w:right w:val="nil"/>
            </w:tcBorders>
            <w:shd w:val="clear" w:color="auto" w:fill="auto"/>
            <w:hideMark/>
          </w:tcPr>
          <w:p w:rsidR="007E56CB" w:rsidRPr="007E56CB" w:rsidRDefault="007E56CB" w:rsidP="007E56CB">
            <w:pPr>
              <w:overflowPunct/>
              <w:autoSpaceDE/>
              <w:autoSpaceDN/>
              <w:adjustRightInd/>
              <w:spacing w:line="240" w:lineRule="auto"/>
              <w:textAlignment w:val="auto"/>
              <w:rPr>
                <w:rFonts w:ascii="Arial" w:hAnsi="Arial" w:cs="Arial"/>
                <w:sz w:val="20"/>
                <w:lang w:val="en-US"/>
              </w:rPr>
            </w:pPr>
          </w:p>
        </w:tc>
        <w:tc>
          <w:tcPr>
            <w:tcW w:w="1151" w:type="dxa"/>
            <w:tcBorders>
              <w:top w:val="nil"/>
              <w:left w:val="nil"/>
              <w:bottom w:val="nil"/>
              <w:right w:val="nil"/>
            </w:tcBorders>
            <w:shd w:val="clear" w:color="auto" w:fill="auto"/>
            <w:hideMark/>
          </w:tcPr>
          <w:p w:rsidR="007E56CB" w:rsidRPr="007E56CB" w:rsidRDefault="007E56CB" w:rsidP="007E56CB">
            <w:pPr>
              <w:overflowPunct/>
              <w:autoSpaceDE/>
              <w:autoSpaceDN/>
              <w:adjustRightInd/>
              <w:spacing w:line="240" w:lineRule="auto"/>
              <w:textAlignment w:val="auto"/>
              <w:rPr>
                <w:rFonts w:ascii="Arial" w:hAnsi="Arial" w:cs="Arial"/>
                <w:sz w:val="20"/>
                <w:lang w:val="en-US"/>
              </w:rPr>
            </w:pPr>
          </w:p>
        </w:tc>
        <w:tc>
          <w:tcPr>
            <w:tcW w:w="343" w:type="dxa"/>
            <w:tcBorders>
              <w:top w:val="nil"/>
              <w:left w:val="nil"/>
              <w:bottom w:val="nil"/>
              <w:right w:val="nil"/>
            </w:tcBorders>
            <w:shd w:val="clear" w:color="auto" w:fill="auto"/>
            <w:hideMark/>
          </w:tcPr>
          <w:p w:rsidR="007E56CB" w:rsidRPr="007E56CB" w:rsidRDefault="007E56CB" w:rsidP="007E56CB">
            <w:pPr>
              <w:overflowPunct/>
              <w:autoSpaceDE/>
              <w:autoSpaceDN/>
              <w:adjustRightInd/>
              <w:spacing w:line="240" w:lineRule="auto"/>
              <w:textAlignment w:val="auto"/>
              <w:rPr>
                <w:rFonts w:ascii="Arial" w:hAnsi="Arial" w:cs="Arial"/>
                <w:sz w:val="20"/>
                <w:lang w:val="en-US"/>
              </w:rPr>
            </w:pPr>
          </w:p>
        </w:tc>
        <w:tc>
          <w:tcPr>
            <w:tcW w:w="1323" w:type="dxa"/>
            <w:tcBorders>
              <w:top w:val="nil"/>
              <w:left w:val="nil"/>
              <w:bottom w:val="nil"/>
              <w:right w:val="nil"/>
            </w:tcBorders>
            <w:shd w:val="clear" w:color="auto" w:fill="auto"/>
            <w:noWrap/>
            <w:vAlign w:val="bottom"/>
            <w:hideMark/>
          </w:tcPr>
          <w:p w:rsidR="007E56CB" w:rsidRPr="007E56CB" w:rsidRDefault="007E56CB" w:rsidP="007E56CB">
            <w:pPr>
              <w:overflowPunct/>
              <w:autoSpaceDE/>
              <w:autoSpaceDN/>
              <w:adjustRightInd/>
              <w:spacing w:line="240" w:lineRule="auto"/>
              <w:jc w:val="right"/>
              <w:textAlignment w:val="auto"/>
              <w:rPr>
                <w:rFonts w:ascii="Arial" w:hAnsi="Arial" w:cs="Arial"/>
                <w:sz w:val="20"/>
                <w:lang w:val="en-US"/>
              </w:rPr>
            </w:pPr>
          </w:p>
        </w:tc>
        <w:tc>
          <w:tcPr>
            <w:tcW w:w="1210" w:type="dxa"/>
            <w:tcBorders>
              <w:top w:val="nil"/>
              <w:left w:val="nil"/>
              <w:bottom w:val="nil"/>
              <w:right w:val="single" w:sz="4" w:space="0" w:color="auto"/>
            </w:tcBorders>
            <w:shd w:val="clear" w:color="auto" w:fill="auto"/>
            <w:noWrap/>
            <w:hideMark/>
          </w:tcPr>
          <w:p w:rsidR="007E56CB" w:rsidRPr="007E56CB" w:rsidRDefault="007E56CB" w:rsidP="007E56CB">
            <w:pPr>
              <w:overflowPunct/>
              <w:autoSpaceDE/>
              <w:autoSpaceDN/>
              <w:adjustRightInd/>
              <w:spacing w:line="240" w:lineRule="auto"/>
              <w:textAlignment w:val="auto"/>
              <w:rPr>
                <w:rFonts w:ascii="Arial" w:hAnsi="Arial" w:cs="Arial"/>
                <w:sz w:val="20"/>
                <w:lang w:val="en-US"/>
              </w:rPr>
            </w:pPr>
            <w:r w:rsidRPr="007E56CB">
              <w:rPr>
                <w:rFonts w:ascii="Arial" w:hAnsi="Arial" w:cs="Arial"/>
                <w:sz w:val="20"/>
                <w:lang w:val="en-US"/>
              </w:rPr>
              <w:t> </w:t>
            </w:r>
          </w:p>
        </w:tc>
      </w:tr>
      <w:tr w:rsidR="007E56CB" w:rsidRPr="007E56CB" w:rsidTr="00B66938">
        <w:trPr>
          <w:trHeight w:val="286"/>
        </w:trPr>
        <w:tc>
          <w:tcPr>
            <w:tcW w:w="3430" w:type="dxa"/>
            <w:tcBorders>
              <w:top w:val="nil"/>
              <w:left w:val="single" w:sz="4" w:space="0" w:color="auto"/>
              <w:bottom w:val="nil"/>
              <w:right w:val="nil"/>
            </w:tcBorders>
            <w:shd w:val="clear" w:color="auto" w:fill="auto"/>
            <w:noWrap/>
            <w:hideMark/>
          </w:tcPr>
          <w:p w:rsidR="007E56CB" w:rsidRPr="007E56CB" w:rsidRDefault="007E56CB" w:rsidP="007E56CB">
            <w:pPr>
              <w:overflowPunct/>
              <w:autoSpaceDE/>
              <w:autoSpaceDN/>
              <w:adjustRightInd/>
              <w:spacing w:line="240" w:lineRule="auto"/>
              <w:textAlignment w:val="auto"/>
              <w:rPr>
                <w:rFonts w:ascii="Arial" w:hAnsi="Arial" w:cs="Arial"/>
                <w:b/>
                <w:bCs/>
                <w:sz w:val="20"/>
                <w:lang w:val="en-US"/>
              </w:rPr>
            </w:pPr>
            <w:r w:rsidRPr="007E56CB">
              <w:rPr>
                <w:rFonts w:ascii="Arial" w:hAnsi="Arial" w:cs="Arial"/>
                <w:b/>
                <w:bCs/>
                <w:sz w:val="20"/>
                <w:lang w:val="en-US"/>
              </w:rPr>
              <w:t>Loans to group companies</w:t>
            </w:r>
          </w:p>
        </w:tc>
        <w:tc>
          <w:tcPr>
            <w:tcW w:w="381" w:type="dxa"/>
            <w:tcBorders>
              <w:top w:val="nil"/>
              <w:left w:val="nil"/>
              <w:bottom w:val="nil"/>
              <w:right w:val="nil"/>
            </w:tcBorders>
            <w:shd w:val="clear" w:color="auto" w:fill="auto"/>
            <w:noWrap/>
            <w:hideMark/>
          </w:tcPr>
          <w:p w:rsidR="007E56CB" w:rsidRPr="007E56CB" w:rsidRDefault="007E56CB" w:rsidP="007E56CB">
            <w:pPr>
              <w:overflowPunct/>
              <w:autoSpaceDE/>
              <w:autoSpaceDN/>
              <w:adjustRightInd/>
              <w:spacing w:line="240" w:lineRule="auto"/>
              <w:ind w:firstLineChars="300" w:firstLine="600"/>
              <w:textAlignment w:val="auto"/>
              <w:rPr>
                <w:rFonts w:ascii="Arial" w:hAnsi="Arial" w:cs="Arial"/>
                <w:sz w:val="20"/>
                <w:lang w:val="en-US"/>
              </w:rPr>
            </w:pPr>
          </w:p>
        </w:tc>
        <w:tc>
          <w:tcPr>
            <w:tcW w:w="1228" w:type="dxa"/>
            <w:tcBorders>
              <w:top w:val="nil"/>
              <w:left w:val="nil"/>
              <w:bottom w:val="nil"/>
              <w:right w:val="nil"/>
            </w:tcBorders>
            <w:shd w:val="clear" w:color="auto" w:fill="auto"/>
            <w:hideMark/>
          </w:tcPr>
          <w:p w:rsidR="007E56CB" w:rsidRPr="007E56CB" w:rsidRDefault="007E56CB" w:rsidP="007E56CB">
            <w:pPr>
              <w:overflowPunct/>
              <w:autoSpaceDE/>
              <w:autoSpaceDN/>
              <w:adjustRightInd/>
              <w:spacing w:line="240" w:lineRule="auto"/>
              <w:textAlignment w:val="auto"/>
              <w:rPr>
                <w:rFonts w:ascii="Arial" w:hAnsi="Arial" w:cs="Arial"/>
                <w:sz w:val="20"/>
                <w:lang w:val="en-US"/>
              </w:rPr>
            </w:pPr>
          </w:p>
        </w:tc>
        <w:tc>
          <w:tcPr>
            <w:tcW w:w="1151" w:type="dxa"/>
            <w:tcBorders>
              <w:top w:val="nil"/>
              <w:left w:val="nil"/>
              <w:bottom w:val="nil"/>
              <w:right w:val="nil"/>
            </w:tcBorders>
            <w:shd w:val="clear" w:color="auto" w:fill="auto"/>
            <w:hideMark/>
          </w:tcPr>
          <w:p w:rsidR="007E56CB" w:rsidRPr="007E56CB" w:rsidRDefault="007E56CB" w:rsidP="007E56CB">
            <w:pPr>
              <w:overflowPunct/>
              <w:autoSpaceDE/>
              <w:autoSpaceDN/>
              <w:adjustRightInd/>
              <w:spacing w:line="240" w:lineRule="auto"/>
              <w:textAlignment w:val="auto"/>
              <w:rPr>
                <w:rFonts w:ascii="Arial" w:hAnsi="Arial" w:cs="Arial"/>
                <w:sz w:val="20"/>
                <w:lang w:val="en-US"/>
              </w:rPr>
            </w:pPr>
          </w:p>
        </w:tc>
        <w:tc>
          <w:tcPr>
            <w:tcW w:w="343" w:type="dxa"/>
            <w:tcBorders>
              <w:top w:val="nil"/>
              <w:left w:val="nil"/>
              <w:bottom w:val="nil"/>
              <w:right w:val="nil"/>
            </w:tcBorders>
            <w:shd w:val="clear" w:color="auto" w:fill="auto"/>
            <w:hideMark/>
          </w:tcPr>
          <w:p w:rsidR="007E56CB" w:rsidRPr="007E56CB" w:rsidRDefault="007E56CB" w:rsidP="007E56CB">
            <w:pPr>
              <w:overflowPunct/>
              <w:autoSpaceDE/>
              <w:autoSpaceDN/>
              <w:adjustRightInd/>
              <w:spacing w:line="240" w:lineRule="auto"/>
              <w:textAlignment w:val="auto"/>
              <w:rPr>
                <w:rFonts w:ascii="Arial" w:hAnsi="Arial" w:cs="Arial"/>
                <w:sz w:val="20"/>
                <w:lang w:val="en-US"/>
              </w:rPr>
            </w:pPr>
          </w:p>
        </w:tc>
        <w:tc>
          <w:tcPr>
            <w:tcW w:w="1323" w:type="dxa"/>
            <w:tcBorders>
              <w:top w:val="nil"/>
              <w:left w:val="nil"/>
              <w:bottom w:val="nil"/>
              <w:right w:val="nil"/>
            </w:tcBorders>
            <w:shd w:val="clear" w:color="auto" w:fill="auto"/>
            <w:noWrap/>
            <w:hideMark/>
          </w:tcPr>
          <w:p w:rsidR="007E56CB" w:rsidRPr="007E56CB" w:rsidRDefault="007E56CB" w:rsidP="007E56CB">
            <w:pPr>
              <w:overflowPunct/>
              <w:autoSpaceDE/>
              <w:autoSpaceDN/>
              <w:adjustRightInd/>
              <w:spacing w:line="240" w:lineRule="auto"/>
              <w:textAlignment w:val="auto"/>
              <w:rPr>
                <w:rFonts w:ascii="Arial" w:hAnsi="Arial" w:cs="Arial"/>
                <w:sz w:val="20"/>
                <w:lang w:val="en-US"/>
              </w:rPr>
            </w:pPr>
          </w:p>
        </w:tc>
        <w:tc>
          <w:tcPr>
            <w:tcW w:w="1210" w:type="dxa"/>
            <w:tcBorders>
              <w:top w:val="nil"/>
              <w:left w:val="nil"/>
              <w:bottom w:val="nil"/>
              <w:right w:val="single" w:sz="4" w:space="0" w:color="auto"/>
            </w:tcBorders>
            <w:shd w:val="clear" w:color="auto" w:fill="auto"/>
            <w:noWrap/>
            <w:hideMark/>
          </w:tcPr>
          <w:p w:rsidR="007E56CB" w:rsidRPr="007E56CB" w:rsidRDefault="007E56CB" w:rsidP="007E56CB">
            <w:pPr>
              <w:overflowPunct/>
              <w:autoSpaceDE/>
              <w:autoSpaceDN/>
              <w:adjustRightInd/>
              <w:spacing w:line="240" w:lineRule="auto"/>
              <w:textAlignment w:val="auto"/>
              <w:rPr>
                <w:rFonts w:ascii="Arial" w:hAnsi="Arial" w:cs="Arial"/>
                <w:sz w:val="20"/>
                <w:lang w:val="en-US"/>
              </w:rPr>
            </w:pPr>
            <w:r w:rsidRPr="007E56CB">
              <w:rPr>
                <w:rFonts w:ascii="Arial" w:hAnsi="Arial" w:cs="Arial"/>
                <w:sz w:val="20"/>
                <w:lang w:val="en-US"/>
              </w:rPr>
              <w:t> </w:t>
            </w:r>
          </w:p>
        </w:tc>
      </w:tr>
      <w:tr w:rsidR="007E56CB" w:rsidRPr="007E56CB" w:rsidTr="00B66938">
        <w:trPr>
          <w:trHeight w:val="286"/>
        </w:trPr>
        <w:tc>
          <w:tcPr>
            <w:tcW w:w="3430" w:type="dxa"/>
            <w:tcBorders>
              <w:top w:val="nil"/>
              <w:left w:val="single" w:sz="4" w:space="0" w:color="auto"/>
              <w:bottom w:val="nil"/>
              <w:right w:val="nil"/>
            </w:tcBorders>
            <w:shd w:val="clear" w:color="auto" w:fill="auto"/>
            <w:noWrap/>
            <w:hideMark/>
          </w:tcPr>
          <w:p w:rsidR="007E56CB" w:rsidRPr="007E56CB" w:rsidRDefault="007E56CB" w:rsidP="007E56CB">
            <w:pPr>
              <w:overflowPunct/>
              <w:autoSpaceDE/>
              <w:autoSpaceDN/>
              <w:adjustRightInd/>
              <w:spacing w:line="240" w:lineRule="auto"/>
              <w:textAlignment w:val="auto"/>
              <w:rPr>
                <w:rFonts w:ascii="Arial" w:hAnsi="Arial" w:cs="Arial"/>
                <w:b/>
                <w:bCs/>
                <w:sz w:val="20"/>
                <w:lang w:val="en-US"/>
              </w:rPr>
            </w:pPr>
            <w:r w:rsidRPr="007E56CB">
              <w:rPr>
                <w:rFonts w:ascii="Arial" w:hAnsi="Arial" w:cs="Arial"/>
                <w:b/>
                <w:bCs/>
                <w:sz w:val="20"/>
                <w:lang w:val="en-US"/>
              </w:rPr>
              <w:t> </w:t>
            </w:r>
          </w:p>
        </w:tc>
        <w:tc>
          <w:tcPr>
            <w:tcW w:w="381" w:type="dxa"/>
            <w:tcBorders>
              <w:top w:val="nil"/>
              <w:left w:val="nil"/>
              <w:bottom w:val="nil"/>
              <w:right w:val="nil"/>
            </w:tcBorders>
            <w:shd w:val="clear" w:color="auto" w:fill="auto"/>
            <w:noWrap/>
            <w:hideMark/>
          </w:tcPr>
          <w:p w:rsidR="007E56CB" w:rsidRPr="007E56CB" w:rsidRDefault="007E56CB" w:rsidP="007E56CB">
            <w:pPr>
              <w:overflowPunct/>
              <w:autoSpaceDE/>
              <w:autoSpaceDN/>
              <w:adjustRightInd/>
              <w:spacing w:line="240" w:lineRule="auto"/>
              <w:ind w:firstLineChars="300" w:firstLine="600"/>
              <w:textAlignment w:val="auto"/>
              <w:rPr>
                <w:rFonts w:ascii="Arial" w:hAnsi="Arial" w:cs="Arial"/>
                <w:sz w:val="20"/>
                <w:lang w:val="en-US"/>
              </w:rPr>
            </w:pPr>
          </w:p>
        </w:tc>
        <w:tc>
          <w:tcPr>
            <w:tcW w:w="1228" w:type="dxa"/>
            <w:tcBorders>
              <w:top w:val="nil"/>
              <w:left w:val="nil"/>
              <w:bottom w:val="nil"/>
              <w:right w:val="nil"/>
            </w:tcBorders>
            <w:shd w:val="clear" w:color="auto" w:fill="auto"/>
            <w:hideMark/>
          </w:tcPr>
          <w:p w:rsidR="007E56CB" w:rsidRPr="007E56CB" w:rsidRDefault="007E56CB" w:rsidP="007E56CB">
            <w:pPr>
              <w:overflowPunct/>
              <w:autoSpaceDE/>
              <w:autoSpaceDN/>
              <w:adjustRightInd/>
              <w:spacing w:line="240" w:lineRule="auto"/>
              <w:textAlignment w:val="auto"/>
              <w:rPr>
                <w:rFonts w:ascii="Arial" w:hAnsi="Arial" w:cs="Arial"/>
                <w:sz w:val="20"/>
                <w:lang w:val="en-US"/>
              </w:rPr>
            </w:pPr>
          </w:p>
        </w:tc>
        <w:tc>
          <w:tcPr>
            <w:tcW w:w="1151" w:type="dxa"/>
            <w:tcBorders>
              <w:top w:val="nil"/>
              <w:left w:val="nil"/>
              <w:bottom w:val="nil"/>
              <w:right w:val="nil"/>
            </w:tcBorders>
            <w:shd w:val="clear" w:color="auto" w:fill="auto"/>
            <w:hideMark/>
          </w:tcPr>
          <w:p w:rsidR="007E56CB" w:rsidRPr="007E56CB" w:rsidRDefault="007E56CB" w:rsidP="007E56CB">
            <w:pPr>
              <w:overflowPunct/>
              <w:autoSpaceDE/>
              <w:autoSpaceDN/>
              <w:adjustRightInd/>
              <w:spacing w:line="240" w:lineRule="auto"/>
              <w:textAlignment w:val="auto"/>
              <w:rPr>
                <w:rFonts w:ascii="Arial" w:hAnsi="Arial" w:cs="Arial"/>
                <w:sz w:val="20"/>
                <w:lang w:val="en-US"/>
              </w:rPr>
            </w:pPr>
          </w:p>
        </w:tc>
        <w:tc>
          <w:tcPr>
            <w:tcW w:w="343" w:type="dxa"/>
            <w:tcBorders>
              <w:top w:val="nil"/>
              <w:left w:val="nil"/>
              <w:bottom w:val="nil"/>
              <w:right w:val="nil"/>
            </w:tcBorders>
            <w:shd w:val="clear" w:color="auto" w:fill="auto"/>
            <w:hideMark/>
          </w:tcPr>
          <w:p w:rsidR="007E56CB" w:rsidRPr="007E56CB" w:rsidRDefault="007E56CB" w:rsidP="007E56CB">
            <w:pPr>
              <w:overflowPunct/>
              <w:autoSpaceDE/>
              <w:autoSpaceDN/>
              <w:adjustRightInd/>
              <w:spacing w:line="240" w:lineRule="auto"/>
              <w:textAlignment w:val="auto"/>
              <w:rPr>
                <w:rFonts w:ascii="Arial" w:hAnsi="Arial" w:cs="Arial"/>
                <w:sz w:val="20"/>
                <w:lang w:val="en-US"/>
              </w:rPr>
            </w:pPr>
          </w:p>
        </w:tc>
        <w:tc>
          <w:tcPr>
            <w:tcW w:w="1323" w:type="dxa"/>
            <w:tcBorders>
              <w:top w:val="nil"/>
              <w:left w:val="nil"/>
              <w:bottom w:val="nil"/>
              <w:right w:val="nil"/>
            </w:tcBorders>
            <w:shd w:val="clear" w:color="auto" w:fill="auto"/>
            <w:noWrap/>
            <w:hideMark/>
          </w:tcPr>
          <w:p w:rsidR="007E56CB" w:rsidRPr="007E56CB" w:rsidRDefault="007E56CB" w:rsidP="007E56CB">
            <w:pPr>
              <w:overflowPunct/>
              <w:autoSpaceDE/>
              <w:autoSpaceDN/>
              <w:adjustRightInd/>
              <w:spacing w:line="240" w:lineRule="auto"/>
              <w:textAlignment w:val="auto"/>
              <w:rPr>
                <w:rFonts w:ascii="Arial" w:hAnsi="Arial" w:cs="Arial"/>
                <w:sz w:val="20"/>
                <w:lang w:val="en-US"/>
              </w:rPr>
            </w:pPr>
          </w:p>
        </w:tc>
        <w:tc>
          <w:tcPr>
            <w:tcW w:w="1210" w:type="dxa"/>
            <w:tcBorders>
              <w:top w:val="nil"/>
              <w:left w:val="nil"/>
              <w:bottom w:val="nil"/>
              <w:right w:val="single" w:sz="4" w:space="0" w:color="auto"/>
            </w:tcBorders>
            <w:shd w:val="clear" w:color="auto" w:fill="auto"/>
            <w:noWrap/>
            <w:hideMark/>
          </w:tcPr>
          <w:p w:rsidR="007E56CB" w:rsidRPr="007E56CB" w:rsidRDefault="007E56CB" w:rsidP="007E56CB">
            <w:pPr>
              <w:overflowPunct/>
              <w:autoSpaceDE/>
              <w:autoSpaceDN/>
              <w:adjustRightInd/>
              <w:spacing w:line="240" w:lineRule="auto"/>
              <w:textAlignment w:val="auto"/>
              <w:rPr>
                <w:rFonts w:ascii="Arial" w:hAnsi="Arial" w:cs="Arial"/>
                <w:sz w:val="20"/>
                <w:lang w:val="en-US"/>
              </w:rPr>
            </w:pPr>
            <w:r w:rsidRPr="007E56CB">
              <w:rPr>
                <w:rFonts w:ascii="Arial" w:hAnsi="Arial" w:cs="Arial"/>
                <w:sz w:val="20"/>
                <w:lang w:val="en-US"/>
              </w:rPr>
              <w:t> </w:t>
            </w:r>
          </w:p>
        </w:tc>
      </w:tr>
      <w:tr w:rsidR="007E56CB" w:rsidRPr="007E56CB" w:rsidTr="00B66938">
        <w:trPr>
          <w:trHeight w:val="286"/>
        </w:trPr>
        <w:tc>
          <w:tcPr>
            <w:tcW w:w="3430" w:type="dxa"/>
            <w:tcBorders>
              <w:top w:val="nil"/>
              <w:left w:val="single" w:sz="4" w:space="0" w:color="auto"/>
              <w:bottom w:val="nil"/>
              <w:right w:val="nil"/>
            </w:tcBorders>
            <w:shd w:val="clear" w:color="auto" w:fill="auto"/>
            <w:hideMark/>
          </w:tcPr>
          <w:p w:rsidR="007E56CB" w:rsidRPr="007E56CB" w:rsidRDefault="007E56CB" w:rsidP="007E56CB">
            <w:pPr>
              <w:overflowPunct/>
              <w:autoSpaceDE/>
              <w:autoSpaceDN/>
              <w:adjustRightInd/>
              <w:spacing w:line="240" w:lineRule="auto"/>
              <w:textAlignment w:val="auto"/>
              <w:rPr>
                <w:rFonts w:ascii="Arial" w:hAnsi="Arial" w:cs="Arial"/>
                <w:sz w:val="20"/>
                <w:lang w:val="en-US"/>
              </w:rPr>
            </w:pPr>
            <w:r w:rsidRPr="007E56CB">
              <w:rPr>
                <w:rFonts w:ascii="Arial" w:hAnsi="Arial" w:cs="Arial"/>
                <w:sz w:val="20"/>
                <w:lang w:val="en-US"/>
              </w:rPr>
              <w:t>Balance as at 1 January</w:t>
            </w:r>
          </w:p>
        </w:tc>
        <w:tc>
          <w:tcPr>
            <w:tcW w:w="381" w:type="dxa"/>
            <w:tcBorders>
              <w:top w:val="nil"/>
              <w:left w:val="nil"/>
              <w:bottom w:val="nil"/>
              <w:right w:val="nil"/>
            </w:tcBorders>
            <w:shd w:val="clear" w:color="auto" w:fill="auto"/>
            <w:noWrap/>
            <w:hideMark/>
          </w:tcPr>
          <w:p w:rsidR="007E56CB" w:rsidRPr="007E56CB" w:rsidRDefault="007E56CB" w:rsidP="007E56CB">
            <w:pPr>
              <w:overflowPunct/>
              <w:autoSpaceDE/>
              <w:autoSpaceDN/>
              <w:adjustRightInd/>
              <w:spacing w:line="240" w:lineRule="auto"/>
              <w:ind w:firstLineChars="300" w:firstLine="600"/>
              <w:textAlignment w:val="auto"/>
              <w:rPr>
                <w:rFonts w:ascii="Arial" w:hAnsi="Arial" w:cs="Arial"/>
                <w:sz w:val="20"/>
                <w:lang w:val="en-US"/>
              </w:rPr>
            </w:pPr>
          </w:p>
        </w:tc>
        <w:tc>
          <w:tcPr>
            <w:tcW w:w="1228" w:type="dxa"/>
            <w:tcBorders>
              <w:top w:val="nil"/>
              <w:left w:val="nil"/>
              <w:bottom w:val="nil"/>
              <w:right w:val="nil"/>
            </w:tcBorders>
            <w:shd w:val="clear" w:color="auto" w:fill="auto"/>
            <w:noWrap/>
            <w:hideMark/>
          </w:tcPr>
          <w:p w:rsidR="007E56CB" w:rsidRPr="007E56CB" w:rsidRDefault="007E56CB" w:rsidP="007E56CB">
            <w:pPr>
              <w:overflowPunct/>
              <w:autoSpaceDE/>
              <w:autoSpaceDN/>
              <w:adjustRightInd/>
              <w:spacing w:line="240" w:lineRule="auto"/>
              <w:jc w:val="right"/>
              <w:textAlignment w:val="auto"/>
              <w:rPr>
                <w:rFonts w:ascii="Calibri" w:hAnsi="Calibri" w:cs="Calibri"/>
                <w:sz w:val="22"/>
                <w:szCs w:val="22"/>
                <w:lang w:val="en-US"/>
              </w:rPr>
            </w:pPr>
            <w:r w:rsidRPr="007E56CB">
              <w:rPr>
                <w:rFonts w:ascii="Calibri" w:hAnsi="Calibri" w:cs="Calibri"/>
                <w:sz w:val="22"/>
                <w:szCs w:val="22"/>
                <w:lang w:val="en-US"/>
              </w:rPr>
              <w:t xml:space="preserve"> 1'524'694 </w:t>
            </w:r>
          </w:p>
        </w:tc>
        <w:tc>
          <w:tcPr>
            <w:tcW w:w="1151" w:type="dxa"/>
            <w:tcBorders>
              <w:top w:val="nil"/>
              <w:left w:val="nil"/>
              <w:bottom w:val="nil"/>
              <w:right w:val="nil"/>
            </w:tcBorders>
            <w:shd w:val="clear" w:color="auto" w:fill="auto"/>
            <w:hideMark/>
          </w:tcPr>
          <w:p w:rsidR="007E56CB" w:rsidRPr="007E56CB" w:rsidRDefault="007E56CB" w:rsidP="007E56CB">
            <w:pPr>
              <w:overflowPunct/>
              <w:autoSpaceDE/>
              <w:autoSpaceDN/>
              <w:adjustRightInd/>
              <w:spacing w:line="240" w:lineRule="auto"/>
              <w:textAlignment w:val="auto"/>
              <w:rPr>
                <w:rFonts w:ascii="Arial" w:hAnsi="Arial" w:cs="Arial"/>
                <w:sz w:val="20"/>
                <w:lang w:val="en-US"/>
              </w:rPr>
            </w:pPr>
          </w:p>
        </w:tc>
        <w:tc>
          <w:tcPr>
            <w:tcW w:w="343" w:type="dxa"/>
            <w:tcBorders>
              <w:top w:val="nil"/>
              <w:left w:val="nil"/>
              <w:bottom w:val="nil"/>
              <w:right w:val="nil"/>
            </w:tcBorders>
            <w:shd w:val="clear" w:color="auto" w:fill="auto"/>
            <w:hideMark/>
          </w:tcPr>
          <w:p w:rsidR="007E56CB" w:rsidRPr="007E56CB" w:rsidRDefault="007E56CB" w:rsidP="007E56CB">
            <w:pPr>
              <w:overflowPunct/>
              <w:autoSpaceDE/>
              <w:autoSpaceDN/>
              <w:adjustRightInd/>
              <w:spacing w:line="240" w:lineRule="auto"/>
              <w:textAlignment w:val="auto"/>
              <w:rPr>
                <w:rFonts w:ascii="Arial" w:hAnsi="Arial" w:cs="Arial"/>
                <w:sz w:val="20"/>
                <w:lang w:val="en-US"/>
              </w:rPr>
            </w:pPr>
          </w:p>
        </w:tc>
        <w:tc>
          <w:tcPr>
            <w:tcW w:w="1323" w:type="dxa"/>
            <w:tcBorders>
              <w:top w:val="nil"/>
              <w:left w:val="nil"/>
              <w:bottom w:val="nil"/>
              <w:right w:val="nil"/>
            </w:tcBorders>
            <w:shd w:val="clear" w:color="auto" w:fill="auto"/>
            <w:noWrap/>
            <w:hideMark/>
          </w:tcPr>
          <w:p w:rsidR="007E56CB" w:rsidRPr="007E56CB" w:rsidRDefault="007E56CB" w:rsidP="007E56CB">
            <w:pPr>
              <w:overflowPunct/>
              <w:autoSpaceDE/>
              <w:autoSpaceDN/>
              <w:adjustRightInd/>
              <w:spacing w:line="240" w:lineRule="auto"/>
              <w:jc w:val="right"/>
              <w:textAlignment w:val="auto"/>
              <w:rPr>
                <w:rFonts w:ascii="Calibri" w:hAnsi="Calibri" w:cs="Calibri"/>
                <w:sz w:val="22"/>
                <w:szCs w:val="22"/>
                <w:lang w:val="en-US"/>
              </w:rPr>
            </w:pPr>
            <w:r w:rsidRPr="007E56CB">
              <w:rPr>
                <w:rFonts w:ascii="Calibri" w:hAnsi="Calibri" w:cs="Calibri"/>
                <w:sz w:val="22"/>
                <w:szCs w:val="22"/>
                <w:lang w:val="en-US"/>
              </w:rPr>
              <w:t xml:space="preserve"> 2'309'597 </w:t>
            </w:r>
          </w:p>
        </w:tc>
        <w:tc>
          <w:tcPr>
            <w:tcW w:w="1210" w:type="dxa"/>
            <w:tcBorders>
              <w:top w:val="nil"/>
              <w:left w:val="nil"/>
              <w:bottom w:val="nil"/>
              <w:right w:val="single" w:sz="4" w:space="0" w:color="auto"/>
            </w:tcBorders>
            <w:shd w:val="clear" w:color="auto" w:fill="auto"/>
            <w:noWrap/>
            <w:hideMark/>
          </w:tcPr>
          <w:p w:rsidR="007E56CB" w:rsidRPr="007E56CB" w:rsidRDefault="007E56CB" w:rsidP="007E56CB">
            <w:pPr>
              <w:overflowPunct/>
              <w:autoSpaceDE/>
              <w:autoSpaceDN/>
              <w:adjustRightInd/>
              <w:spacing w:line="240" w:lineRule="auto"/>
              <w:textAlignment w:val="auto"/>
              <w:rPr>
                <w:rFonts w:ascii="Arial" w:hAnsi="Arial" w:cs="Arial"/>
                <w:sz w:val="20"/>
                <w:lang w:val="en-US"/>
              </w:rPr>
            </w:pPr>
            <w:r w:rsidRPr="007E56CB">
              <w:rPr>
                <w:rFonts w:ascii="Arial" w:hAnsi="Arial" w:cs="Arial"/>
                <w:sz w:val="20"/>
                <w:lang w:val="en-US"/>
              </w:rPr>
              <w:t> </w:t>
            </w:r>
          </w:p>
        </w:tc>
      </w:tr>
      <w:tr w:rsidR="007E56CB" w:rsidRPr="007E56CB" w:rsidTr="00B66938">
        <w:trPr>
          <w:trHeight w:val="486"/>
        </w:trPr>
        <w:tc>
          <w:tcPr>
            <w:tcW w:w="3430" w:type="dxa"/>
            <w:tcBorders>
              <w:top w:val="nil"/>
              <w:left w:val="single" w:sz="4" w:space="0" w:color="auto"/>
              <w:bottom w:val="nil"/>
              <w:right w:val="nil"/>
            </w:tcBorders>
            <w:shd w:val="clear" w:color="auto" w:fill="auto"/>
            <w:hideMark/>
          </w:tcPr>
          <w:p w:rsidR="007E56CB" w:rsidRPr="007E56CB" w:rsidRDefault="007E56CB" w:rsidP="007E56CB">
            <w:pPr>
              <w:overflowPunct/>
              <w:autoSpaceDE/>
              <w:autoSpaceDN/>
              <w:adjustRightInd/>
              <w:spacing w:line="240" w:lineRule="auto"/>
              <w:textAlignment w:val="auto"/>
              <w:rPr>
                <w:rFonts w:ascii="Arial" w:hAnsi="Arial" w:cs="Arial"/>
                <w:sz w:val="20"/>
                <w:lang w:val="en-US"/>
              </w:rPr>
            </w:pPr>
            <w:r w:rsidRPr="007E56CB">
              <w:rPr>
                <w:rFonts w:ascii="Arial" w:hAnsi="Arial" w:cs="Arial"/>
                <w:sz w:val="20"/>
                <w:lang w:val="en-US"/>
              </w:rPr>
              <w:t>Reclassification to short-term receivables</w:t>
            </w:r>
          </w:p>
        </w:tc>
        <w:tc>
          <w:tcPr>
            <w:tcW w:w="381" w:type="dxa"/>
            <w:tcBorders>
              <w:top w:val="nil"/>
              <w:left w:val="nil"/>
              <w:bottom w:val="nil"/>
              <w:right w:val="nil"/>
            </w:tcBorders>
            <w:shd w:val="clear" w:color="auto" w:fill="auto"/>
            <w:noWrap/>
            <w:hideMark/>
          </w:tcPr>
          <w:p w:rsidR="007E56CB" w:rsidRPr="007E56CB" w:rsidRDefault="007E56CB" w:rsidP="007E56CB">
            <w:pPr>
              <w:overflowPunct/>
              <w:autoSpaceDE/>
              <w:autoSpaceDN/>
              <w:adjustRightInd/>
              <w:spacing w:line="240" w:lineRule="auto"/>
              <w:ind w:firstLineChars="300" w:firstLine="600"/>
              <w:textAlignment w:val="auto"/>
              <w:rPr>
                <w:rFonts w:ascii="Arial" w:hAnsi="Arial" w:cs="Arial"/>
                <w:sz w:val="20"/>
                <w:lang w:val="en-US"/>
              </w:rPr>
            </w:pPr>
          </w:p>
        </w:tc>
        <w:tc>
          <w:tcPr>
            <w:tcW w:w="1228" w:type="dxa"/>
            <w:tcBorders>
              <w:top w:val="nil"/>
              <w:left w:val="nil"/>
              <w:bottom w:val="nil"/>
              <w:right w:val="nil"/>
            </w:tcBorders>
            <w:shd w:val="clear" w:color="auto" w:fill="auto"/>
            <w:noWrap/>
            <w:hideMark/>
          </w:tcPr>
          <w:p w:rsidR="007E56CB" w:rsidRPr="007E56CB" w:rsidRDefault="007E56CB" w:rsidP="007E56CB">
            <w:pPr>
              <w:overflowPunct/>
              <w:autoSpaceDE/>
              <w:autoSpaceDN/>
              <w:adjustRightInd/>
              <w:spacing w:line="240" w:lineRule="auto"/>
              <w:textAlignment w:val="auto"/>
              <w:rPr>
                <w:rFonts w:ascii="Calibri" w:hAnsi="Calibri" w:cs="Calibri"/>
                <w:sz w:val="22"/>
                <w:szCs w:val="22"/>
                <w:lang w:val="en-US"/>
              </w:rPr>
            </w:pPr>
          </w:p>
        </w:tc>
        <w:tc>
          <w:tcPr>
            <w:tcW w:w="1151" w:type="dxa"/>
            <w:tcBorders>
              <w:top w:val="nil"/>
              <w:left w:val="nil"/>
              <w:bottom w:val="nil"/>
              <w:right w:val="nil"/>
            </w:tcBorders>
            <w:shd w:val="clear" w:color="auto" w:fill="auto"/>
            <w:hideMark/>
          </w:tcPr>
          <w:p w:rsidR="007E56CB" w:rsidRPr="007E56CB" w:rsidRDefault="007E56CB" w:rsidP="007E56CB">
            <w:pPr>
              <w:overflowPunct/>
              <w:autoSpaceDE/>
              <w:autoSpaceDN/>
              <w:adjustRightInd/>
              <w:spacing w:line="240" w:lineRule="auto"/>
              <w:textAlignment w:val="auto"/>
              <w:rPr>
                <w:rFonts w:ascii="Arial" w:hAnsi="Arial" w:cs="Arial"/>
                <w:sz w:val="20"/>
                <w:lang w:val="en-US"/>
              </w:rPr>
            </w:pPr>
          </w:p>
        </w:tc>
        <w:tc>
          <w:tcPr>
            <w:tcW w:w="343" w:type="dxa"/>
            <w:tcBorders>
              <w:top w:val="nil"/>
              <w:left w:val="nil"/>
              <w:bottom w:val="nil"/>
              <w:right w:val="nil"/>
            </w:tcBorders>
            <w:shd w:val="clear" w:color="auto" w:fill="auto"/>
            <w:hideMark/>
          </w:tcPr>
          <w:p w:rsidR="007E56CB" w:rsidRPr="007E56CB" w:rsidRDefault="007E56CB" w:rsidP="007E56CB">
            <w:pPr>
              <w:overflowPunct/>
              <w:autoSpaceDE/>
              <w:autoSpaceDN/>
              <w:adjustRightInd/>
              <w:spacing w:line="240" w:lineRule="auto"/>
              <w:textAlignment w:val="auto"/>
              <w:rPr>
                <w:rFonts w:ascii="Arial" w:hAnsi="Arial" w:cs="Arial"/>
                <w:sz w:val="20"/>
                <w:lang w:val="en-US"/>
              </w:rPr>
            </w:pPr>
          </w:p>
        </w:tc>
        <w:tc>
          <w:tcPr>
            <w:tcW w:w="1323" w:type="dxa"/>
            <w:tcBorders>
              <w:top w:val="nil"/>
              <w:left w:val="nil"/>
              <w:bottom w:val="nil"/>
              <w:right w:val="nil"/>
            </w:tcBorders>
            <w:shd w:val="clear" w:color="auto" w:fill="auto"/>
            <w:noWrap/>
            <w:hideMark/>
          </w:tcPr>
          <w:p w:rsidR="007E56CB" w:rsidRPr="007E56CB" w:rsidRDefault="007E56CB" w:rsidP="007E56CB">
            <w:pPr>
              <w:overflowPunct/>
              <w:autoSpaceDE/>
              <w:autoSpaceDN/>
              <w:adjustRightInd/>
              <w:spacing w:line="240" w:lineRule="auto"/>
              <w:jc w:val="right"/>
              <w:textAlignment w:val="auto"/>
              <w:rPr>
                <w:rFonts w:ascii="Calibri" w:hAnsi="Calibri" w:cs="Calibri"/>
                <w:sz w:val="22"/>
                <w:szCs w:val="22"/>
                <w:lang w:val="en-US"/>
              </w:rPr>
            </w:pPr>
            <w:r w:rsidRPr="007E56CB">
              <w:rPr>
                <w:rFonts w:ascii="Calibri" w:hAnsi="Calibri" w:cs="Calibri"/>
                <w:sz w:val="22"/>
                <w:szCs w:val="22"/>
                <w:lang w:val="en-US"/>
              </w:rPr>
              <w:t>( 622'741)</w:t>
            </w:r>
          </w:p>
        </w:tc>
        <w:tc>
          <w:tcPr>
            <w:tcW w:w="1210" w:type="dxa"/>
            <w:tcBorders>
              <w:top w:val="nil"/>
              <w:left w:val="nil"/>
              <w:bottom w:val="nil"/>
              <w:right w:val="single" w:sz="4" w:space="0" w:color="auto"/>
            </w:tcBorders>
            <w:shd w:val="clear" w:color="auto" w:fill="auto"/>
            <w:noWrap/>
            <w:hideMark/>
          </w:tcPr>
          <w:p w:rsidR="007E56CB" w:rsidRPr="007E56CB" w:rsidRDefault="007E56CB" w:rsidP="007E56CB">
            <w:pPr>
              <w:overflowPunct/>
              <w:autoSpaceDE/>
              <w:autoSpaceDN/>
              <w:adjustRightInd/>
              <w:spacing w:line="240" w:lineRule="auto"/>
              <w:textAlignment w:val="auto"/>
              <w:rPr>
                <w:rFonts w:ascii="Arial" w:hAnsi="Arial" w:cs="Arial"/>
                <w:sz w:val="20"/>
                <w:lang w:val="en-US"/>
              </w:rPr>
            </w:pPr>
            <w:r w:rsidRPr="007E56CB">
              <w:rPr>
                <w:rFonts w:ascii="Arial" w:hAnsi="Arial" w:cs="Arial"/>
                <w:sz w:val="20"/>
                <w:lang w:val="en-US"/>
              </w:rPr>
              <w:t> </w:t>
            </w:r>
          </w:p>
        </w:tc>
      </w:tr>
      <w:tr w:rsidR="007E56CB" w:rsidRPr="007E56CB" w:rsidTr="00B66938">
        <w:trPr>
          <w:trHeight w:val="286"/>
        </w:trPr>
        <w:tc>
          <w:tcPr>
            <w:tcW w:w="3430" w:type="dxa"/>
            <w:tcBorders>
              <w:top w:val="nil"/>
              <w:left w:val="single" w:sz="4" w:space="0" w:color="auto"/>
              <w:bottom w:val="nil"/>
              <w:right w:val="nil"/>
            </w:tcBorders>
            <w:shd w:val="clear" w:color="auto" w:fill="auto"/>
            <w:noWrap/>
            <w:hideMark/>
          </w:tcPr>
          <w:p w:rsidR="007E56CB" w:rsidRPr="007E56CB" w:rsidRDefault="007E56CB" w:rsidP="007E56CB">
            <w:pPr>
              <w:overflowPunct/>
              <w:autoSpaceDE/>
              <w:autoSpaceDN/>
              <w:adjustRightInd/>
              <w:spacing w:line="240" w:lineRule="auto"/>
              <w:textAlignment w:val="auto"/>
              <w:rPr>
                <w:rFonts w:ascii="Arial" w:hAnsi="Arial" w:cs="Arial"/>
                <w:sz w:val="20"/>
                <w:lang w:val="en-US"/>
              </w:rPr>
            </w:pPr>
            <w:r w:rsidRPr="007E56CB">
              <w:rPr>
                <w:rFonts w:ascii="Arial" w:hAnsi="Arial" w:cs="Arial"/>
                <w:sz w:val="20"/>
                <w:lang w:val="en-US"/>
              </w:rPr>
              <w:t>Amortisation of loans</w:t>
            </w:r>
          </w:p>
        </w:tc>
        <w:tc>
          <w:tcPr>
            <w:tcW w:w="381" w:type="dxa"/>
            <w:tcBorders>
              <w:top w:val="nil"/>
              <w:left w:val="nil"/>
              <w:bottom w:val="nil"/>
              <w:right w:val="nil"/>
            </w:tcBorders>
            <w:shd w:val="clear" w:color="auto" w:fill="auto"/>
            <w:noWrap/>
            <w:hideMark/>
          </w:tcPr>
          <w:p w:rsidR="007E56CB" w:rsidRPr="007E56CB" w:rsidRDefault="007E56CB" w:rsidP="007E56CB">
            <w:pPr>
              <w:overflowPunct/>
              <w:autoSpaceDE/>
              <w:autoSpaceDN/>
              <w:adjustRightInd/>
              <w:spacing w:line="240" w:lineRule="auto"/>
              <w:ind w:firstLineChars="300" w:firstLine="600"/>
              <w:textAlignment w:val="auto"/>
              <w:rPr>
                <w:rFonts w:ascii="Arial" w:hAnsi="Arial" w:cs="Arial"/>
                <w:sz w:val="20"/>
                <w:lang w:val="en-US"/>
              </w:rPr>
            </w:pPr>
          </w:p>
        </w:tc>
        <w:tc>
          <w:tcPr>
            <w:tcW w:w="1228" w:type="dxa"/>
            <w:tcBorders>
              <w:top w:val="nil"/>
              <w:left w:val="nil"/>
              <w:bottom w:val="nil"/>
              <w:right w:val="nil"/>
            </w:tcBorders>
            <w:shd w:val="clear" w:color="auto" w:fill="auto"/>
            <w:noWrap/>
            <w:hideMark/>
          </w:tcPr>
          <w:p w:rsidR="007E56CB" w:rsidRPr="007E56CB" w:rsidRDefault="007E56CB" w:rsidP="007E56CB">
            <w:pPr>
              <w:overflowPunct/>
              <w:autoSpaceDE/>
              <w:autoSpaceDN/>
              <w:adjustRightInd/>
              <w:spacing w:line="240" w:lineRule="auto"/>
              <w:jc w:val="right"/>
              <w:textAlignment w:val="auto"/>
              <w:rPr>
                <w:rFonts w:ascii="Calibri" w:hAnsi="Calibri" w:cs="Calibri"/>
                <w:sz w:val="22"/>
                <w:szCs w:val="22"/>
                <w:lang w:val="en-US"/>
              </w:rPr>
            </w:pPr>
            <w:r w:rsidRPr="007E56CB">
              <w:rPr>
                <w:rFonts w:ascii="Calibri" w:hAnsi="Calibri" w:cs="Calibri"/>
                <w:sz w:val="22"/>
                <w:szCs w:val="22"/>
                <w:lang w:val="en-US"/>
              </w:rPr>
              <w:t xml:space="preserve"> 8'612 </w:t>
            </w:r>
          </w:p>
        </w:tc>
        <w:tc>
          <w:tcPr>
            <w:tcW w:w="1151" w:type="dxa"/>
            <w:tcBorders>
              <w:top w:val="nil"/>
              <w:left w:val="nil"/>
              <w:bottom w:val="nil"/>
              <w:right w:val="nil"/>
            </w:tcBorders>
            <w:shd w:val="clear" w:color="auto" w:fill="auto"/>
            <w:hideMark/>
          </w:tcPr>
          <w:p w:rsidR="007E56CB" w:rsidRPr="007E56CB" w:rsidRDefault="007E56CB" w:rsidP="007E56CB">
            <w:pPr>
              <w:overflowPunct/>
              <w:autoSpaceDE/>
              <w:autoSpaceDN/>
              <w:adjustRightInd/>
              <w:spacing w:line="240" w:lineRule="auto"/>
              <w:textAlignment w:val="auto"/>
              <w:rPr>
                <w:rFonts w:ascii="Arial" w:hAnsi="Arial" w:cs="Arial"/>
                <w:sz w:val="20"/>
                <w:lang w:val="en-US"/>
              </w:rPr>
            </w:pPr>
          </w:p>
        </w:tc>
        <w:tc>
          <w:tcPr>
            <w:tcW w:w="343" w:type="dxa"/>
            <w:tcBorders>
              <w:top w:val="nil"/>
              <w:left w:val="nil"/>
              <w:bottom w:val="nil"/>
              <w:right w:val="nil"/>
            </w:tcBorders>
            <w:shd w:val="clear" w:color="auto" w:fill="auto"/>
            <w:hideMark/>
          </w:tcPr>
          <w:p w:rsidR="007E56CB" w:rsidRPr="007E56CB" w:rsidRDefault="007E56CB" w:rsidP="007E56CB">
            <w:pPr>
              <w:overflowPunct/>
              <w:autoSpaceDE/>
              <w:autoSpaceDN/>
              <w:adjustRightInd/>
              <w:spacing w:line="240" w:lineRule="auto"/>
              <w:textAlignment w:val="auto"/>
              <w:rPr>
                <w:rFonts w:ascii="Arial" w:hAnsi="Arial" w:cs="Arial"/>
                <w:sz w:val="20"/>
                <w:lang w:val="en-US"/>
              </w:rPr>
            </w:pPr>
          </w:p>
        </w:tc>
        <w:tc>
          <w:tcPr>
            <w:tcW w:w="1323" w:type="dxa"/>
            <w:tcBorders>
              <w:top w:val="nil"/>
              <w:left w:val="nil"/>
              <w:bottom w:val="nil"/>
              <w:right w:val="nil"/>
            </w:tcBorders>
            <w:shd w:val="clear" w:color="auto" w:fill="auto"/>
            <w:noWrap/>
            <w:hideMark/>
          </w:tcPr>
          <w:p w:rsidR="007E56CB" w:rsidRPr="007E56CB" w:rsidRDefault="007E56CB" w:rsidP="007E56CB">
            <w:pPr>
              <w:overflowPunct/>
              <w:autoSpaceDE/>
              <w:autoSpaceDN/>
              <w:adjustRightInd/>
              <w:spacing w:line="240" w:lineRule="auto"/>
              <w:jc w:val="right"/>
              <w:textAlignment w:val="auto"/>
              <w:rPr>
                <w:rFonts w:ascii="Calibri" w:hAnsi="Calibri" w:cs="Calibri"/>
                <w:sz w:val="22"/>
                <w:szCs w:val="22"/>
                <w:lang w:val="en-US"/>
              </w:rPr>
            </w:pPr>
            <w:r w:rsidRPr="007E56CB">
              <w:rPr>
                <w:rFonts w:ascii="Calibri" w:hAnsi="Calibri" w:cs="Calibri"/>
                <w:sz w:val="22"/>
                <w:szCs w:val="22"/>
                <w:lang w:val="en-US"/>
              </w:rPr>
              <w:t xml:space="preserve"> 21'817 </w:t>
            </w:r>
          </w:p>
        </w:tc>
        <w:tc>
          <w:tcPr>
            <w:tcW w:w="1210" w:type="dxa"/>
            <w:tcBorders>
              <w:top w:val="nil"/>
              <w:left w:val="nil"/>
              <w:bottom w:val="nil"/>
              <w:right w:val="single" w:sz="4" w:space="0" w:color="auto"/>
            </w:tcBorders>
            <w:shd w:val="clear" w:color="auto" w:fill="auto"/>
            <w:noWrap/>
            <w:hideMark/>
          </w:tcPr>
          <w:p w:rsidR="007E56CB" w:rsidRPr="007E56CB" w:rsidRDefault="007E56CB" w:rsidP="007E56CB">
            <w:pPr>
              <w:overflowPunct/>
              <w:autoSpaceDE/>
              <w:autoSpaceDN/>
              <w:adjustRightInd/>
              <w:spacing w:line="240" w:lineRule="auto"/>
              <w:textAlignment w:val="auto"/>
              <w:rPr>
                <w:rFonts w:ascii="Arial" w:hAnsi="Arial" w:cs="Arial"/>
                <w:sz w:val="20"/>
                <w:lang w:val="en-US"/>
              </w:rPr>
            </w:pPr>
            <w:r w:rsidRPr="007E56CB">
              <w:rPr>
                <w:rFonts w:ascii="Arial" w:hAnsi="Arial" w:cs="Arial"/>
                <w:sz w:val="20"/>
                <w:lang w:val="en-US"/>
              </w:rPr>
              <w:t> </w:t>
            </w:r>
          </w:p>
        </w:tc>
      </w:tr>
      <w:tr w:rsidR="007E56CB" w:rsidRPr="007E56CB" w:rsidTr="00B66938">
        <w:trPr>
          <w:trHeight w:val="286"/>
        </w:trPr>
        <w:tc>
          <w:tcPr>
            <w:tcW w:w="3430" w:type="dxa"/>
            <w:tcBorders>
              <w:top w:val="nil"/>
              <w:left w:val="single" w:sz="4" w:space="0" w:color="auto"/>
              <w:bottom w:val="nil"/>
              <w:right w:val="nil"/>
            </w:tcBorders>
            <w:shd w:val="clear" w:color="auto" w:fill="auto"/>
            <w:noWrap/>
            <w:hideMark/>
          </w:tcPr>
          <w:p w:rsidR="007E56CB" w:rsidRPr="007E56CB" w:rsidRDefault="007E56CB" w:rsidP="007E56CB">
            <w:pPr>
              <w:overflowPunct/>
              <w:autoSpaceDE/>
              <w:autoSpaceDN/>
              <w:adjustRightInd/>
              <w:spacing w:line="240" w:lineRule="auto"/>
              <w:textAlignment w:val="auto"/>
              <w:rPr>
                <w:rFonts w:ascii="Arial" w:hAnsi="Arial" w:cs="Arial"/>
                <w:sz w:val="20"/>
                <w:lang w:val="en-US"/>
              </w:rPr>
            </w:pPr>
            <w:r w:rsidRPr="007E56CB">
              <w:rPr>
                <w:rFonts w:ascii="Arial" w:hAnsi="Arial" w:cs="Arial"/>
                <w:sz w:val="20"/>
                <w:lang w:val="en-US"/>
              </w:rPr>
              <w:t>Additions</w:t>
            </w:r>
          </w:p>
        </w:tc>
        <w:tc>
          <w:tcPr>
            <w:tcW w:w="381" w:type="dxa"/>
            <w:tcBorders>
              <w:top w:val="nil"/>
              <w:left w:val="nil"/>
              <w:bottom w:val="nil"/>
              <w:right w:val="nil"/>
            </w:tcBorders>
            <w:shd w:val="clear" w:color="auto" w:fill="auto"/>
            <w:noWrap/>
            <w:hideMark/>
          </w:tcPr>
          <w:p w:rsidR="007E56CB" w:rsidRPr="007E56CB" w:rsidRDefault="007E56CB" w:rsidP="007E56CB">
            <w:pPr>
              <w:overflowPunct/>
              <w:autoSpaceDE/>
              <w:autoSpaceDN/>
              <w:adjustRightInd/>
              <w:spacing w:line="240" w:lineRule="auto"/>
              <w:ind w:firstLineChars="300" w:firstLine="600"/>
              <w:textAlignment w:val="auto"/>
              <w:rPr>
                <w:rFonts w:ascii="Arial" w:hAnsi="Arial" w:cs="Arial"/>
                <w:sz w:val="20"/>
                <w:lang w:val="en-US"/>
              </w:rPr>
            </w:pPr>
          </w:p>
        </w:tc>
        <w:tc>
          <w:tcPr>
            <w:tcW w:w="1228" w:type="dxa"/>
            <w:tcBorders>
              <w:top w:val="nil"/>
              <w:left w:val="nil"/>
              <w:bottom w:val="nil"/>
              <w:right w:val="nil"/>
            </w:tcBorders>
            <w:shd w:val="clear" w:color="auto" w:fill="auto"/>
            <w:hideMark/>
          </w:tcPr>
          <w:p w:rsidR="007E56CB" w:rsidRPr="007E56CB" w:rsidRDefault="007E56CB" w:rsidP="007E56CB">
            <w:pPr>
              <w:overflowPunct/>
              <w:autoSpaceDE/>
              <w:autoSpaceDN/>
              <w:adjustRightInd/>
              <w:spacing w:line="240" w:lineRule="auto"/>
              <w:textAlignment w:val="auto"/>
              <w:rPr>
                <w:rFonts w:ascii="Arial" w:hAnsi="Arial" w:cs="Arial"/>
                <w:sz w:val="20"/>
                <w:lang w:val="en-US"/>
              </w:rPr>
            </w:pPr>
            <w:r w:rsidRPr="007E56CB">
              <w:rPr>
                <w:rFonts w:ascii="Arial" w:hAnsi="Arial" w:cs="Arial"/>
                <w:sz w:val="20"/>
                <w:lang w:val="en-US"/>
              </w:rPr>
              <w:t xml:space="preserve">               -   </w:t>
            </w:r>
          </w:p>
        </w:tc>
        <w:tc>
          <w:tcPr>
            <w:tcW w:w="1151" w:type="dxa"/>
            <w:tcBorders>
              <w:top w:val="nil"/>
              <w:left w:val="nil"/>
              <w:bottom w:val="nil"/>
              <w:right w:val="nil"/>
            </w:tcBorders>
            <w:shd w:val="clear" w:color="auto" w:fill="auto"/>
            <w:hideMark/>
          </w:tcPr>
          <w:p w:rsidR="007E56CB" w:rsidRPr="007E56CB" w:rsidRDefault="007E56CB" w:rsidP="007E56CB">
            <w:pPr>
              <w:overflowPunct/>
              <w:autoSpaceDE/>
              <w:autoSpaceDN/>
              <w:adjustRightInd/>
              <w:spacing w:line="240" w:lineRule="auto"/>
              <w:textAlignment w:val="auto"/>
              <w:rPr>
                <w:rFonts w:ascii="Arial" w:hAnsi="Arial" w:cs="Arial"/>
                <w:sz w:val="20"/>
                <w:lang w:val="en-US"/>
              </w:rPr>
            </w:pPr>
          </w:p>
        </w:tc>
        <w:tc>
          <w:tcPr>
            <w:tcW w:w="343" w:type="dxa"/>
            <w:tcBorders>
              <w:top w:val="nil"/>
              <w:left w:val="nil"/>
              <w:bottom w:val="nil"/>
              <w:right w:val="nil"/>
            </w:tcBorders>
            <w:shd w:val="clear" w:color="auto" w:fill="auto"/>
            <w:hideMark/>
          </w:tcPr>
          <w:p w:rsidR="007E56CB" w:rsidRPr="007E56CB" w:rsidRDefault="007E56CB" w:rsidP="007E56CB">
            <w:pPr>
              <w:overflowPunct/>
              <w:autoSpaceDE/>
              <w:autoSpaceDN/>
              <w:adjustRightInd/>
              <w:spacing w:line="240" w:lineRule="auto"/>
              <w:textAlignment w:val="auto"/>
              <w:rPr>
                <w:rFonts w:ascii="Arial" w:hAnsi="Arial" w:cs="Arial"/>
                <w:sz w:val="20"/>
                <w:lang w:val="en-US"/>
              </w:rPr>
            </w:pPr>
          </w:p>
        </w:tc>
        <w:tc>
          <w:tcPr>
            <w:tcW w:w="1323" w:type="dxa"/>
            <w:tcBorders>
              <w:top w:val="nil"/>
              <w:left w:val="nil"/>
              <w:bottom w:val="nil"/>
              <w:right w:val="nil"/>
            </w:tcBorders>
            <w:shd w:val="clear" w:color="auto" w:fill="auto"/>
            <w:hideMark/>
          </w:tcPr>
          <w:p w:rsidR="007E56CB" w:rsidRPr="007E56CB" w:rsidRDefault="007E56CB" w:rsidP="007E56CB">
            <w:pPr>
              <w:overflowPunct/>
              <w:autoSpaceDE/>
              <w:autoSpaceDN/>
              <w:adjustRightInd/>
              <w:spacing w:line="240" w:lineRule="auto"/>
              <w:textAlignment w:val="auto"/>
              <w:rPr>
                <w:rFonts w:ascii="Arial" w:hAnsi="Arial" w:cs="Arial"/>
                <w:sz w:val="20"/>
                <w:lang w:val="en-US"/>
              </w:rPr>
            </w:pPr>
            <w:r w:rsidRPr="007E56CB">
              <w:rPr>
                <w:rFonts w:ascii="Arial" w:hAnsi="Arial" w:cs="Arial"/>
                <w:sz w:val="20"/>
                <w:lang w:val="en-US"/>
              </w:rPr>
              <w:t xml:space="preserve">                 -   </w:t>
            </w:r>
          </w:p>
        </w:tc>
        <w:tc>
          <w:tcPr>
            <w:tcW w:w="1210" w:type="dxa"/>
            <w:tcBorders>
              <w:top w:val="nil"/>
              <w:left w:val="nil"/>
              <w:bottom w:val="nil"/>
              <w:right w:val="single" w:sz="4" w:space="0" w:color="auto"/>
            </w:tcBorders>
            <w:shd w:val="clear" w:color="auto" w:fill="auto"/>
            <w:noWrap/>
            <w:hideMark/>
          </w:tcPr>
          <w:p w:rsidR="007E56CB" w:rsidRPr="007E56CB" w:rsidRDefault="007E56CB" w:rsidP="007E56CB">
            <w:pPr>
              <w:overflowPunct/>
              <w:autoSpaceDE/>
              <w:autoSpaceDN/>
              <w:adjustRightInd/>
              <w:spacing w:line="240" w:lineRule="auto"/>
              <w:textAlignment w:val="auto"/>
              <w:rPr>
                <w:rFonts w:ascii="Arial" w:hAnsi="Arial" w:cs="Arial"/>
                <w:sz w:val="20"/>
                <w:lang w:val="en-US"/>
              </w:rPr>
            </w:pPr>
            <w:r w:rsidRPr="007E56CB">
              <w:rPr>
                <w:rFonts w:ascii="Arial" w:hAnsi="Arial" w:cs="Arial"/>
                <w:sz w:val="20"/>
                <w:lang w:val="en-US"/>
              </w:rPr>
              <w:t> </w:t>
            </w:r>
          </w:p>
        </w:tc>
      </w:tr>
      <w:tr w:rsidR="007E56CB" w:rsidRPr="007E56CB" w:rsidTr="00B66938">
        <w:trPr>
          <w:trHeight w:val="286"/>
        </w:trPr>
        <w:tc>
          <w:tcPr>
            <w:tcW w:w="3430" w:type="dxa"/>
            <w:tcBorders>
              <w:top w:val="nil"/>
              <w:left w:val="single" w:sz="4" w:space="0" w:color="auto"/>
              <w:bottom w:val="nil"/>
              <w:right w:val="nil"/>
            </w:tcBorders>
            <w:shd w:val="clear" w:color="auto" w:fill="auto"/>
            <w:noWrap/>
            <w:hideMark/>
          </w:tcPr>
          <w:p w:rsidR="007E56CB" w:rsidRPr="007E56CB" w:rsidRDefault="007E56CB" w:rsidP="007E56CB">
            <w:pPr>
              <w:overflowPunct/>
              <w:autoSpaceDE/>
              <w:autoSpaceDN/>
              <w:adjustRightInd/>
              <w:spacing w:line="240" w:lineRule="auto"/>
              <w:textAlignment w:val="auto"/>
              <w:rPr>
                <w:rFonts w:ascii="Arial" w:hAnsi="Arial" w:cs="Arial"/>
                <w:sz w:val="20"/>
                <w:lang w:val="en-US"/>
              </w:rPr>
            </w:pPr>
            <w:r w:rsidRPr="007E56CB">
              <w:rPr>
                <w:rFonts w:ascii="Arial" w:hAnsi="Arial" w:cs="Arial"/>
                <w:sz w:val="20"/>
                <w:lang w:val="en-US"/>
              </w:rPr>
              <w:t>Revaluation of loans</w:t>
            </w:r>
          </w:p>
        </w:tc>
        <w:tc>
          <w:tcPr>
            <w:tcW w:w="381" w:type="dxa"/>
            <w:tcBorders>
              <w:top w:val="nil"/>
              <w:left w:val="nil"/>
              <w:bottom w:val="nil"/>
              <w:right w:val="nil"/>
            </w:tcBorders>
            <w:shd w:val="clear" w:color="auto" w:fill="auto"/>
            <w:noWrap/>
            <w:hideMark/>
          </w:tcPr>
          <w:p w:rsidR="007E56CB" w:rsidRPr="007E56CB" w:rsidRDefault="007E56CB" w:rsidP="007E56CB">
            <w:pPr>
              <w:overflowPunct/>
              <w:autoSpaceDE/>
              <w:autoSpaceDN/>
              <w:adjustRightInd/>
              <w:spacing w:line="240" w:lineRule="auto"/>
              <w:ind w:firstLineChars="300" w:firstLine="600"/>
              <w:textAlignment w:val="auto"/>
              <w:rPr>
                <w:rFonts w:ascii="Arial" w:hAnsi="Arial" w:cs="Arial"/>
                <w:sz w:val="20"/>
                <w:lang w:val="en-US"/>
              </w:rPr>
            </w:pPr>
          </w:p>
        </w:tc>
        <w:tc>
          <w:tcPr>
            <w:tcW w:w="1228" w:type="dxa"/>
            <w:tcBorders>
              <w:top w:val="nil"/>
              <w:left w:val="nil"/>
              <w:bottom w:val="single" w:sz="4" w:space="0" w:color="auto"/>
              <w:right w:val="nil"/>
            </w:tcBorders>
            <w:shd w:val="clear" w:color="auto" w:fill="auto"/>
            <w:noWrap/>
            <w:hideMark/>
          </w:tcPr>
          <w:p w:rsidR="007E56CB" w:rsidRPr="007E56CB" w:rsidRDefault="007E56CB" w:rsidP="007E56CB">
            <w:pPr>
              <w:overflowPunct/>
              <w:autoSpaceDE/>
              <w:autoSpaceDN/>
              <w:adjustRightInd/>
              <w:spacing w:line="240" w:lineRule="auto"/>
              <w:jc w:val="right"/>
              <w:textAlignment w:val="auto"/>
              <w:rPr>
                <w:rFonts w:ascii="Calibri" w:hAnsi="Calibri" w:cs="Calibri"/>
                <w:sz w:val="22"/>
                <w:szCs w:val="22"/>
                <w:lang w:val="en-US"/>
              </w:rPr>
            </w:pPr>
            <w:r w:rsidRPr="007E56CB">
              <w:rPr>
                <w:rFonts w:ascii="Calibri" w:hAnsi="Calibri" w:cs="Calibri"/>
                <w:sz w:val="22"/>
                <w:szCs w:val="22"/>
                <w:lang w:val="en-US"/>
              </w:rPr>
              <w:t>( 41'894)</w:t>
            </w:r>
          </w:p>
        </w:tc>
        <w:tc>
          <w:tcPr>
            <w:tcW w:w="1151" w:type="dxa"/>
            <w:tcBorders>
              <w:top w:val="nil"/>
              <w:left w:val="nil"/>
              <w:bottom w:val="nil"/>
              <w:right w:val="nil"/>
            </w:tcBorders>
            <w:shd w:val="clear" w:color="auto" w:fill="auto"/>
            <w:hideMark/>
          </w:tcPr>
          <w:p w:rsidR="007E56CB" w:rsidRPr="007E56CB" w:rsidRDefault="007E56CB" w:rsidP="007E56CB">
            <w:pPr>
              <w:overflowPunct/>
              <w:autoSpaceDE/>
              <w:autoSpaceDN/>
              <w:adjustRightInd/>
              <w:spacing w:line="240" w:lineRule="auto"/>
              <w:textAlignment w:val="auto"/>
              <w:rPr>
                <w:rFonts w:ascii="Arial" w:hAnsi="Arial" w:cs="Arial"/>
                <w:sz w:val="20"/>
                <w:lang w:val="en-US"/>
              </w:rPr>
            </w:pPr>
          </w:p>
        </w:tc>
        <w:tc>
          <w:tcPr>
            <w:tcW w:w="343" w:type="dxa"/>
            <w:tcBorders>
              <w:top w:val="nil"/>
              <w:left w:val="nil"/>
              <w:bottom w:val="nil"/>
              <w:right w:val="nil"/>
            </w:tcBorders>
            <w:shd w:val="clear" w:color="auto" w:fill="auto"/>
            <w:hideMark/>
          </w:tcPr>
          <w:p w:rsidR="007E56CB" w:rsidRPr="007E56CB" w:rsidRDefault="007E56CB" w:rsidP="007E56CB">
            <w:pPr>
              <w:overflowPunct/>
              <w:autoSpaceDE/>
              <w:autoSpaceDN/>
              <w:adjustRightInd/>
              <w:spacing w:line="240" w:lineRule="auto"/>
              <w:textAlignment w:val="auto"/>
              <w:rPr>
                <w:rFonts w:ascii="Arial" w:hAnsi="Arial" w:cs="Arial"/>
                <w:sz w:val="20"/>
                <w:lang w:val="en-US"/>
              </w:rPr>
            </w:pPr>
          </w:p>
        </w:tc>
        <w:tc>
          <w:tcPr>
            <w:tcW w:w="1323" w:type="dxa"/>
            <w:tcBorders>
              <w:top w:val="nil"/>
              <w:left w:val="nil"/>
              <w:bottom w:val="single" w:sz="4" w:space="0" w:color="auto"/>
              <w:right w:val="nil"/>
            </w:tcBorders>
            <w:shd w:val="clear" w:color="auto" w:fill="auto"/>
            <w:noWrap/>
            <w:hideMark/>
          </w:tcPr>
          <w:p w:rsidR="007E56CB" w:rsidRPr="007E56CB" w:rsidRDefault="007E56CB" w:rsidP="007E56CB">
            <w:pPr>
              <w:overflowPunct/>
              <w:autoSpaceDE/>
              <w:autoSpaceDN/>
              <w:adjustRightInd/>
              <w:spacing w:line="240" w:lineRule="auto"/>
              <w:jc w:val="right"/>
              <w:textAlignment w:val="auto"/>
              <w:rPr>
                <w:rFonts w:ascii="Calibri" w:hAnsi="Calibri" w:cs="Calibri"/>
                <w:sz w:val="22"/>
                <w:szCs w:val="22"/>
                <w:lang w:val="en-US"/>
              </w:rPr>
            </w:pPr>
            <w:r w:rsidRPr="007E56CB">
              <w:rPr>
                <w:rFonts w:ascii="Calibri" w:hAnsi="Calibri" w:cs="Calibri"/>
                <w:sz w:val="22"/>
                <w:szCs w:val="22"/>
                <w:lang w:val="en-US"/>
              </w:rPr>
              <w:t>( 183'979)</w:t>
            </w:r>
          </w:p>
        </w:tc>
        <w:tc>
          <w:tcPr>
            <w:tcW w:w="1210" w:type="dxa"/>
            <w:tcBorders>
              <w:top w:val="nil"/>
              <w:left w:val="nil"/>
              <w:bottom w:val="nil"/>
              <w:right w:val="single" w:sz="4" w:space="0" w:color="auto"/>
            </w:tcBorders>
            <w:shd w:val="clear" w:color="auto" w:fill="auto"/>
            <w:noWrap/>
            <w:hideMark/>
          </w:tcPr>
          <w:p w:rsidR="007E56CB" w:rsidRPr="007E56CB" w:rsidRDefault="007E56CB" w:rsidP="007E56CB">
            <w:pPr>
              <w:overflowPunct/>
              <w:autoSpaceDE/>
              <w:autoSpaceDN/>
              <w:adjustRightInd/>
              <w:spacing w:line="240" w:lineRule="auto"/>
              <w:textAlignment w:val="auto"/>
              <w:rPr>
                <w:rFonts w:ascii="Arial" w:hAnsi="Arial" w:cs="Arial"/>
                <w:sz w:val="20"/>
                <w:lang w:val="en-US"/>
              </w:rPr>
            </w:pPr>
            <w:r w:rsidRPr="007E56CB">
              <w:rPr>
                <w:rFonts w:ascii="Arial" w:hAnsi="Arial" w:cs="Arial"/>
                <w:sz w:val="20"/>
                <w:lang w:val="en-US"/>
              </w:rPr>
              <w:t> </w:t>
            </w:r>
          </w:p>
        </w:tc>
      </w:tr>
      <w:tr w:rsidR="007E56CB" w:rsidRPr="007E56CB" w:rsidTr="00B66938">
        <w:trPr>
          <w:trHeight w:val="286"/>
        </w:trPr>
        <w:tc>
          <w:tcPr>
            <w:tcW w:w="3430" w:type="dxa"/>
            <w:tcBorders>
              <w:top w:val="nil"/>
              <w:left w:val="single" w:sz="4" w:space="0" w:color="auto"/>
              <w:bottom w:val="nil"/>
              <w:right w:val="nil"/>
            </w:tcBorders>
            <w:shd w:val="clear" w:color="auto" w:fill="auto"/>
            <w:noWrap/>
            <w:hideMark/>
          </w:tcPr>
          <w:p w:rsidR="007E56CB" w:rsidRPr="007E56CB" w:rsidRDefault="007E56CB" w:rsidP="007E56CB">
            <w:pPr>
              <w:overflowPunct/>
              <w:autoSpaceDE/>
              <w:autoSpaceDN/>
              <w:adjustRightInd/>
              <w:spacing w:line="240" w:lineRule="auto"/>
              <w:textAlignment w:val="auto"/>
              <w:rPr>
                <w:rFonts w:ascii="Arial" w:hAnsi="Arial" w:cs="Arial"/>
                <w:sz w:val="20"/>
                <w:lang w:val="en-US"/>
              </w:rPr>
            </w:pPr>
            <w:r w:rsidRPr="007E56CB">
              <w:rPr>
                <w:rFonts w:ascii="Arial" w:hAnsi="Arial" w:cs="Arial"/>
                <w:sz w:val="20"/>
                <w:lang w:val="en-US"/>
              </w:rPr>
              <w:t> </w:t>
            </w:r>
          </w:p>
        </w:tc>
        <w:tc>
          <w:tcPr>
            <w:tcW w:w="381" w:type="dxa"/>
            <w:tcBorders>
              <w:top w:val="nil"/>
              <w:left w:val="nil"/>
              <w:bottom w:val="nil"/>
              <w:right w:val="nil"/>
            </w:tcBorders>
            <w:shd w:val="clear" w:color="auto" w:fill="auto"/>
            <w:noWrap/>
            <w:hideMark/>
          </w:tcPr>
          <w:p w:rsidR="007E56CB" w:rsidRPr="007E56CB" w:rsidRDefault="007E56CB" w:rsidP="007E56CB">
            <w:pPr>
              <w:overflowPunct/>
              <w:autoSpaceDE/>
              <w:autoSpaceDN/>
              <w:adjustRightInd/>
              <w:spacing w:line="240" w:lineRule="auto"/>
              <w:ind w:firstLineChars="300" w:firstLine="600"/>
              <w:textAlignment w:val="auto"/>
              <w:rPr>
                <w:rFonts w:ascii="Arial" w:hAnsi="Arial" w:cs="Arial"/>
                <w:sz w:val="20"/>
                <w:lang w:val="en-US"/>
              </w:rPr>
            </w:pPr>
          </w:p>
        </w:tc>
        <w:tc>
          <w:tcPr>
            <w:tcW w:w="1228" w:type="dxa"/>
            <w:tcBorders>
              <w:top w:val="nil"/>
              <w:left w:val="nil"/>
              <w:bottom w:val="nil"/>
              <w:right w:val="nil"/>
            </w:tcBorders>
            <w:shd w:val="clear" w:color="auto" w:fill="auto"/>
            <w:hideMark/>
          </w:tcPr>
          <w:p w:rsidR="007E56CB" w:rsidRPr="007E56CB" w:rsidRDefault="007E56CB" w:rsidP="007E56CB">
            <w:pPr>
              <w:overflowPunct/>
              <w:autoSpaceDE/>
              <w:autoSpaceDN/>
              <w:adjustRightInd/>
              <w:spacing w:line="240" w:lineRule="auto"/>
              <w:textAlignment w:val="auto"/>
              <w:rPr>
                <w:rFonts w:ascii="Arial" w:hAnsi="Arial" w:cs="Arial"/>
                <w:sz w:val="20"/>
                <w:lang w:val="en-US"/>
              </w:rPr>
            </w:pPr>
          </w:p>
        </w:tc>
        <w:tc>
          <w:tcPr>
            <w:tcW w:w="1151" w:type="dxa"/>
            <w:tcBorders>
              <w:top w:val="nil"/>
              <w:left w:val="nil"/>
              <w:bottom w:val="nil"/>
              <w:right w:val="nil"/>
            </w:tcBorders>
            <w:shd w:val="clear" w:color="auto" w:fill="auto"/>
            <w:hideMark/>
          </w:tcPr>
          <w:p w:rsidR="007E56CB" w:rsidRPr="007E56CB" w:rsidRDefault="007E56CB" w:rsidP="007E56CB">
            <w:pPr>
              <w:overflowPunct/>
              <w:autoSpaceDE/>
              <w:autoSpaceDN/>
              <w:adjustRightInd/>
              <w:spacing w:line="240" w:lineRule="auto"/>
              <w:textAlignment w:val="auto"/>
              <w:rPr>
                <w:rFonts w:ascii="Arial" w:hAnsi="Arial" w:cs="Arial"/>
                <w:sz w:val="20"/>
                <w:lang w:val="en-US"/>
              </w:rPr>
            </w:pPr>
          </w:p>
        </w:tc>
        <w:tc>
          <w:tcPr>
            <w:tcW w:w="343" w:type="dxa"/>
            <w:tcBorders>
              <w:top w:val="nil"/>
              <w:left w:val="nil"/>
              <w:bottom w:val="nil"/>
              <w:right w:val="nil"/>
            </w:tcBorders>
            <w:shd w:val="clear" w:color="auto" w:fill="auto"/>
            <w:hideMark/>
          </w:tcPr>
          <w:p w:rsidR="007E56CB" w:rsidRPr="007E56CB" w:rsidRDefault="007E56CB" w:rsidP="007E56CB">
            <w:pPr>
              <w:overflowPunct/>
              <w:autoSpaceDE/>
              <w:autoSpaceDN/>
              <w:adjustRightInd/>
              <w:spacing w:line="240" w:lineRule="auto"/>
              <w:textAlignment w:val="auto"/>
              <w:rPr>
                <w:rFonts w:ascii="Arial" w:hAnsi="Arial" w:cs="Arial"/>
                <w:sz w:val="20"/>
                <w:lang w:val="en-US"/>
              </w:rPr>
            </w:pPr>
          </w:p>
        </w:tc>
        <w:tc>
          <w:tcPr>
            <w:tcW w:w="1323" w:type="dxa"/>
            <w:tcBorders>
              <w:top w:val="nil"/>
              <w:left w:val="nil"/>
              <w:bottom w:val="nil"/>
              <w:right w:val="nil"/>
            </w:tcBorders>
            <w:shd w:val="clear" w:color="auto" w:fill="auto"/>
            <w:noWrap/>
            <w:hideMark/>
          </w:tcPr>
          <w:p w:rsidR="007E56CB" w:rsidRPr="007E56CB" w:rsidRDefault="007E56CB" w:rsidP="007E56CB">
            <w:pPr>
              <w:overflowPunct/>
              <w:autoSpaceDE/>
              <w:autoSpaceDN/>
              <w:adjustRightInd/>
              <w:spacing w:line="240" w:lineRule="auto"/>
              <w:textAlignment w:val="auto"/>
              <w:rPr>
                <w:rFonts w:ascii="Arial" w:hAnsi="Arial" w:cs="Arial"/>
                <w:sz w:val="20"/>
                <w:lang w:val="en-US"/>
              </w:rPr>
            </w:pPr>
          </w:p>
        </w:tc>
        <w:tc>
          <w:tcPr>
            <w:tcW w:w="1210" w:type="dxa"/>
            <w:tcBorders>
              <w:top w:val="nil"/>
              <w:left w:val="nil"/>
              <w:bottom w:val="nil"/>
              <w:right w:val="single" w:sz="4" w:space="0" w:color="auto"/>
            </w:tcBorders>
            <w:shd w:val="clear" w:color="auto" w:fill="auto"/>
            <w:noWrap/>
            <w:hideMark/>
          </w:tcPr>
          <w:p w:rsidR="007E56CB" w:rsidRPr="007E56CB" w:rsidRDefault="007E56CB" w:rsidP="007E56CB">
            <w:pPr>
              <w:overflowPunct/>
              <w:autoSpaceDE/>
              <w:autoSpaceDN/>
              <w:adjustRightInd/>
              <w:spacing w:line="240" w:lineRule="auto"/>
              <w:textAlignment w:val="auto"/>
              <w:rPr>
                <w:rFonts w:ascii="Arial" w:hAnsi="Arial" w:cs="Arial"/>
                <w:sz w:val="20"/>
                <w:lang w:val="en-US"/>
              </w:rPr>
            </w:pPr>
            <w:r w:rsidRPr="007E56CB">
              <w:rPr>
                <w:rFonts w:ascii="Arial" w:hAnsi="Arial" w:cs="Arial"/>
                <w:sz w:val="20"/>
                <w:lang w:val="en-US"/>
              </w:rPr>
              <w:t> </w:t>
            </w:r>
          </w:p>
        </w:tc>
      </w:tr>
      <w:tr w:rsidR="007E56CB" w:rsidRPr="007E56CB" w:rsidTr="00B66938">
        <w:trPr>
          <w:trHeight w:val="300"/>
        </w:trPr>
        <w:tc>
          <w:tcPr>
            <w:tcW w:w="5039" w:type="dxa"/>
            <w:gridSpan w:val="3"/>
            <w:tcBorders>
              <w:top w:val="nil"/>
              <w:left w:val="single" w:sz="4" w:space="0" w:color="auto"/>
              <w:bottom w:val="nil"/>
              <w:right w:val="nil"/>
            </w:tcBorders>
            <w:shd w:val="clear" w:color="auto" w:fill="auto"/>
            <w:noWrap/>
            <w:hideMark/>
          </w:tcPr>
          <w:p w:rsidR="007E56CB" w:rsidRPr="007E56CB" w:rsidRDefault="007E56CB" w:rsidP="00060C6E">
            <w:pPr>
              <w:overflowPunct/>
              <w:autoSpaceDE/>
              <w:autoSpaceDN/>
              <w:adjustRightInd/>
              <w:spacing w:line="240" w:lineRule="auto"/>
              <w:textAlignment w:val="auto"/>
              <w:rPr>
                <w:rFonts w:ascii="Arial" w:hAnsi="Arial" w:cs="Arial"/>
                <w:sz w:val="20"/>
                <w:lang w:val="en-US"/>
              </w:rPr>
            </w:pPr>
            <w:r w:rsidRPr="007E56CB">
              <w:rPr>
                <w:rFonts w:ascii="Arial" w:hAnsi="Arial" w:cs="Arial"/>
                <w:sz w:val="20"/>
                <w:lang w:val="en-US"/>
              </w:rPr>
              <w:t xml:space="preserve">Total financial fixed assets as at 31 December </w:t>
            </w:r>
          </w:p>
        </w:tc>
        <w:tc>
          <w:tcPr>
            <w:tcW w:w="1151" w:type="dxa"/>
            <w:tcBorders>
              <w:top w:val="single" w:sz="4" w:space="0" w:color="auto"/>
              <w:left w:val="nil"/>
              <w:bottom w:val="double" w:sz="6" w:space="0" w:color="auto"/>
              <w:right w:val="nil"/>
            </w:tcBorders>
            <w:shd w:val="clear" w:color="auto" w:fill="auto"/>
            <w:noWrap/>
            <w:vAlign w:val="bottom"/>
            <w:hideMark/>
          </w:tcPr>
          <w:p w:rsidR="007E56CB" w:rsidRPr="007E56CB" w:rsidRDefault="007E56CB" w:rsidP="007E56CB">
            <w:pPr>
              <w:overflowPunct/>
              <w:autoSpaceDE/>
              <w:autoSpaceDN/>
              <w:adjustRightInd/>
              <w:spacing w:line="240" w:lineRule="auto"/>
              <w:jc w:val="right"/>
              <w:textAlignment w:val="auto"/>
              <w:rPr>
                <w:rFonts w:ascii="Arial" w:hAnsi="Arial" w:cs="Arial"/>
                <w:sz w:val="20"/>
                <w:lang w:val="en-US"/>
              </w:rPr>
            </w:pPr>
            <w:r w:rsidRPr="007E56CB">
              <w:rPr>
                <w:rFonts w:ascii="Arial" w:hAnsi="Arial" w:cs="Arial"/>
                <w:sz w:val="20"/>
                <w:lang w:val="en-US"/>
              </w:rPr>
              <w:t xml:space="preserve"> 1'491'412 </w:t>
            </w:r>
          </w:p>
        </w:tc>
        <w:tc>
          <w:tcPr>
            <w:tcW w:w="343" w:type="dxa"/>
            <w:tcBorders>
              <w:top w:val="nil"/>
              <w:left w:val="nil"/>
              <w:bottom w:val="nil"/>
              <w:right w:val="nil"/>
            </w:tcBorders>
            <w:shd w:val="clear" w:color="auto" w:fill="auto"/>
            <w:noWrap/>
            <w:vAlign w:val="bottom"/>
            <w:hideMark/>
          </w:tcPr>
          <w:p w:rsidR="007E56CB" w:rsidRPr="007E56CB" w:rsidRDefault="007E56CB" w:rsidP="007E56CB">
            <w:pPr>
              <w:overflowPunct/>
              <w:autoSpaceDE/>
              <w:autoSpaceDN/>
              <w:adjustRightInd/>
              <w:spacing w:line="240" w:lineRule="auto"/>
              <w:jc w:val="center"/>
              <w:textAlignment w:val="auto"/>
              <w:rPr>
                <w:rFonts w:ascii="Arial" w:hAnsi="Arial" w:cs="Arial"/>
                <w:sz w:val="20"/>
                <w:lang w:val="en-US"/>
              </w:rPr>
            </w:pPr>
          </w:p>
        </w:tc>
        <w:tc>
          <w:tcPr>
            <w:tcW w:w="1323" w:type="dxa"/>
            <w:tcBorders>
              <w:top w:val="nil"/>
              <w:left w:val="nil"/>
              <w:bottom w:val="nil"/>
              <w:right w:val="nil"/>
            </w:tcBorders>
            <w:shd w:val="clear" w:color="auto" w:fill="auto"/>
            <w:noWrap/>
            <w:vAlign w:val="bottom"/>
            <w:hideMark/>
          </w:tcPr>
          <w:p w:rsidR="007E56CB" w:rsidRPr="007E56CB" w:rsidRDefault="007E56CB" w:rsidP="007E56CB">
            <w:pPr>
              <w:overflowPunct/>
              <w:autoSpaceDE/>
              <w:autoSpaceDN/>
              <w:adjustRightInd/>
              <w:spacing w:line="240" w:lineRule="auto"/>
              <w:textAlignment w:val="auto"/>
              <w:rPr>
                <w:rFonts w:ascii="Arial" w:hAnsi="Arial" w:cs="Arial"/>
                <w:sz w:val="20"/>
                <w:lang w:val="en-US"/>
              </w:rPr>
            </w:pPr>
          </w:p>
        </w:tc>
        <w:tc>
          <w:tcPr>
            <w:tcW w:w="1210" w:type="dxa"/>
            <w:tcBorders>
              <w:top w:val="single" w:sz="4" w:space="0" w:color="auto"/>
              <w:left w:val="nil"/>
              <w:bottom w:val="double" w:sz="6" w:space="0" w:color="auto"/>
              <w:right w:val="single" w:sz="4" w:space="0" w:color="auto"/>
            </w:tcBorders>
            <w:shd w:val="clear" w:color="auto" w:fill="auto"/>
            <w:noWrap/>
            <w:vAlign w:val="bottom"/>
            <w:hideMark/>
          </w:tcPr>
          <w:p w:rsidR="007E56CB" w:rsidRPr="007E56CB" w:rsidRDefault="007E56CB" w:rsidP="007E56CB">
            <w:pPr>
              <w:overflowPunct/>
              <w:autoSpaceDE/>
              <w:autoSpaceDN/>
              <w:adjustRightInd/>
              <w:spacing w:line="240" w:lineRule="auto"/>
              <w:jc w:val="right"/>
              <w:textAlignment w:val="auto"/>
              <w:rPr>
                <w:rFonts w:ascii="Arial" w:hAnsi="Arial" w:cs="Arial"/>
                <w:sz w:val="20"/>
                <w:lang w:val="en-US"/>
              </w:rPr>
            </w:pPr>
            <w:r w:rsidRPr="007E56CB">
              <w:rPr>
                <w:rFonts w:ascii="Arial" w:hAnsi="Arial" w:cs="Arial"/>
                <w:sz w:val="20"/>
                <w:lang w:val="en-US"/>
              </w:rPr>
              <w:t xml:space="preserve"> 1'524'694 </w:t>
            </w:r>
          </w:p>
        </w:tc>
      </w:tr>
      <w:tr w:rsidR="007E56CB" w:rsidRPr="007E56CB" w:rsidTr="00B66938">
        <w:trPr>
          <w:trHeight w:val="300"/>
        </w:trPr>
        <w:tc>
          <w:tcPr>
            <w:tcW w:w="3430" w:type="dxa"/>
            <w:tcBorders>
              <w:top w:val="nil"/>
              <w:left w:val="single" w:sz="4" w:space="0" w:color="auto"/>
              <w:bottom w:val="single" w:sz="4" w:space="0" w:color="auto"/>
              <w:right w:val="nil"/>
            </w:tcBorders>
            <w:shd w:val="clear" w:color="auto" w:fill="auto"/>
            <w:hideMark/>
          </w:tcPr>
          <w:p w:rsidR="007E56CB" w:rsidRPr="007E56CB" w:rsidRDefault="007E56CB" w:rsidP="007E56CB">
            <w:pPr>
              <w:overflowPunct/>
              <w:autoSpaceDE/>
              <w:autoSpaceDN/>
              <w:adjustRightInd/>
              <w:spacing w:line="240" w:lineRule="auto"/>
              <w:textAlignment w:val="auto"/>
              <w:rPr>
                <w:rFonts w:ascii="Arial" w:hAnsi="Arial" w:cs="Arial"/>
                <w:sz w:val="20"/>
                <w:lang w:val="en-US"/>
              </w:rPr>
            </w:pPr>
            <w:r w:rsidRPr="007E56CB">
              <w:rPr>
                <w:rFonts w:ascii="Arial" w:hAnsi="Arial" w:cs="Arial"/>
                <w:sz w:val="20"/>
                <w:lang w:val="en-US"/>
              </w:rPr>
              <w:t> </w:t>
            </w:r>
          </w:p>
        </w:tc>
        <w:tc>
          <w:tcPr>
            <w:tcW w:w="381" w:type="dxa"/>
            <w:tcBorders>
              <w:top w:val="nil"/>
              <w:left w:val="nil"/>
              <w:bottom w:val="single" w:sz="4" w:space="0" w:color="auto"/>
              <w:right w:val="nil"/>
            </w:tcBorders>
            <w:shd w:val="clear" w:color="auto" w:fill="auto"/>
            <w:hideMark/>
          </w:tcPr>
          <w:p w:rsidR="007E56CB" w:rsidRPr="007E56CB" w:rsidRDefault="007E56CB" w:rsidP="007E56CB">
            <w:pPr>
              <w:overflowPunct/>
              <w:autoSpaceDE/>
              <w:autoSpaceDN/>
              <w:adjustRightInd/>
              <w:spacing w:line="240" w:lineRule="auto"/>
              <w:textAlignment w:val="auto"/>
              <w:rPr>
                <w:rFonts w:ascii="Arial" w:hAnsi="Arial" w:cs="Arial"/>
                <w:sz w:val="20"/>
                <w:lang w:val="en-US"/>
              </w:rPr>
            </w:pPr>
            <w:r w:rsidRPr="007E56CB">
              <w:rPr>
                <w:rFonts w:ascii="Arial" w:hAnsi="Arial" w:cs="Arial"/>
                <w:sz w:val="20"/>
                <w:lang w:val="en-US"/>
              </w:rPr>
              <w:t> </w:t>
            </w:r>
          </w:p>
        </w:tc>
        <w:tc>
          <w:tcPr>
            <w:tcW w:w="1228" w:type="dxa"/>
            <w:tcBorders>
              <w:top w:val="nil"/>
              <w:left w:val="nil"/>
              <w:bottom w:val="single" w:sz="4" w:space="0" w:color="auto"/>
              <w:right w:val="nil"/>
            </w:tcBorders>
            <w:shd w:val="clear" w:color="auto" w:fill="auto"/>
            <w:noWrap/>
            <w:vAlign w:val="bottom"/>
            <w:hideMark/>
          </w:tcPr>
          <w:p w:rsidR="007E56CB" w:rsidRPr="007E56CB" w:rsidRDefault="007E56CB" w:rsidP="007E56CB">
            <w:pPr>
              <w:overflowPunct/>
              <w:autoSpaceDE/>
              <w:autoSpaceDN/>
              <w:adjustRightInd/>
              <w:spacing w:line="240" w:lineRule="auto"/>
              <w:jc w:val="center"/>
              <w:textAlignment w:val="auto"/>
              <w:rPr>
                <w:rFonts w:ascii="Arial" w:hAnsi="Arial" w:cs="Arial"/>
                <w:sz w:val="20"/>
                <w:lang w:val="en-US"/>
              </w:rPr>
            </w:pPr>
            <w:r w:rsidRPr="007E56CB">
              <w:rPr>
                <w:rFonts w:ascii="Arial" w:hAnsi="Arial" w:cs="Arial"/>
                <w:sz w:val="20"/>
                <w:lang w:val="en-US"/>
              </w:rPr>
              <w:t> </w:t>
            </w:r>
          </w:p>
        </w:tc>
        <w:tc>
          <w:tcPr>
            <w:tcW w:w="1151" w:type="dxa"/>
            <w:tcBorders>
              <w:top w:val="nil"/>
              <w:left w:val="nil"/>
              <w:bottom w:val="single" w:sz="4" w:space="0" w:color="auto"/>
              <w:right w:val="nil"/>
            </w:tcBorders>
            <w:shd w:val="clear" w:color="auto" w:fill="auto"/>
            <w:noWrap/>
            <w:vAlign w:val="bottom"/>
            <w:hideMark/>
          </w:tcPr>
          <w:p w:rsidR="007E56CB" w:rsidRPr="007E56CB" w:rsidRDefault="007E56CB" w:rsidP="007E56CB">
            <w:pPr>
              <w:overflowPunct/>
              <w:autoSpaceDE/>
              <w:autoSpaceDN/>
              <w:adjustRightInd/>
              <w:spacing w:line="240" w:lineRule="auto"/>
              <w:jc w:val="center"/>
              <w:textAlignment w:val="auto"/>
              <w:rPr>
                <w:rFonts w:ascii="Arial" w:hAnsi="Arial" w:cs="Arial"/>
                <w:sz w:val="20"/>
                <w:lang w:val="en-US"/>
              </w:rPr>
            </w:pPr>
            <w:r w:rsidRPr="007E56CB">
              <w:rPr>
                <w:rFonts w:ascii="Arial" w:hAnsi="Arial" w:cs="Arial"/>
                <w:sz w:val="20"/>
                <w:lang w:val="en-US"/>
              </w:rPr>
              <w:t> </w:t>
            </w:r>
          </w:p>
        </w:tc>
        <w:tc>
          <w:tcPr>
            <w:tcW w:w="343" w:type="dxa"/>
            <w:tcBorders>
              <w:top w:val="nil"/>
              <w:left w:val="nil"/>
              <w:bottom w:val="single" w:sz="4" w:space="0" w:color="auto"/>
              <w:right w:val="nil"/>
            </w:tcBorders>
            <w:shd w:val="clear" w:color="auto" w:fill="auto"/>
            <w:noWrap/>
            <w:vAlign w:val="bottom"/>
            <w:hideMark/>
          </w:tcPr>
          <w:p w:rsidR="007E56CB" w:rsidRPr="007E56CB" w:rsidRDefault="007E56CB" w:rsidP="007E56CB">
            <w:pPr>
              <w:overflowPunct/>
              <w:autoSpaceDE/>
              <w:autoSpaceDN/>
              <w:adjustRightInd/>
              <w:spacing w:line="240" w:lineRule="auto"/>
              <w:jc w:val="center"/>
              <w:textAlignment w:val="auto"/>
              <w:rPr>
                <w:rFonts w:ascii="Arial" w:hAnsi="Arial" w:cs="Arial"/>
                <w:sz w:val="20"/>
                <w:lang w:val="en-US"/>
              </w:rPr>
            </w:pPr>
            <w:r w:rsidRPr="007E56CB">
              <w:rPr>
                <w:rFonts w:ascii="Arial" w:hAnsi="Arial" w:cs="Arial"/>
                <w:sz w:val="20"/>
                <w:lang w:val="en-US"/>
              </w:rPr>
              <w:t> </w:t>
            </w:r>
          </w:p>
        </w:tc>
        <w:tc>
          <w:tcPr>
            <w:tcW w:w="1323" w:type="dxa"/>
            <w:tcBorders>
              <w:top w:val="nil"/>
              <w:left w:val="nil"/>
              <w:bottom w:val="single" w:sz="4" w:space="0" w:color="auto"/>
              <w:right w:val="nil"/>
            </w:tcBorders>
            <w:shd w:val="clear" w:color="auto" w:fill="auto"/>
            <w:noWrap/>
            <w:vAlign w:val="bottom"/>
            <w:hideMark/>
          </w:tcPr>
          <w:p w:rsidR="007E56CB" w:rsidRPr="007E56CB" w:rsidRDefault="007E56CB" w:rsidP="007E56CB">
            <w:pPr>
              <w:overflowPunct/>
              <w:autoSpaceDE/>
              <w:autoSpaceDN/>
              <w:adjustRightInd/>
              <w:spacing w:line="240" w:lineRule="auto"/>
              <w:jc w:val="right"/>
              <w:textAlignment w:val="auto"/>
              <w:rPr>
                <w:rFonts w:ascii="Arial" w:hAnsi="Arial" w:cs="Arial"/>
                <w:sz w:val="20"/>
                <w:lang w:val="en-US"/>
              </w:rPr>
            </w:pPr>
            <w:r w:rsidRPr="007E56CB">
              <w:rPr>
                <w:rFonts w:ascii="Arial" w:hAnsi="Arial" w:cs="Arial"/>
                <w:sz w:val="20"/>
                <w:lang w:val="en-US"/>
              </w:rPr>
              <w:t> </w:t>
            </w:r>
          </w:p>
        </w:tc>
        <w:tc>
          <w:tcPr>
            <w:tcW w:w="1210" w:type="dxa"/>
            <w:tcBorders>
              <w:top w:val="nil"/>
              <w:left w:val="nil"/>
              <w:bottom w:val="single" w:sz="4" w:space="0" w:color="auto"/>
              <w:right w:val="single" w:sz="4" w:space="0" w:color="auto"/>
            </w:tcBorders>
            <w:shd w:val="clear" w:color="auto" w:fill="auto"/>
            <w:noWrap/>
            <w:vAlign w:val="bottom"/>
            <w:hideMark/>
          </w:tcPr>
          <w:p w:rsidR="007E56CB" w:rsidRPr="007E56CB" w:rsidRDefault="007E56CB" w:rsidP="007E56CB">
            <w:pPr>
              <w:overflowPunct/>
              <w:autoSpaceDE/>
              <w:autoSpaceDN/>
              <w:adjustRightInd/>
              <w:spacing w:line="240" w:lineRule="auto"/>
              <w:jc w:val="right"/>
              <w:textAlignment w:val="auto"/>
              <w:rPr>
                <w:rFonts w:ascii="Arial" w:hAnsi="Arial" w:cs="Arial"/>
                <w:sz w:val="20"/>
                <w:lang w:val="en-US"/>
              </w:rPr>
            </w:pPr>
            <w:r w:rsidRPr="007E56CB">
              <w:rPr>
                <w:rFonts w:ascii="Arial" w:hAnsi="Arial" w:cs="Arial"/>
                <w:sz w:val="20"/>
                <w:lang w:val="en-US"/>
              </w:rPr>
              <w:t> </w:t>
            </w:r>
          </w:p>
        </w:tc>
      </w:tr>
    </w:tbl>
    <w:p w:rsidR="007E56CB" w:rsidRPr="007E56CB" w:rsidRDefault="007E56CB" w:rsidP="007E56CB">
      <w:pPr>
        <w:pStyle w:val="000"/>
      </w:pPr>
    </w:p>
    <w:p w:rsidR="006A0894" w:rsidRPr="006A0894" w:rsidRDefault="006A0894" w:rsidP="009A0E37">
      <w:pPr>
        <w:pStyle w:val="Style000"/>
        <w:rPr>
          <w:rStyle w:val="Style000Char"/>
          <w:rFonts w:cs="Arial"/>
        </w:rPr>
      </w:pPr>
    </w:p>
    <w:p w:rsidR="009A0E37" w:rsidRDefault="009A0E37" w:rsidP="009A0E37">
      <w:pPr>
        <w:pStyle w:val="Style000"/>
        <w:rPr>
          <w:rFonts w:cs="Arial"/>
        </w:rPr>
      </w:pPr>
      <w:r w:rsidRPr="006A0894">
        <w:rPr>
          <w:rStyle w:val="Style000Char"/>
          <w:rFonts w:cs="Arial"/>
        </w:rPr>
        <w:t>Th</w:t>
      </w:r>
      <w:r w:rsidR="006A0894" w:rsidRPr="006A0894">
        <w:rPr>
          <w:rStyle w:val="Style000Char"/>
          <w:rFonts w:cs="Arial"/>
        </w:rPr>
        <w:t xml:space="preserve">e loans </w:t>
      </w:r>
      <w:r w:rsidR="00CD2427">
        <w:rPr>
          <w:rStyle w:val="Style000Char"/>
          <w:rFonts w:cs="Arial"/>
        </w:rPr>
        <w:t xml:space="preserve">to group companies </w:t>
      </w:r>
      <w:r w:rsidRPr="006A0894">
        <w:rPr>
          <w:rStyle w:val="Style000Char"/>
          <w:rFonts w:cs="Arial"/>
        </w:rPr>
        <w:t xml:space="preserve">bear interest at an </w:t>
      </w:r>
      <w:r w:rsidR="00672130">
        <w:rPr>
          <w:rStyle w:val="Style000Char"/>
          <w:rFonts w:cs="Arial"/>
        </w:rPr>
        <w:t xml:space="preserve">unchanged </w:t>
      </w:r>
      <w:r w:rsidRPr="006A0894">
        <w:rPr>
          <w:rStyle w:val="Style000Char"/>
          <w:rFonts w:cs="Arial"/>
        </w:rPr>
        <w:t xml:space="preserve">average rate of </w:t>
      </w:r>
      <w:r w:rsidR="00391994" w:rsidRPr="00672130">
        <w:rPr>
          <w:rStyle w:val="Style000Char"/>
          <w:rFonts w:cs="Arial"/>
        </w:rPr>
        <w:t>4.629</w:t>
      </w:r>
      <w:r w:rsidRPr="00672130">
        <w:rPr>
          <w:rStyle w:val="Style000Char"/>
          <w:rFonts w:cs="Arial"/>
        </w:rPr>
        <w:t>%</w:t>
      </w:r>
      <w:r w:rsidR="00672130">
        <w:rPr>
          <w:rStyle w:val="Style000Char"/>
          <w:rFonts w:cs="Arial"/>
        </w:rPr>
        <w:t>.</w:t>
      </w:r>
      <w:r w:rsidRPr="006A0894">
        <w:rPr>
          <w:rFonts w:cs="Arial"/>
        </w:rPr>
        <w:t xml:space="preserve"> The effective interest rate has been determined disregarding the discount and premiums, since their impact is only marginal. The interest rate is fixed on an arms’ length basis.</w:t>
      </w:r>
    </w:p>
    <w:p w:rsidR="00CD2427" w:rsidRDefault="00CD2427" w:rsidP="009A0E37">
      <w:pPr>
        <w:pStyle w:val="Style000"/>
        <w:rPr>
          <w:rFonts w:cs="Arial"/>
        </w:rPr>
      </w:pPr>
    </w:p>
    <w:p w:rsidR="00CD2427" w:rsidRDefault="00CD2427" w:rsidP="009A0E37">
      <w:pPr>
        <w:pStyle w:val="Style000"/>
        <w:rPr>
          <w:rStyle w:val="Style000Char"/>
          <w:rFonts w:cs="Arial"/>
        </w:rPr>
      </w:pPr>
      <w:r>
        <w:rPr>
          <w:rFonts w:cs="Arial"/>
        </w:rPr>
        <w:t xml:space="preserve">The </w:t>
      </w:r>
      <w:r>
        <w:rPr>
          <w:rStyle w:val="Style000Char"/>
          <w:rFonts w:cs="Arial"/>
        </w:rPr>
        <w:t>maturity dates of the loans to group companies</w:t>
      </w:r>
      <w:r w:rsidRPr="006A0894">
        <w:rPr>
          <w:rStyle w:val="Style000Char"/>
          <w:rFonts w:cs="Arial"/>
        </w:rPr>
        <w:t xml:space="preserve"> ranging </w:t>
      </w:r>
      <w:r w:rsidRPr="00114C33">
        <w:rPr>
          <w:rStyle w:val="Style000Char"/>
          <w:rFonts w:cs="Arial"/>
        </w:rPr>
        <w:t>from 2014 up to 2035</w:t>
      </w:r>
      <w:r w:rsidR="00D21039" w:rsidRPr="00114C33">
        <w:rPr>
          <w:rStyle w:val="Style000Char"/>
          <w:rFonts w:cs="Arial"/>
        </w:rPr>
        <w:t xml:space="preserve"> (2010:</w:t>
      </w:r>
      <w:r w:rsidR="00D21039">
        <w:rPr>
          <w:rStyle w:val="Style000Char"/>
          <w:rFonts w:cs="Arial"/>
        </w:rPr>
        <w:t xml:space="preserve"> 2014</w:t>
      </w:r>
      <w:r>
        <w:rPr>
          <w:rStyle w:val="Style000Char"/>
          <w:rFonts w:cs="Arial"/>
        </w:rPr>
        <w:t xml:space="preserve"> to 2035). The carrying amounts of the loans to group companies can be split based on the maturity dates as follows:</w:t>
      </w:r>
    </w:p>
    <w:p w:rsidR="00CD2427" w:rsidRDefault="00CD2427" w:rsidP="00CD2427">
      <w:pPr>
        <w:pStyle w:val="Style000"/>
        <w:numPr>
          <w:ilvl w:val="0"/>
          <w:numId w:val="5"/>
        </w:numPr>
        <w:rPr>
          <w:rStyle w:val="Style000Char"/>
          <w:rFonts w:cs="Arial"/>
        </w:rPr>
      </w:pPr>
      <w:r>
        <w:rPr>
          <w:rStyle w:val="Style000Char"/>
          <w:rFonts w:cs="Arial"/>
        </w:rPr>
        <w:t>Loans maturing within 1-</w:t>
      </w:r>
      <w:r w:rsidR="00D21039">
        <w:rPr>
          <w:rStyle w:val="Style000Char"/>
          <w:rFonts w:cs="Arial"/>
        </w:rPr>
        <w:t xml:space="preserve">5 years: </w:t>
      </w:r>
      <w:r w:rsidR="00AA7932">
        <w:rPr>
          <w:rStyle w:val="Style000Char"/>
          <w:rFonts w:cs="Arial"/>
        </w:rPr>
        <w:t>USD 1,264,353</w:t>
      </w:r>
      <w:r w:rsidR="00D21039" w:rsidRPr="00114C33">
        <w:rPr>
          <w:rStyle w:val="Style000Char"/>
          <w:rFonts w:cs="Arial"/>
        </w:rPr>
        <w:t>,000</w:t>
      </w:r>
      <w:r w:rsidR="00D21039">
        <w:rPr>
          <w:rStyle w:val="Style000Char"/>
          <w:rFonts w:cs="Arial"/>
        </w:rPr>
        <w:t xml:space="preserve"> (2010</w:t>
      </w:r>
      <w:r>
        <w:rPr>
          <w:rStyle w:val="Style000Char"/>
          <w:rFonts w:cs="Arial"/>
        </w:rPr>
        <w:t xml:space="preserve">: USD </w:t>
      </w:r>
      <w:r w:rsidR="00D21039">
        <w:rPr>
          <w:rStyle w:val="Style000Char"/>
          <w:rFonts w:cs="Arial"/>
        </w:rPr>
        <w:t>1,298,524,000</w:t>
      </w:r>
      <w:r>
        <w:rPr>
          <w:rStyle w:val="Style000Char"/>
          <w:rFonts w:cs="Arial"/>
        </w:rPr>
        <w:t>)</w:t>
      </w:r>
    </w:p>
    <w:p w:rsidR="00CD2427" w:rsidRPr="006A0894" w:rsidRDefault="00CD2427" w:rsidP="00CD2427">
      <w:pPr>
        <w:pStyle w:val="Style000"/>
        <w:numPr>
          <w:ilvl w:val="0"/>
          <w:numId w:val="5"/>
        </w:numPr>
        <w:rPr>
          <w:rFonts w:cs="Arial"/>
        </w:rPr>
      </w:pPr>
      <w:r>
        <w:rPr>
          <w:rStyle w:val="Style000Char"/>
          <w:rFonts w:cs="Arial"/>
        </w:rPr>
        <w:t>Loans maturing afte</w:t>
      </w:r>
      <w:r w:rsidR="00D21039">
        <w:rPr>
          <w:rStyle w:val="Style000Char"/>
          <w:rFonts w:cs="Arial"/>
        </w:rPr>
        <w:t xml:space="preserve">r 5 </w:t>
      </w:r>
      <w:r w:rsidR="00D21039" w:rsidRPr="00AA7932">
        <w:rPr>
          <w:rStyle w:val="Style000Char"/>
          <w:rFonts w:cs="Arial"/>
        </w:rPr>
        <w:t xml:space="preserve">years: </w:t>
      </w:r>
      <w:r w:rsidR="00114C33" w:rsidRPr="00AA7932">
        <w:rPr>
          <w:rStyle w:val="Style000Char"/>
          <w:rFonts w:cs="Arial"/>
        </w:rPr>
        <w:t>USD 227,059</w:t>
      </w:r>
      <w:r w:rsidR="00D21039" w:rsidRPr="00AA7932">
        <w:rPr>
          <w:rStyle w:val="Style000Char"/>
          <w:rFonts w:cs="Arial"/>
        </w:rPr>
        <w:t>,000</w:t>
      </w:r>
      <w:r w:rsidR="00D21039">
        <w:rPr>
          <w:rStyle w:val="Style000Char"/>
          <w:rFonts w:cs="Arial"/>
        </w:rPr>
        <w:t xml:space="preserve"> (2010</w:t>
      </w:r>
      <w:r>
        <w:rPr>
          <w:rStyle w:val="Style000Char"/>
          <w:rFonts w:cs="Arial"/>
        </w:rPr>
        <w:t xml:space="preserve">: USD </w:t>
      </w:r>
      <w:r w:rsidR="00D21039">
        <w:rPr>
          <w:rStyle w:val="Style000Char"/>
          <w:rFonts w:cs="Arial"/>
        </w:rPr>
        <w:t>226,170,000</w:t>
      </w:r>
      <w:r>
        <w:rPr>
          <w:rStyle w:val="Style000Char"/>
          <w:rFonts w:cs="Arial"/>
        </w:rPr>
        <w:t>).</w:t>
      </w:r>
    </w:p>
    <w:p w:rsidR="003072EE" w:rsidRPr="002872B4" w:rsidRDefault="003072EE" w:rsidP="000E2579">
      <w:pPr>
        <w:pStyle w:val="Style000"/>
        <w:rPr>
          <w:rFonts w:cs="Arial"/>
        </w:rPr>
      </w:pPr>
    </w:p>
    <w:p w:rsidR="000E2579" w:rsidRPr="002872B4" w:rsidRDefault="000E2579" w:rsidP="000E2579">
      <w:pPr>
        <w:pStyle w:val="Style000"/>
      </w:pPr>
      <w:r w:rsidRPr="009E499E">
        <w:t xml:space="preserve">As part of its treasury </w:t>
      </w:r>
      <w:r w:rsidR="003072EE" w:rsidRPr="009E499E">
        <w:t>services</w:t>
      </w:r>
      <w:r w:rsidRPr="009E499E">
        <w:t xml:space="preserve">, the Company had granted credit lines to a group company for a maximum amount </w:t>
      </w:r>
      <w:r w:rsidRPr="00943F78">
        <w:t>equal to USD 3,250,000,000 at interest</w:t>
      </w:r>
      <w:r w:rsidRPr="009E499E">
        <w:t xml:space="preserve"> rates corresponding to the Company’s borrowing costs increased by all costs (if any) relating to the issue of loans which fund </w:t>
      </w:r>
      <w:r w:rsidR="00EE5694" w:rsidRPr="009E499E">
        <w:t>receivables</w:t>
      </w:r>
      <w:r w:rsidRPr="009E499E">
        <w:t xml:space="preserve"> under these credit lines.</w:t>
      </w:r>
    </w:p>
    <w:p w:rsidR="005D16EC" w:rsidRPr="002872B4" w:rsidRDefault="005D16EC" w:rsidP="000E2579">
      <w:pPr>
        <w:pStyle w:val="Style000"/>
      </w:pPr>
    </w:p>
    <w:p w:rsidR="005D16EC" w:rsidRDefault="00547807" w:rsidP="005D16EC">
      <w:pPr>
        <w:pStyle w:val="Style000"/>
        <w:rPr>
          <w:rFonts w:cs="Arial"/>
        </w:rPr>
      </w:pPr>
      <w:r w:rsidRPr="002872B4">
        <w:rPr>
          <w:rFonts w:cs="Arial"/>
        </w:rPr>
        <w:t>All</w:t>
      </w:r>
      <w:r w:rsidR="006D7F1D" w:rsidRPr="002872B4">
        <w:t xml:space="preserve"> </w:t>
      </w:r>
      <w:r w:rsidR="006D7F1D" w:rsidRPr="002872B4">
        <w:rPr>
          <w:rFonts w:cs="Arial"/>
          <w:lang w:val="en-US"/>
        </w:rPr>
        <w:t>receivable</w:t>
      </w:r>
      <w:r w:rsidR="00D540F0" w:rsidRPr="002872B4">
        <w:rPr>
          <w:rFonts w:cs="Arial"/>
          <w:lang w:val="en-US"/>
        </w:rPr>
        <w:t>s</w:t>
      </w:r>
      <w:r w:rsidR="005D16EC" w:rsidRPr="002872B4">
        <w:rPr>
          <w:rFonts w:cs="Arial"/>
          <w:lang w:val="en-US"/>
        </w:rPr>
        <w:t xml:space="preserve"> </w:t>
      </w:r>
      <w:r w:rsidRPr="002872B4">
        <w:rPr>
          <w:rFonts w:cs="Arial"/>
          <w:lang w:val="en-US"/>
        </w:rPr>
        <w:t xml:space="preserve">are </w:t>
      </w:r>
      <w:r w:rsidR="005D16EC" w:rsidRPr="002872B4">
        <w:rPr>
          <w:rFonts w:cs="Arial"/>
          <w:lang w:val="en-US"/>
        </w:rPr>
        <w:t xml:space="preserve">from </w:t>
      </w:r>
      <w:r w:rsidR="001730EB">
        <w:rPr>
          <w:rFonts w:cs="Arial"/>
          <w:lang w:val="en-US"/>
        </w:rPr>
        <w:t xml:space="preserve">the </w:t>
      </w:r>
      <w:r w:rsidR="005D16EC" w:rsidRPr="002872B4">
        <w:rPr>
          <w:rFonts w:cs="Arial"/>
          <w:lang w:val="en-US"/>
        </w:rPr>
        <w:t xml:space="preserve">sole shareholder </w:t>
      </w:r>
      <w:r w:rsidR="005D16EC" w:rsidRPr="002872B4">
        <w:rPr>
          <w:rFonts w:cs="Arial"/>
        </w:rPr>
        <w:t>Syngenta Treasury N</w:t>
      </w:r>
      <w:r w:rsidR="003072EE" w:rsidRPr="002872B4">
        <w:rPr>
          <w:rFonts w:cs="Arial"/>
        </w:rPr>
        <w:t>.</w:t>
      </w:r>
      <w:r w:rsidR="005D16EC" w:rsidRPr="002872B4">
        <w:rPr>
          <w:rFonts w:cs="Arial"/>
        </w:rPr>
        <w:t>V</w:t>
      </w:r>
      <w:r w:rsidR="007B3EC2">
        <w:rPr>
          <w:rFonts w:cs="Arial"/>
        </w:rPr>
        <w:t>.</w:t>
      </w:r>
    </w:p>
    <w:p w:rsidR="00775929" w:rsidRDefault="00775929" w:rsidP="005D16EC">
      <w:pPr>
        <w:pStyle w:val="Style000"/>
        <w:rPr>
          <w:rFonts w:cs="Arial"/>
        </w:rPr>
      </w:pPr>
    </w:p>
    <w:p w:rsidR="00775929" w:rsidRDefault="00775929" w:rsidP="005D16EC">
      <w:pPr>
        <w:pStyle w:val="Style000"/>
        <w:rPr>
          <w:rFonts w:cs="Arial"/>
        </w:rPr>
      </w:pPr>
    </w:p>
    <w:p w:rsidR="00B66938" w:rsidRDefault="00B66938" w:rsidP="00B66938">
      <w:pPr>
        <w:pStyle w:val="000"/>
      </w:pPr>
    </w:p>
    <w:p w:rsidR="004953A2" w:rsidRDefault="004953A2" w:rsidP="00B66938">
      <w:pPr>
        <w:pStyle w:val="000"/>
      </w:pPr>
    </w:p>
    <w:p w:rsidR="004953A2" w:rsidRDefault="004953A2" w:rsidP="00B66938">
      <w:pPr>
        <w:pStyle w:val="000"/>
      </w:pPr>
    </w:p>
    <w:p w:rsidR="004953A2" w:rsidRDefault="004953A2" w:rsidP="00B66938">
      <w:pPr>
        <w:pStyle w:val="000"/>
      </w:pPr>
    </w:p>
    <w:p w:rsidR="004953A2" w:rsidRDefault="004953A2" w:rsidP="00B66938">
      <w:pPr>
        <w:pStyle w:val="000"/>
      </w:pPr>
    </w:p>
    <w:p w:rsidR="00B66938" w:rsidRPr="00B66938" w:rsidRDefault="00B66938" w:rsidP="00B66938">
      <w:pPr>
        <w:pStyle w:val="000"/>
      </w:pPr>
    </w:p>
    <w:p w:rsidR="00775929" w:rsidRDefault="001F69B0" w:rsidP="00775929">
      <w:pPr>
        <w:pStyle w:val="081"/>
        <w:numPr>
          <w:ilvl w:val="0"/>
          <w:numId w:val="6"/>
        </w:numPr>
        <w:rPr>
          <w:rFonts w:cs="Arial"/>
          <w:bCs/>
          <w:color w:val="FF0000"/>
        </w:rPr>
      </w:pPr>
      <w:r w:rsidRPr="009049AB">
        <w:rPr>
          <w:rFonts w:cs="Arial"/>
          <w:bCs/>
          <w:szCs w:val="24"/>
        </w:rPr>
        <w:lastRenderedPageBreak/>
        <w:t>Receivables</w:t>
      </w:r>
      <w:r w:rsidR="00F00529" w:rsidRPr="009049AB">
        <w:rPr>
          <w:rFonts w:cs="Arial"/>
          <w:bCs/>
          <w:szCs w:val="24"/>
        </w:rPr>
        <w:t xml:space="preserve"> and receivables from group companies</w:t>
      </w:r>
    </w:p>
    <w:tbl>
      <w:tblPr>
        <w:tblW w:w="8940" w:type="dxa"/>
        <w:tblInd w:w="103" w:type="dxa"/>
        <w:tblLook w:val="04A0"/>
      </w:tblPr>
      <w:tblGrid>
        <w:gridCol w:w="3310"/>
        <w:gridCol w:w="350"/>
        <w:gridCol w:w="1196"/>
        <w:gridCol w:w="1121"/>
        <w:gridCol w:w="330"/>
        <w:gridCol w:w="272"/>
        <w:gridCol w:w="2361"/>
      </w:tblGrid>
      <w:tr w:rsidR="004953A2" w:rsidRPr="00775929" w:rsidTr="004953A2">
        <w:trPr>
          <w:trHeight w:val="269"/>
        </w:trPr>
        <w:tc>
          <w:tcPr>
            <w:tcW w:w="3310" w:type="dxa"/>
            <w:tcBorders>
              <w:top w:val="single" w:sz="4" w:space="0" w:color="auto"/>
              <w:left w:val="single" w:sz="4" w:space="0" w:color="auto"/>
              <w:bottom w:val="single" w:sz="4" w:space="0" w:color="auto"/>
              <w:right w:val="nil"/>
            </w:tcBorders>
            <w:shd w:val="clear" w:color="auto" w:fill="auto"/>
            <w:noWrap/>
            <w:vAlign w:val="bottom"/>
            <w:hideMark/>
          </w:tcPr>
          <w:p w:rsidR="00775929" w:rsidRPr="00775929" w:rsidRDefault="00775929" w:rsidP="00775929">
            <w:pPr>
              <w:overflowPunct/>
              <w:autoSpaceDE/>
              <w:autoSpaceDN/>
              <w:adjustRightInd/>
              <w:spacing w:line="240" w:lineRule="auto"/>
              <w:textAlignment w:val="auto"/>
              <w:rPr>
                <w:rFonts w:ascii="Arial" w:hAnsi="Arial" w:cs="Arial"/>
                <w:i/>
                <w:iCs/>
                <w:sz w:val="20"/>
                <w:lang w:val="en-US"/>
              </w:rPr>
            </w:pPr>
            <w:r w:rsidRPr="00775929">
              <w:rPr>
                <w:rFonts w:ascii="Arial" w:hAnsi="Arial" w:cs="Arial"/>
                <w:i/>
                <w:iCs/>
                <w:sz w:val="20"/>
                <w:lang w:val="en-US"/>
              </w:rPr>
              <w:t> </w:t>
            </w:r>
          </w:p>
        </w:tc>
        <w:tc>
          <w:tcPr>
            <w:tcW w:w="350" w:type="dxa"/>
            <w:tcBorders>
              <w:top w:val="single" w:sz="4" w:space="0" w:color="auto"/>
              <w:left w:val="nil"/>
              <w:bottom w:val="nil"/>
              <w:right w:val="nil"/>
            </w:tcBorders>
            <w:shd w:val="clear" w:color="auto" w:fill="auto"/>
            <w:noWrap/>
            <w:vAlign w:val="bottom"/>
            <w:hideMark/>
          </w:tcPr>
          <w:p w:rsidR="00775929" w:rsidRPr="00775929" w:rsidRDefault="00775929" w:rsidP="00775929">
            <w:pPr>
              <w:overflowPunct/>
              <w:autoSpaceDE/>
              <w:autoSpaceDN/>
              <w:adjustRightInd/>
              <w:spacing w:line="240" w:lineRule="auto"/>
              <w:textAlignment w:val="auto"/>
              <w:rPr>
                <w:rFonts w:ascii="Arial" w:hAnsi="Arial" w:cs="Arial"/>
                <w:i/>
                <w:iCs/>
                <w:sz w:val="20"/>
                <w:lang w:val="en-US"/>
              </w:rPr>
            </w:pPr>
            <w:r w:rsidRPr="00775929">
              <w:rPr>
                <w:rFonts w:ascii="Arial" w:hAnsi="Arial" w:cs="Arial"/>
                <w:i/>
                <w:iCs/>
                <w:sz w:val="20"/>
                <w:lang w:val="en-US"/>
              </w:rPr>
              <w:t> </w:t>
            </w:r>
          </w:p>
        </w:tc>
        <w:tc>
          <w:tcPr>
            <w:tcW w:w="2317" w:type="dxa"/>
            <w:gridSpan w:val="2"/>
            <w:tcBorders>
              <w:top w:val="single" w:sz="4" w:space="0" w:color="auto"/>
              <w:left w:val="nil"/>
              <w:bottom w:val="single" w:sz="4" w:space="0" w:color="auto"/>
              <w:right w:val="nil"/>
            </w:tcBorders>
            <w:shd w:val="clear" w:color="auto" w:fill="auto"/>
            <w:vAlign w:val="bottom"/>
            <w:hideMark/>
          </w:tcPr>
          <w:p w:rsidR="00775929" w:rsidRPr="00775929" w:rsidRDefault="00775929" w:rsidP="00775929">
            <w:pPr>
              <w:overflowPunct/>
              <w:autoSpaceDE/>
              <w:autoSpaceDN/>
              <w:adjustRightInd/>
              <w:spacing w:line="240" w:lineRule="auto"/>
              <w:jc w:val="center"/>
              <w:textAlignment w:val="auto"/>
              <w:rPr>
                <w:rFonts w:ascii="Arial" w:hAnsi="Arial" w:cs="Arial"/>
                <w:sz w:val="20"/>
                <w:lang w:val="en-US"/>
              </w:rPr>
            </w:pPr>
            <w:r w:rsidRPr="00775929">
              <w:rPr>
                <w:rFonts w:ascii="Arial" w:hAnsi="Arial" w:cs="Arial"/>
                <w:sz w:val="20"/>
                <w:lang w:val="en-US"/>
              </w:rPr>
              <w:t>2011</w:t>
            </w:r>
          </w:p>
        </w:tc>
        <w:tc>
          <w:tcPr>
            <w:tcW w:w="330" w:type="dxa"/>
            <w:tcBorders>
              <w:top w:val="single" w:sz="4" w:space="0" w:color="auto"/>
              <w:left w:val="nil"/>
              <w:bottom w:val="nil"/>
              <w:right w:val="nil"/>
            </w:tcBorders>
            <w:shd w:val="clear" w:color="auto" w:fill="auto"/>
            <w:noWrap/>
            <w:vAlign w:val="bottom"/>
            <w:hideMark/>
          </w:tcPr>
          <w:p w:rsidR="00775929" w:rsidRPr="00775929" w:rsidRDefault="00775929" w:rsidP="00775929">
            <w:pPr>
              <w:overflowPunct/>
              <w:autoSpaceDE/>
              <w:autoSpaceDN/>
              <w:adjustRightInd/>
              <w:spacing w:line="240" w:lineRule="auto"/>
              <w:jc w:val="center"/>
              <w:textAlignment w:val="auto"/>
              <w:rPr>
                <w:rFonts w:ascii="Arial" w:hAnsi="Arial" w:cs="Arial"/>
                <w:sz w:val="20"/>
                <w:lang w:val="en-US"/>
              </w:rPr>
            </w:pPr>
            <w:r w:rsidRPr="00775929">
              <w:rPr>
                <w:rFonts w:ascii="Arial" w:hAnsi="Arial" w:cs="Arial"/>
                <w:sz w:val="20"/>
                <w:lang w:val="en-US"/>
              </w:rPr>
              <w:t> </w:t>
            </w:r>
          </w:p>
        </w:tc>
        <w:tc>
          <w:tcPr>
            <w:tcW w:w="2633" w:type="dxa"/>
            <w:gridSpan w:val="2"/>
            <w:tcBorders>
              <w:top w:val="single" w:sz="4" w:space="0" w:color="auto"/>
              <w:left w:val="nil"/>
              <w:bottom w:val="single" w:sz="4" w:space="0" w:color="auto"/>
              <w:right w:val="single" w:sz="4" w:space="0" w:color="000000"/>
            </w:tcBorders>
            <w:shd w:val="clear" w:color="auto" w:fill="auto"/>
            <w:vAlign w:val="bottom"/>
            <w:hideMark/>
          </w:tcPr>
          <w:p w:rsidR="00775929" w:rsidRPr="00775929" w:rsidRDefault="00775929" w:rsidP="00775929">
            <w:pPr>
              <w:overflowPunct/>
              <w:autoSpaceDE/>
              <w:autoSpaceDN/>
              <w:adjustRightInd/>
              <w:spacing w:line="240" w:lineRule="auto"/>
              <w:jc w:val="center"/>
              <w:textAlignment w:val="auto"/>
              <w:rPr>
                <w:rFonts w:ascii="Arial" w:hAnsi="Arial" w:cs="Arial"/>
                <w:sz w:val="20"/>
                <w:lang w:val="en-US"/>
              </w:rPr>
            </w:pPr>
            <w:r w:rsidRPr="00775929">
              <w:rPr>
                <w:rFonts w:ascii="Arial" w:hAnsi="Arial" w:cs="Arial"/>
                <w:sz w:val="20"/>
                <w:lang w:val="en-US"/>
              </w:rPr>
              <w:t>2010</w:t>
            </w:r>
          </w:p>
        </w:tc>
      </w:tr>
      <w:tr w:rsidR="004953A2" w:rsidRPr="00775929" w:rsidTr="004953A2">
        <w:trPr>
          <w:trHeight w:val="269"/>
        </w:trPr>
        <w:tc>
          <w:tcPr>
            <w:tcW w:w="3310" w:type="dxa"/>
            <w:tcBorders>
              <w:top w:val="nil"/>
              <w:left w:val="single" w:sz="4" w:space="0" w:color="auto"/>
              <w:bottom w:val="nil"/>
              <w:right w:val="nil"/>
            </w:tcBorders>
            <w:shd w:val="clear" w:color="auto" w:fill="auto"/>
            <w:hideMark/>
          </w:tcPr>
          <w:p w:rsidR="00775929" w:rsidRPr="00775929" w:rsidRDefault="00775929" w:rsidP="00775929">
            <w:pPr>
              <w:overflowPunct/>
              <w:autoSpaceDE/>
              <w:autoSpaceDN/>
              <w:adjustRightInd/>
              <w:spacing w:line="240" w:lineRule="auto"/>
              <w:textAlignment w:val="auto"/>
              <w:rPr>
                <w:rFonts w:ascii="Arial" w:hAnsi="Arial" w:cs="Arial"/>
                <w:sz w:val="16"/>
                <w:szCs w:val="16"/>
                <w:lang w:val="en-US"/>
              </w:rPr>
            </w:pPr>
            <w:r w:rsidRPr="00775929">
              <w:rPr>
                <w:rFonts w:ascii="Arial" w:hAnsi="Arial" w:cs="Arial"/>
                <w:sz w:val="16"/>
                <w:szCs w:val="16"/>
                <w:lang w:val="en-US"/>
              </w:rPr>
              <w:t>(in thousands of USD)</w:t>
            </w:r>
          </w:p>
        </w:tc>
        <w:tc>
          <w:tcPr>
            <w:tcW w:w="350" w:type="dxa"/>
            <w:tcBorders>
              <w:top w:val="nil"/>
              <w:left w:val="nil"/>
              <w:bottom w:val="nil"/>
              <w:right w:val="nil"/>
            </w:tcBorders>
            <w:shd w:val="clear" w:color="auto" w:fill="auto"/>
            <w:hideMark/>
          </w:tcPr>
          <w:p w:rsidR="00775929" w:rsidRPr="00775929" w:rsidRDefault="00775929" w:rsidP="00775929">
            <w:pPr>
              <w:overflowPunct/>
              <w:autoSpaceDE/>
              <w:autoSpaceDN/>
              <w:adjustRightInd/>
              <w:spacing w:line="240" w:lineRule="auto"/>
              <w:textAlignment w:val="auto"/>
              <w:rPr>
                <w:rFonts w:ascii="Arial" w:hAnsi="Arial" w:cs="Arial"/>
                <w:sz w:val="20"/>
                <w:lang w:val="en-US"/>
              </w:rPr>
            </w:pPr>
          </w:p>
        </w:tc>
        <w:tc>
          <w:tcPr>
            <w:tcW w:w="1196" w:type="dxa"/>
            <w:tcBorders>
              <w:top w:val="nil"/>
              <w:left w:val="nil"/>
              <w:bottom w:val="nil"/>
              <w:right w:val="nil"/>
            </w:tcBorders>
            <w:shd w:val="clear" w:color="auto" w:fill="auto"/>
            <w:hideMark/>
          </w:tcPr>
          <w:p w:rsidR="00775929" w:rsidRPr="00775929" w:rsidRDefault="00775929" w:rsidP="00775929">
            <w:pPr>
              <w:overflowPunct/>
              <w:autoSpaceDE/>
              <w:autoSpaceDN/>
              <w:adjustRightInd/>
              <w:spacing w:line="240" w:lineRule="auto"/>
              <w:textAlignment w:val="auto"/>
              <w:rPr>
                <w:rFonts w:ascii="Arial" w:hAnsi="Arial" w:cs="Arial"/>
                <w:sz w:val="20"/>
                <w:lang w:val="en-US"/>
              </w:rPr>
            </w:pPr>
          </w:p>
        </w:tc>
        <w:tc>
          <w:tcPr>
            <w:tcW w:w="1121" w:type="dxa"/>
            <w:tcBorders>
              <w:top w:val="nil"/>
              <w:left w:val="nil"/>
              <w:bottom w:val="nil"/>
              <w:right w:val="nil"/>
            </w:tcBorders>
            <w:shd w:val="clear" w:color="auto" w:fill="auto"/>
            <w:hideMark/>
          </w:tcPr>
          <w:p w:rsidR="00775929" w:rsidRPr="00775929" w:rsidRDefault="00775929" w:rsidP="00775929">
            <w:pPr>
              <w:overflowPunct/>
              <w:autoSpaceDE/>
              <w:autoSpaceDN/>
              <w:adjustRightInd/>
              <w:spacing w:line="240" w:lineRule="auto"/>
              <w:textAlignment w:val="auto"/>
              <w:rPr>
                <w:rFonts w:ascii="Arial" w:hAnsi="Arial" w:cs="Arial"/>
                <w:sz w:val="20"/>
                <w:lang w:val="en-US"/>
              </w:rPr>
            </w:pPr>
          </w:p>
        </w:tc>
        <w:tc>
          <w:tcPr>
            <w:tcW w:w="330" w:type="dxa"/>
            <w:tcBorders>
              <w:top w:val="nil"/>
              <w:left w:val="nil"/>
              <w:bottom w:val="nil"/>
              <w:right w:val="nil"/>
            </w:tcBorders>
            <w:shd w:val="clear" w:color="auto" w:fill="auto"/>
            <w:hideMark/>
          </w:tcPr>
          <w:p w:rsidR="00775929" w:rsidRPr="00775929" w:rsidRDefault="00775929" w:rsidP="00775929">
            <w:pPr>
              <w:overflowPunct/>
              <w:autoSpaceDE/>
              <w:autoSpaceDN/>
              <w:adjustRightInd/>
              <w:spacing w:line="240" w:lineRule="auto"/>
              <w:textAlignment w:val="auto"/>
              <w:rPr>
                <w:rFonts w:ascii="Arial" w:hAnsi="Arial" w:cs="Arial"/>
                <w:sz w:val="20"/>
                <w:lang w:val="en-US"/>
              </w:rPr>
            </w:pPr>
          </w:p>
        </w:tc>
        <w:tc>
          <w:tcPr>
            <w:tcW w:w="272" w:type="dxa"/>
            <w:tcBorders>
              <w:top w:val="nil"/>
              <w:left w:val="nil"/>
              <w:bottom w:val="nil"/>
              <w:right w:val="nil"/>
            </w:tcBorders>
            <w:shd w:val="clear" w:color="auto" w:fill="auto"/>
            <w:noWrap/>
            <w:vAlign w:val="bottom"/>
            <w:hideMark/>
          </w:tcPr>
          <w:p w:rsidR="00775929" w:rsidRPr="00775929" w:rsidRDefault="00775929" w:rsidP="00775929">
            <w:pPr>
              <w:overflowPunct/>
              <w:autoSpaceDE/>
              <w:autoSpaceDN/>
              <w:adjustRightInd/>
              <w:spacing w:line="240" w:lineRule="auto"/>
              <w:jc w:val="right"/>
              <w:textAlignment w:val="auto"/>
              <w:rPr>
                <w:rFonts w:ascii="Arial" w:hAnsi="Arial" w:cs="Arial"/>
                <w:sz w:val="20"/>
                <w:lang w:val="en-US"/>
              </w:rPr>
            </w:pPr>
          </w:p>
        </w:tc>
        <w:tc>
          <w:tcPr>
            <w:tcW w:w="2361" w:type="dxa"/>
            <w:tcBorders>
              <w:top w:val="nil"/>
              <w:left w:val="nil"/>
              <w:bottom w:val="nil"/>
              <w:right w:val="single" w:sz="4" w:space="0" w:color="auto"/>
            </w:tcBorders>
            <w:shd w:val="clear" w:color="auto" w:fill="auto"/>
            <w:noWrap/>
            <w:vAlign w:val="bottom"/>
            <w:hideMark/>
          </w:tcPr>
          <w:p w:rsidR="00775929" w:rsidRPr="00775929" w:rsidRDefault="00775929" w:rsidP="00775929">
            <w:pPr>
              <w:overflowPunct/>
              <w:autoSpaceDE/>
              <w:autoSpaceDN/>
              <w:adjustRightInd/>
              <w:spacing w:line="240" w:lineRule="auto"/>
              <w:jc w:val="right"/>
              <w:textAlignment w:val="auto"/>
              <w:rPr>
                <w:rFonts w:ascii="Arial" w:hAnsi="Arial" w:cs="Arial"/>
                <w:sz w:val="20"/>
                <w:lang w:val="en-US"/>
              </w:rPr>
            </w:pPr>
            <w:r w:rsidRPr="00775929">
              <w:rPr>
                <w:rFonts w:ascii="Arial" w:hAnsi="Arial" w:cs="Arial"/>
                <w:sz w:val="20"/>
                <w:lang w:val="en-US"/>
              </w:rPr>
              <w:t> </w:t>
            </w:r>
          </w:p>
        </w:tc>
      </w:tr>
      <w:tr w:rsidR="004953A2" w:rsidRPr="00775929" w:rsidTr="004953A2">
        <w:trPr>
          <w:trHeight w:val="269"/>
        </w:trPr>
        <w:tc>
          <w:tcPr>
            <w:tcW w:w="3310" w:type="dxa"/>
            <w:tcBorders>
              <w:top w:val="nil"/>
              <w:left w:val="single" w:sz="4" w:space="0" w:color="auto"/>
              <w:bottom w:val="nil"/>
              <w:right w:val="nil"/>
            </w:tcBorders>
            <w:shd w:val="clear" w:color="auto" w:fill="auto"/>
            <w:noWrap/>
            <w:hideMark/>
          </w:tcPr>
          <w:p w:rsidR="00775929" w:rsidRPr="00775929" w:rsidRDefault="00775929" w:rsidP="00775929">
            <w:pPr>
              <w:overflowPunct/>
              <w:autoSpaceDE/>
              <w:autoSpaceDN/>
              <w:adjustRightInd/>
              <w:spacing w:line="240" w:lineRule="auto"/>
              <w:textAlignment w:val="auto"/>
              <w:rPr>
                <w:rFonts w:ascii="Arial" w:hAnsi="Arial" w:cs="Arial"/>
                <w:sz w:val="20"/>
                <w:lang w:val="en-US"/>
              </w:rPr>
            </w:pPr>
            <w:r w:rsidRPr="00775929">
              <w:rPr>
                <w:rFonts w:ascii="Arial" w:hAnsi="Arial" w:cs="Arial"/>
                <w:sz w:val="20"/>
                <w:lang w:val="en-US"/>
              </w:rPr>
              <w:t>Other receivables</w:t>
            </w:r>
          </w:p>
        </w:tc>
        <w:tc>
          <w:tcPr>
            <w:tcW w:w="350" w:type="dxa"/>
            <w:tcBorders>
              <w:top w:val="nil"/>
              <w:left w:val="nil"/>
              <w:bottom w:val="nil"/>
              <w:right w:val="nil"/>
            </w:tcBorders>
            <w:shd w:val="clear" w:color="auto" w:fill="auto"/>
            <w:hideMark/>
          </w:tcPr>
          <w:p w:rsidR="00775929" w:rsidRPr="00775929" w:rsidRDefault="00775929" w:rsidP="00775929">
            <w:pPr>
              <w:overflowPunct/>
              <w:autoSpaceDE/>
              <w:autoSpaceDN/>
              <w:adjustRightInd/>
              <w:spacing w:line="240" w:lineRule="auto"/>
              <w:textAlignment w:val="auto"/>
              <w:rPr>
                <w:rFonts w:ascii="Arial" w:hAnsi="Arial" w:cs="Arial"/>
                <w:b/>
                <w:bCs/>
                <w:sz w:val="20"/>
                <w:lang w:val="en-US"/>
              </w:rPr>
            </w:pPr>
          </w:p>
        </w:tc>
        <w:tc>
          <w:tcPr>
            <w:tcW w:w="1196" w:type="dxa"/>
            <w:tcBorders>
              <w:top w:val="nil"/>
              <w:left w:val="nil"/>
              <w:bottom w:val="nil"/>
              <w:right w:val="nil"/>
            </w:tcBorders>
            <w:shd w:val="clear" w:color="auto" w:fill="auto"/>
            <w:hideMark/>
          </w:tcPr>
          <w:p w:rsidR="00775929" w:rsidRPr="00775929" w:rsidRDefault="00775929" w:rsidP="00775929">
            <w:pPr>
              <w:overflowPunct/>
              <w:autoSpaceDE/>
              <w:autoSpaceDN/>
              <w:adjustRightInd/>
              <w:spacing w:line="240" w:lineRule="auto"/>
              <w:textAlignment w:val="auto"/>
              <w:rPr>
                <w:rFonts w:ascii="Arial" w:hAnsi="Arial" w:cs="Arial"/>
                <w:b/>
                <w:bCs/>
                <w:sz w:val="20"/>
                <w:lang w:val="en-US"/>
              </w:rPr>
            </w:pPr>
          </w:p>
        </w:tc>
        <w:tc>
          <w:tcPr>
            <w:tcW w:w="1121" w:type="dxa"/>
            <w:tcBorders>
              <w:top w:val="nil"/>
              <w:left w:val="nil"/>
              <w:bottom w:val="nil"/>
              <w:right w:val="nil"/>
            </w:tcBorders>
            <w:shd w:val="clear" w:color="auto" w:fill="auto"/>
            <w:hideMark/>
          </w:tcPr>
          <w:p w:rsidR="00775929" w:rsidRPr="00775929" w:rsidRDefault="00060C6E" w:rsidP="00775929">
            <w:pPr>
              <w:overflowPunct/>
              <w:autoSpaceDE/>
              <w:autoSpaceDN/>
              <w:adjustRightInd/>
              <w:spacing w:line="240" w:lineRule="auto"/>
              <w:jc w:val="right"/>
              <w:textAlignment w:val="auto"/>
              <w:rPr>
                <w:rFonts w:ascii="Arial" w:hAnsi="Arial" w:cs="Arial"/>
                <w:sz w:val="20"/>
                <w:lang w:val="en-US"/>
              </w:rPr>
            </w:pPr>
            <w:r>
              <w:rPr>
                <w:rFonts w:ascii="Arial" w:hAnsi="Arial" w:cs="Arial"/>
                <w:sz w:val="20"/>
                <w:lang w:val="en-US"/>
              </w:rPr>
              <w:t>490</w:t>
            </w:r>
          </w:p>
        </w:tc>
        <w:tc>
          <w:tcPr>
            <w:tcW w:w="330" w:type="dxa"/>
            <w:tcBorders>
              <w:top w:val="nil"/>
              <w:left w:val="nil"/>
              <w:bottom w:val="nil"/>
              <w:right w:val="nil"/>
            </w:tcBorders>
            <w:shd w:val="clear" w:color="auto" w:fill="auto"/>
            <w:hideMark/>
          </w:tcPr>
          <w:p w:rsidR="00775929" w:rsidRPr="00775929" w:rsidRDefault="00775929" w:rsidP="00775929">
            <w:pPr>
              <w:overflowPunct/>
              <w:autoSpaceDE/>
              <w:autoSpaceDN/>
              <w:adjustRightInd/>
              <w:spacing w:line="240" w:lineRule="auto"/>
              <w:textAlignment w:val="auto"/>
              <w:rPr>
                <w:rFonts w:ascii="Arial" w:hAnsi="Arial" w:cs="Arial"/>
                <w:b/>
                <w:bCs/>
                <w:sz w:val="20"/>
                <w:lang w:val="en-US"/>
              </w:rPr>
            </w:pPr>
          </w:p>
        </w:tc>
        <w:tc>
          <w:tcPr>
            <w:tcW w:w="272" w:type="dxa"/>
            <w:tcBorders>
              <w:top w:val="nil"/>
              <w:left w:val="nil"/>
              <w:bottom w:val="nil"/>
              <w:right w:val="nil"/>
            </w:tcBorders>
            <w:shd w:val="clear" w:color="auto" w:fill="auto"/>
            <w:noWrap/>
            <w:vAlign w:val="bottom"/>
            <w:hideMark/>
          </w:tcPr>
          <w:p w:rsidR="00775929" w:rsidRPr="00775929" w:rsidRDefault="00775929" w:rsidP="00775929">
            <w:pPr>
              <w:overflowPunct/>
              <w:autoSpaceDE/>
              <w:autoSpaceDN/>
              <w:adjustRightInd/>
              <w:spacing w:line="240" w:lineRule="auto"/>
              <w:jc w:val="right"/>
              <w:textAlignment w:val="auto"/>
              <w:rPr>
                <w:rFonts w:ascii="Arial" w:hAnsi="Arial" w:cs="Arial"/>
                <w:sz w:val="20"/>
                <w:lang w:val="en-US"/>
              </w:rPr>
            </w:pPr>
          </w:p>
        </w:tc>
        <w:tc>
          <w:tcPr>
            <w:tcW w:w="2361" w:type="dxa"/>
            <w:tcBorders>
              <w:top w:val="nil"/>
              <w:left w:val="nil"/>
              <w:bottom w:val="nil"/>
              <w:right w:val="single" w:sz="4" w:space="0" w:color="auto"/>
            </w:tcBorders>
            <w:shd w:val="clear" w:color="auto" w:fill="auto"/>
            <w:hideMark/>
          </w:tcPr>
          <w:p w:rsidR="00775929" w:rsidRPr="00775929" w:rsidRDefault="00775929" w:rsidP="00775929">
            <w:pPr>
              <w:overflowPunct/>
              <w:autoSpaceDE/>
              <w:autoSpaceDN/>
              <w:adjustRightInd/>
              <w:spacing w:line="240" w:lineRule="auto"/>
              <w:jc w:val="right"/>
              <w:textAlignment w:val="auto"/>
              <w:rPr>
                <w:rFonts w:ascii="Arial" w:hAnsi="Arial" w:cs="Arial"/>
                <w:sz w:val="20"/>
                <w:lang w:val="en-US"/>
              </w:rPr>
            </w:pPr>
            <w:r w:rsidRPr="00775929">
              <w:rPr>
                <w:rFonts w:ascii="Arial" w:hAnsi="Arial" w:cs="Arial"/>
                <w:sz w:val="20"/>
                <w:lang w:val="en-US"/>
              </w:rPr>
              <w:t>31</w:t>
            </w:r>
          </w:p>
        </w:tc>
      </w:tr>
      <w:tr w:rsidR="004953A2" w:rsidRPr="00775929" w:rsidTr="004953A2">
        <w:trPr>
          <w:trHeight w:val="269"/>
        </w:trPr>
        <w:tc>
          <w:tcPr>
            <w:tcW w:w="3660" w:type="dxa"/>
            <w:gridSpan w:val="2"/>
            <w:tcBorders>
              <w:top w:val="nil"/>
              <w:left w:val="single" w:sz="4" w:space="0" w:color="auto"/>
              <w:bottom w:val="nil"/>
              <w:right w:val="nil"/>
            </w:tcBorders>
            <w:shd w:val="clear" w:color="auto" w:fill="auto"/>
            <w:noWrap/>
            <w:hideMark/>
          </w:tcPr>
          <w:p w:rsidR="00775929" w:rsidRPr="00775929" w:rsidRDefault="00775929" w:rsidP="00775929">
            <w:pPr>
              <w:overflowPunct/>
              <w:autoSpaceDE/>
              <w:autoSpaceDN/>
              <w:adjustRightInd/>
              <w:spacing w:line="240" w:lineRule="auto"/>
              <w:textAlignment w:val="auto"/>
              <w:rPr>
                <w:rFonts w:ascii="Arial" w:hAnsi="Arial" w:cs="Arial"/>
                <w:sz w:val="20"/>
                <w:lang w:val="en-US"/>
              </w:rPr>
            </w:pPr>
            <w:r w:rsidRPr="00775929">
              <w:rPr>
                <w:rFonts w:ascii="Arial" w:hAnsi="Arial" w:cs="Arial"/>
                <w:sz w:val="20"/>
                <w:lang w:val="en-US"/>
              </w:rPr>
              <w:t>Amounts receivable from group companies</w:t>
            </w:r>
          </w:p>
        </w:tc>
        <w:tc>
          <w:tcPr>
            <w:tcW w:w="1196" w:type="dxa"/>
            <w:tcBorders>
              <w:top w:val="nil"/>
              <w:left w:val="nil"/>
              <w:bottom w:val="nil"/>
              <w:right w:val="nil"/>
            </w:tcBorders>
            <w:shd w:val="clear" w:color="auto" w:fill="auto"/>
            <w:noWrap/>
            <w:vAlign w:val="bottom"/>
            <w:hideMark/>
          </w:tcPr>
          <w:p w:rsidR="00775929" w:rsidRPr="00775929" w:rsidRDefault="00775929" w:rsidP="00775929">
            <w:pPr>
              <w:overflowPunct/>
              <w:autoSpaceDE/>
              <w:autoSpaceDN/>
              <w:adjustRightInd/>
              <w:spacing w:line="240" w:lineRule="auto"/>
              <w:textAlignment w:val="auto"/>
              <w:rPr>
                <w:rFonts w:ascii="Calibri" w:hAnsi="Calibri" w:cs="Calibri"/>
                <w:sz w:val="22"/>
                <w:szCs w:val="22"/>
                <w:lang w:val="en-US"/>
              </w:rPr>
            </w:pPr>
          </w:p>
        </w:tc>
        <w:tc>
          <w:tcPr>
            <w:tcW w:w="1121" w:type="dxa"/>
            <w:tcBorders>
              <w:top w:val="nil"/>
              <w:left w:val="nil"/>
              <w:bottom w:val="nil"/>
              <w:right w:val="nil"/>
            </w:tcBorders>
            <w:shd w:val="clear" w:color="auto" w:fill="auto"/>
            <w:noWrap/>
            <w:vAlign w:val="bottom"/>
            <w:hideMark/>
          </w:tcPr>
          <w:p w:rsidR="00775929" w:rsidRPr="00775929" w:rsidRDefault="00775929" w:rsidP="00775929">
            <w:pPr>
              <w:overflowPunct/>
              <w:autoSpaceDE/>
              <w:autoSpaceDN/>
              <w:adjustRightInd/>
              <w:spacing w:line="240" w:lineRule="auto"/>
              <w:jc w:val="right"/>
              <w:textAlignment w:val="auto"/>
              <w:rPr>
                <w:rFonts w:ascii="Arial" w:hAnsi="Arial" w:cs="Arial"/>
                <w:sz w:val="20"/>
                <w:lang w:val="en-US"/>
              </w:rPr>
            </w:pPr>
            <w:r w:rsidRPr="00775929">
              <w:rPr>
                <w:rFonts w:ascii="Arial" w:hAnsi="Arial" w:cs="Arial"/>
                <w:sz w:val="20"/>
                <w:lang w:val="en-US"/>
              </w:rPr>
              <w:t xml:space="preserve"> 37'377 </w:t>
            </w:r>
          </w:p>
        </w:tc>
        <w:tc>
          <w:tcPr>
            <w:tcW w:w="330" w:type="dxa"/>
            <w:tcBorders>
              <w:top w:val="nil"/>
              <w:left w:val="nil"/>
              <w:bottom w:val="nil"/>
              <w:right w:val="nil"/>
            </w:tcBorders>
            <w:shd w:val="clear" w:color="auto" w:fill="auto"/>
            <w:hideMark/>
          </w:tcPr>
          <w:p w:rsidR="00775929" w:rsidRPr="00775929" w:rsidRDefault="00775929" w:rsidP="00775929">
            <w:pPr>
              <w:overflowPunct/>
              <w:autoSpaceDE/>
              <w:autoSpaceDN/>
              <w:adjustRightInd/>
              <w:spacing w:line="240" w:lineRule="auto"/>
              <w:textAlignment w:val="auto"/>
              <w:rPr>
                <w:rFonts w:ascii="Arial" w:hAnsi="Arial" w:cs="Arial"/>
                <w:b/>
                <w:bCs/>
                <w:sz w:val="20"/>
                <w:lang w:val="en-US"/>
              </w:rPr>
            </w:pPr>
          </w:p>
        </w:tc>
        <w:tc>
          <w:tcPr>
            <w:tcW w:w="272" w:type="dxa"/>
            <w:tcBorders>
              <w:top w:val="nil"/>
              <w:left w:val="nil"/>
              <w:bottom w:val="nil"/>
              <w:right w:val="nil"/>
            </w:tcBorders>
            <w:shd w:val="clear" w:color="auto" w:fill="auto"/>
            <w:noWrap/>
            <w:vAlign w:val="bottom"/>
            <w:hideMark/>
          </w:tcPr>
          <w:p w:rsidR="00775929" w:rsidRPr="00775929" w:rsidRDefault="00775929" w:rsidP="00775929">
            <w:pPr>
              <w:overflowPunct/>
              <w:autoSpaceDE/>
              <w:autoSpaceDN/>
              <w:adjustRightInd/>
              <w:spacing w:line="240" w:lineRule="auto"/>
              <w:jc w:val="right"/>
              <w:textAlignment w:val="auto"/>
              <w:rPr>
                <w:rFonts w:ascii="Arial" w:hAnsi="Arial" w:cs="Arial"/>
                <w:sz w:val="20"/>
                <w:lang w:val="en-US"/>
              </w:rPr>
            </w:pPr>
          </w:p>
        </w:tc>
        <w:tc>
          <w:tcPr>
            <w:tcW w:w="2361" w:type="dxa"/>
            <w:tcBorders>
              <w:top w:val="nil"/>
              <w:left w:val="nil"/>
              <w:bottom w:val="nil"/>
              <w:right w:val="single" w:sz="4" w:space="0" w:color="auto"/>
            </w:tcBorders>
            <w:shd w:val="clear" w:color="auto" w:fill="auto"/>
            <w:noWrap/>
            <w:vAlign w:val="bottom"/>
            <w:hideMark/>
          </w:tcPr>
          <w:p w:rsidR="00775929" w:rsidRPr="00775929" w:rsidRDefault="00775929" w:rsidP="00775929">
            <w:pPr>
              <w:overflowPunct/>
              <w:autoSpaceDE/>
              <w:autoSpaceDN/>
              <w:adjustRightInd/>
              <w:spacing w:line="240" w:lineRule="auto"/>
              <w:jc w:val="right"/>
              <w:textAlignment w:val="auto"/>
              <w:rPr>
                <w:rFonts w:ascii="Arial" w:hAnsi="Arial" w:cs="Arial"/>
                <w:sz w:val="20"/>
                <w:lang w:val="en-US"/>
              </w:rPr>
            </w:pPr>
            <w:r w:rsidRPr="00775929">
              <w:rPr>
                <w:rFonts w:ascii="Arial" w:hAnsi="Arial" w:cs="Arial"/>
                <w:sz w:val="20"/>
                <w:lang w:val="en-US"/>
              </w:rPr>
              <w:t xml:space="preserve"> 45'232 </w:t>
            </w:r>
          </w:p>
        </w:tc>
      </w:tr>
      <w:tr w:rsidR="004953A2" w:rsidRPr="00775929" w:rsidTr="004953A2">
        <w:trPr>
          <w:trHeight w:val="269"/>
        </w:trPr>
        <w:tc>
          <w:tcPr>
            <w:tcW w:w="3660" w:type="dxa"/>
            <w:gridSpan w:val="2"/>
            <w:tcBorders>
              <w:top w:val="nil"/>
              <w:left w:val="single" w:sz="4" w:space="0" w:color="auto"/>
              <w:bottom w:val="nil"/>
              <w:right w:val="nil"/>
            </w:tcBorders>
            <w:shd w:val="clear" w:color="auto" w:fill="auto"/>
            <w:noWrap/>
            <w:hideMark/>
          </w:tcPr>
          <w:p w:rsidR="00775929" w:rsidRPr="00775929" w:rsidRDefault="00775929" w:rsidP="00775929">
            <w:pPr>
              <w:overflowPunct/>
              <w:autoSpaceDE/>
              <w:autoSpaceDN/>
              <w:adjustRightInd/>
              <w:spacing w:line="240" w:lineRule="auto"/>
              <w:textAlignment w:val="auto"/>
              <w:rPr>
                <w:rFonts w:ascii="Arial" w:hAnsi="Arial" w:cs="Arial"/>
                <w:sz w:val="20"/>
                <w:lang w:val="en-US"/>
              </w:rPr>
            </w:pPr>
            <w:r w:rsidRPr="00775929">
              <w:rPr>
                <w:rFonts w:ascii="Arial" w:hAnsi="Arial" w:cs="Arial"/>
                <w:sz w:val="20"/>
                <w:lang w:val="en-US"/>
              </w:rPr>
              <w:t>Loans receivable from group companies</w:t>
            </w:r>
          </w:p>
        </w:tc>
        <w:tc>
          <w:tcPr>
            <w:tcW w:w="1196" w:type="dxa"/>
            <w:tcBorders>
              <w:top w:val="nil"/>
              <w:left w:val="nil"/>
              <w:bottom w:val="nil"/>
              <w:right w:val="nil"/>
            </w:tcBorders>
            <w:shd w:val="clear" w:color="auto" w:fill="auto"/>
            <w:noWrap/>
            <w:vAlign w:val="bottom"/>
            <w:hideMark/>
          </w:tcPr>
          <w:p w:rsidR="00775929" w:rsidRPr="00775929" w:rsidRDefault="00775929" w:rsidP="00775929">
            <w:pPr>
              <w:overflowPunct/>
              <w:autoSpaceDE/>
              <w:autoSpaceDN/>
              <w:adjustRightInd/>
              <w:spacing w:line="240" w:lineRule="auto"/>
              <w:textAlignment w:val="auto"/>
              <w:rPr>
                <w:rFonts w:ascii="Calibri" w:hAnsi="Calibri" w:cs="Calibri"/>
                <w:sz w:val="22"/>
                <w:szCs w:val="22"/>
                <w:lang w:val="en-US"/>
              </w:rPr>
            </w:pPr>
          </w:p>
        </w:tc>
        <w:tc>
          <w:tcPr>
            <w:tcW w:w="1121" w:type="dxa"/>
            <w:tcBorders>
              <w:top w:val="nil"/>
              <w:left w:val="nil"/>
              <w:bottom w:val="nil"/>
              <w:right w:val="nil"/>
            </w:tcBorders>
            <w:shd w:val="clear" w:color="auto" w:fill="auto"/>
            <w:hideMark/>
          </w:tcPr>
          <w:p w:rsidR="00775929" w:rsidRPr="00775929" w:rsidRDefault="00775929" w:rsidP="00775929">
            <w:pPr>
              <w:overflowPunct/>
              <w:autoSpaceDE/>
              <w:autoSpaceDN/>
              <w:adjustRightInd/>
              <w:spacing w:line="240" w:lineRule="auto"/>
              <w:textAlignment w:val="auto"/>
              <w:rPr>
                <w:rFonts w:ascii="Arial" w:hAnsi="Arial" w:cs="Arial"/>
                <w:sz w:val="20"/>
                <w:lang w:val="en-US"/>
              </w:rPr>
            </w:pPr>
            <w:r w:rsidRPr="00775929">
              <w:rPr>
                <w:rFonts w:ascii="Arial" w:hAnsi="Arial" w:cs="Arial"/>
                <w:sz w:val="20"/>
                <w:lang w:val="en-US"/>
              </w:rPr>
              <w:t xml:space="preserve">              -   </w:t>
            </w:r>
          </w:p>
        </w:tc>
        <w:tc>
          <w:tcPr>
            <w:tcW w:w="330" w:type="dxa"/>
            <w:tcBorders>
              <w:top w:val="nil"/>
              <w:left w:val="nil"/>
              <w:bottom w:val="nil"/>
              <w:right w:val="nil"/>
            </w:tcBorders>
            <w:shd w:val="clear" w:color="auto" w:fill="auto"/>
            <w:hideMark/>
          </w:tcPr>
          <w:p w:rsidR="00775929" w:rsidRPr="00775929" w:rsidRDefault="00775929" w:rsidP="00775929">
            <w:pPr>
              <w:overflowPunct/>
              <w:autoSpaceDE/>
              <w:autoSpaceDN/>
              <w:adjustRightInd/>
              <w:spacing w:line="240" w:lineRule="auto"/>
              <w:textAlignment w:val="auto"/>
              <w:rPr>
                <w:rFonts w:ascii="Arial" w:hAnsi="Arial" w:cs="Arial"/>
                <w:b/>
                <w:bCs/>
                <w:sz w:val="20"/>
                <w:lang w:val="en-US"/>
              </w:rPr>
            </w:pPr>
          </w:p>
        </w:tc>
        <w:tc>
          <w:tcPr>
            <w:tcW w:w="272" w:type="dxa"/>
            <w:tcBorders>
              <w:top w:val="nil"/>
              <w:left w:val="nil"/>
              <w:bottom w:val="nil"/>
              <w:right w:val="nil"/>
            </w:tcBorders>
            <w:shd w:val="clear" w:color="auto" w:fill="auto"/>
            <w:noWrap/>
            <w:vAlign w:val="bottom"/>
            <w:hideMark/>
          </w:tcPr>
          <w:p w:rsidR="00775929" w:rsidRPr="00775929" w:rsidRDefault="00775929" w:rsidP="00775929">
            <w:pPr>
              <w:overflowPunct/>
              <w:autoSpaceDE/>
              <w:autoSpaceDN/>
              <w:adjustRightInd/>
              <w:spacing w:line="240" w:lineRule="auto"/>
              <w:jc w:val="right"/>
              <w:textAlignment w:val="auto"/>
              <w:rPr>
                <w:rFonts w:ascii="Arial" w:hAnsi="Arial" w:cs="Arial"/>
                <w:sz w:val="20"/>
                <w:lang w:val="en-US"/>
              </w:rPr>
            </w:pPr>
          </w:p>
        </w:tc>
        <w:tc>
          <w:tcPr>
            <w:tcW w:w="2361" w:type="dxa"/>
            <w:tcBorders>
              <w:top w:val="nil"/>
              <w:left w:val="nil"/>
              <w:bottom w:val="nil"/>
              <w:right w:val="single" w:sz="4" w:space="0" w:color="auto"/>
            </w:tcBorders>
            <w:shd w:val="clear" w:color="auto" w:fill="auto"/>
            <w:noWrap/>
            <w:vAlign w:val="bottom"/>
            <w:hideMark/>
          </w:tcPr>
          <w:p w:rsidR="00775929" w:rsidRPr="00775929" w:rsidRDefault="00775929" w:rsidP="00775929">
            <w:pPr>
              <w:overflowPunct/>
              <w:autoSpaceDE/>
              <w:autoSpaceDN/>
              <w:adjustRightInd/>
              <w:spacing w:line="240" w:lineRule="auto"/>
              <w:jc w:val="right"/>
              <w:textAlignment w:val="auto"/>
              <w:rPr>
                <w:rFonts w:ascii="Arial" w:hAnsi="Arial" w:cs="Arial"/>
                <w:sz w:val="20"/>
                <w:lang w:val="en-US"/>
              </w:rPr>
            </w:pPr>
            <w:r w:rsidRPr="00775929">
              <w:rPr>
                <w:rFonts w:ascii="Arial" w:hAnsi="Arial" w:cs="Arial"/>
                <w:sz w:val="20"/>
                <w:lang w:val="en-US"/>
              </w:rPr>
              <w:t xml:space="preserve"> 659'019 </w:t>
            </w:r>
          </w:p>
        </w:tc>
      </w:tr>
      <w:tr w:rsidR="004953A2" w:rsidRPr="00775929" w:rsidTr="004953A2">
        <w:trPr>
          <w:trHeight w:val="269"/>
        </w:trPr>
        <w:tc>
          <w:tcPr>
            <w:tcW w:w="3310" w:type="dxa"/>
            <w:tcBorders>
              <w:top w:val="nil"/>
              <w:left w:val="single" w:sz="4" w:space="0" w:color="auto"/>
              <w:bottom w:val="nil"/>
              <w:right w:val="nil"/>
            </w:tcBorders>
            <w:shd w:val="clear" w:color="auto" w:fill="auto"/>
            <w:noWrap/>
            <w:hideMark/>
          </w:tcPr>
          <w:p w:rsidR="00775929" w:rsidRPr="00775929" w:rsidRDefault="00775929" w:rsidP="00775929">
            <w:pPr>
              <w:overflowPunct/>
              <w:autoSpaceDE/>
              <w:autoSpaceDN/>
              <w:adjustRightInd/>
              <w:spacing w:line="240" w:lineRule="auto"/>
              <w:textAlignment w:val="auto"/>
              <w:rPr>
                <w:rFonts w:ascii="Arial" w:hAnsi="Arial" w:cs="Arial"/>
                <w:sz w:val="20"/>
                <w:lang w:val="en-US"/>
              </w:rPr>
            </w:pPr>
            <w:r w:rsidRPr="00775929">
              <w:rPr>
                <w:rFonts w:ascii="Arial" w:hAnsi="Arial" w:cs="Arial"/>
                <w:sz w:val="20"/>
                <w:lang w:val="en-US"/>
              </w:rPr>
              <w:t> </w:t>
            </w:r>
          </w:p>
        </w:tc>
        <w:tc>
          <w:tcPr>
            <w:tcW w:w="350" w:type="dxa"/>
            <w:tcBorders>
              <w:top w:val="nil"/>
              <w:left w:val="nil"/>
              <w:bottom w:val="nil"/>
              <w:right w:val="nil"/>
            </w:tcBorders>
            <w:shd w:val="clear" w:color="auto" w:fill="auto"/>
            <w:noWrap/>
            <w:hideMark/>
          </w:tcPr>
          <w:p w:rsidR="00775929" w:rsidRPr="00775929" w:rsidRDefault="00775929" w:rsidP="00775929">
            <w:pPr>
              <w:overflowPunct/>
              <w:autoSpaceDE/>
              <w:autoSpaceDN/>
              <w:adjustRightInd/>
              <w:spacing w:line="240" w:lineRule="auto"/>
              <w:textAlignment w:val="auto"/>
              <w:rPr>
                <w:rFonts w:ascii="Arial" w:hAnsi="Arial" w:cs="Arial"/>
                <w:sz w:val="20"/>
                <w:lang w:val="en-US"/>
              </w:rPr>
            </w:pPr>
          </w:p>
        </w:tc>
        <w:tc>
          <w:tcPr>
            <w:tcW w:w="1196" w:type="dxa"/>
            <w:tcBorders>
              <w:top w:val="nil"/>
              <w:left w:val="nil"/>
              <w:bottom w:val="nil"/>
              <w:right w:val="nil"/>
            </w:tcBorders>
            <w:shd w:val="clear" w:color="auto" w:fill="auto"/>
            <w:noWrap/>
            <w:hideMark/>
          </w:tcPr>
          <w:p w:rsidR="00775929" w:rsidRPr="00775929" w:rsidRDefault="00775929" w:rsidP="00775929">
            <w:pPr>
              <w:overflowPunct/>
              <w:autoSpaceDE/>
              <w:autoSpaceDN/>
              <w:adjustRightInd/>
              <w:spacing w:line="240" w:lineRule="auto"/>
              <w:textAlignment w:val="auto"/>
              <w:rPr>
                <w:rFonts w:ascii="Arial" w:hAnsi="Arial" w:cs="Arial"/>
                <w:sz w:val="20"/>
                <w:lang w:val="en-US"/>
              </w:rPr>
            </w:pPr>
          </w:p>
        </w:tc>
        <w:tc>
          <w:tcPr>
            <w:tcW w:w="1121" w:type="dxa"/>
            <w:tcBorders>
              <w:top w:val="nil"/>
              <w:left w:val="nil"/>
              <w:bottom w:val="nil"/>
              <w:right w:val="nil"/>
            </w:tcBorders>
            <w:shd w:val="clear" w:color="auto" w:fill="auto"/>
            <w:noWrap/>
            <w:vAlign w:val="bottom"/>
            <w:hideMark/>
          </w:tcPr>
          <w:p w:rsidR="00775929" w:rsidRPr="00775929" w:rsidRDefault="00775929" w:rsidP="00775929">
            <w:pPr>
              <w:overflowPunct/>
              <w:autoSpaceDE/>
              <w:autoSpaceDN/>
              <w:adjustRightInd/>
              <w:spacing w:line="240" w:lineRule="auto"/>
              <w:textAlignment w:val="auto"/>
              <w:rPr>
                <w:rFonts w:ascii="Calibri" w:hAnsi="Calibri" w:cs="Calibri"/>
                <w:sz w:val="22"/>
                <w:szCs w:val="22"/>
                <w:lang w:val="en-US"/>
              </w:rPr>
            </w:pPr>
          </w:p>
        </w:tc>
        <w:tc>
          <w:tcPr>
            <w:tcW w:w="330" w:type="dxa"/>
            <w:tcBorders>
              <w:top w:val="nil"/>
              <w:left w:val="nil"/>
              <w:bottom w:val="nil"/>
              <w:right w:val="nil"/>
            </w:tcBorders>
            <w:shd w:val="clear" w:color="auto" w:fill="auto"/>
            <w:noWrap/>
            <w:hideMark/>
          </w:tcPr>
          <w:p w:rsidR="00775929" w:rsidRPr="00775929" w:rsidRDefault="00775929" w:rsidP="00775929">
            <w:pPr>
              <w:overflowPunct/>
              <w:autoSpaceDE/>
              <w:autoSpaceDN/>
              <w:adjustRightInd/>
              <w:spacing w:line="240" w:lineRule="auto"/>
              <w:textAlignment w:val="auto"/>
              <w:rPr>
                <w:rFonts w:ascii="Arial" w:hAnsi="Arial" w:cs="Arial"/>
                <w:sz w:val="20"/>
                <w:lang w:val="en-US"/>
              </w:rPr>
            </w:pPr>
          </w:p>
        </w:tc>
        <w:tc>
          <w:tcPr>
            <w:tcW w:w="272" w:type="dxa"/>
            <w:tcBorders>
              <w:top w:val="nil"/>
              <w:left w:val="nil"/>
              <w:bottom w:val="nil"/>
              <w:right w:val="nil"/>
            </w:tcBorders>
            <w:shd w:val="clear" w:color="auto" w:fill="auto"/>
            <w:noWrap/>
            <w:hideMark/>
          </w:tcPr>
          <w:p w:rsidR="00775929" w:rsidRPr="00775929" w:rsidRDefault="00775929" w:rsidP="00775929">
            <w:pPr>
              <w:overflowPunct/>
              <w:autoSpaceDE/>
              <w:autoSpaceDN/>
              <w:adjustRightInd/>
              <w:spacing w:line="240" w:lineRule="auto"/>
              <w:textAlignment w:val="auto"/>
              <w:rPr>
                <w:rFonts w:ascii="Arial" w:hAnsi="Arial" w:cs="Arial"/>
                <w:sz w:val="20"/>
                <w:lang w:val="en-US"/>
              </w:rPr>
            </w:pPr>
          </w:p>
        </w:tc>
        <w:tc>
          <w:tcPr>
            <w:tcW w:w="2361" w:type="dxa"/>
            <w:tcBorders>
              <w:top w:val="nil"/>
              <w:left w:val="nil"/>
              <w:bottom w:val="nil"/>
              <w:right w:val="single" w:sz="4" w:space="0" w:color="auto"/>
            </w:tcBorders>
            <w:shd w:val="clear" w:color="auto" w:fill="auto"/>
            <w:noWrap/>
            <w:hideMark/>
          </w:tcPr>
          <w:p w:rsidR="00775929" w:rsidRPr="00775929" w:rsidRDefault="00775929" w:rsidP="00775929">
            <w:pPr>
              <w:overflowPunct/>
              <w:autoSpaceDE/>
              <w:autoSpaceDN/>
              <w:adjustRightInd/>
              <w:spacing w:line="240" w:lineRule="auto"/>
              <w:textAlignment w:val="auto"/>
              <w:rPr>
                <w:rFonts w:ascii="Arial" w:hAnsi="Arial" w:cs="Arial"/>
                <w:sz w:val="20"/>
                <w:lang w:val="en-US"/>
              </w:rPr>
            </w:pPr>
            <w:r w:rsidRPr="00775929">
              <w:rPr>
                <w:rFonts w:ascii="Arial" w:hAnsi="Arial" w:cs="Arial"/>
                <w:sz w:val="20"/>
                <w:lang w:val="en-US"/>
              </w:rPr>
              <w:t> </w:t>
            </w:r>
          </w:p>
        </w:tc>
      </w:tr>
      <w:tr w:rsidR="004953A2" w:rsidRPr="00775929" w:rsidTr="004953A2">
        <w:trPr>
          <w:trHeight w:val="283"/>
        </w:trPr>
        <w:tc>
          <w:tcPr>
            <w:tcW w:w="3310" w:type="dxa"/>
            <w:tcBorders>
              <w:top w:val="nil"/>
              <w:left w:val="single" w:sz="4" w:space="0" w:color="auto"/>
              <w:bottom w:val="nil"/>
              <w:right w:val="nil"/>
            </w:tcBorders>
            <w:shd w:val="clear" w:color="auto" w:fill="auto"/>
            <w:hideMark/>
          </w:tcPr>
          <w:p w:rsidR="00775929" w:rsidRPr="00775929" w:rsidRDefault="00775929" w:rsidP="00775929">
            <w:pPr>
              <w:overflowPunct/>
              <w:autoSpaceDE/>
              <w:autoSpaceDN/>
              <w:adjustRightInd/>
              <w:spacing w:line="240" w:lineRule="auto"/>
              <w:textAlignment w:val="auto"/>
              <w:rPr>
                <w:rFonts w:ascii="Arial" w:hAnsi="Arial" w:cs="Arial"/>
                <w:sz w:val="20"/>
                <w:lang w:val="en-US"/>
              </w:rPr>
            </w:pPr>
            <w:r w:rsidRPr="00775929">
              <w:rPr>
                <w:rFonts w:ascii="Arial" w:hAnsi="Arial" w:cs="Arial"/>
                <w:sz w:val="20"/>
                <w:lang w:val="en-US"/>
              </w:rPr>
              <w:t>Balance as at 31 December</w:t>
            </w:r>
          </w:p>
        </w:tc>
        <w:tc>
          <w:tcPr>
            <w:tcW w:w="350" w:type="dxa"/>
            <w:tcBorders>
              <w:top w:val="nil"/>
              <w:left w:val="nil"/>
              <w:bottom w:val="nil"/>
              <w:right w:val="nil"/>
            </w:tcBorders>
            <w:shd w:val="clear" w:color="auto" w:fill="auto"/>
            <w:noWrap/>
            <w:hideMark/>
          </w:tcPr>
          <w:p w:rsidR="00775929" w:rsidRPr="00775929" w:rsidRDefault="00775929" w:rsidP="00775929">
            <w:pPr>
              <w:overflowPunct/>
              <w:autoSpaceDE/>
              <w:autoSpaceDN/>
              <w:adjustRightInd/>
              <w:spacing w:line="240" w:lineRule="auto"/>
              <w:textAlignment w:val="auto"/>
              <w:rPr>
                <w:rFonts w:ascii="Arial" w:hAnsi="Arial" w:cs="Arial"/>
                <w:sz w:val="20"/>
                <w:lang w:val="en-US"/>
              </w:rPr>
            </w:pPr>
          </w:p>
        </w:tc>
        <w:tc>
          <w:tcPr>
            <w:tcW w:w="1196" w:type="dxa"/>
            <w:tcBorders>
              <w:top w:val="nil"/>
              <w:left w:val="nil"/>
              <w:bottom w:val="nil"/>
              <w:right w:val="nil"/>
            </w:tcBorders>
            <w:shd w:val="clear" w:color="auto" w:fill="auto"/>
            <w:noWrap/>
            <w:hideMark/>
          </w:tcPr>
          <w:p w:rsidR="00775929" w:rsidRPr="00775929" w:rsidRDefault="00775929" w:rsidP="00775929">
            <w:pPr>
              <w:overflowPunct/>
              <w:autoSpaceDE/>
              <w:autoSpaceDN/>
              <w:adjustRightInd/>
              <w:spacing w:line="240" w:lineRule="auto"/>
              <w:textAlignment w:val="auto"/>
              <w:rPr>
                <w:rFonts w:ascii="Arial" w:hAnsi="Arial" w:cs="Arial"/>
                <w:sz w:val="20"/>
                <w:lang w:val="en-US"/>
              </w:rPr>
            </w:pPr>
          </w:p>
        </w:tc>
        <w:tc>
          <w:tcPr>
            <w:tcW w:w="1121" w:type="dxa"/>
            <w:tcBorders>
              <w:top w:val="single" w:sz="4" w:space="0" w:color="auto"/>
              <w:left w:val="nil"/>
              <w:bottom w:val="double" w:sz="6" w:space="0" w:color="auto"/>
              <w:right w:val="nil"/>
            </w:tcBorders>
            <w:shd w:val="clear" w:color="auto" w:fill="auto"/>
            <w:noWrap/>
            <w:vAlign w:val="bottom"/>
            <w:hideMark/>
          </w:tcPr>
          <w:p w:rsidR="00775929" w:rsidRPr="00775929" w:rsidRDefault="00775929" w:rsidP="00060C6E">
            <w:pPr>
              <w:overflowPunct/>
              <w:autoSpaceDE/>
              <w:autoSpaceDN/>
              <w:adjustRightInd/>
              <w:spacing w:line="240" w:lineRule="auto"/>
              <w:jc w:val="right"/>
              <w:textAlignment w:val="auto"/>
              <w:rPr>
                <w:rFonts w:ascii="Arial" w:hAnsi="Arial" w:cs="Arial"/>
                <w:sz w:val="20"/>
                <w:lang w:val="en-US"/>
              </w:rPr>
            </w:pPr>
            <w:r w:rsidRPr="00775929">
              <w:rPr>
                <w:rFonts w:ascii="Arial" w:hAnsi="Arial" w:cs="Arial"/>
                <w:sz w:val="20"/>
                <w:lang w:val="en-US"/>
              </w:rPr>
              <w:t xml:space="preserve"> </w:t>
            </w:r>
            <w:r w:rsidR="00060C6E" w:rsidRPr="00775929">
              <w:rPr>
                <w:rFonts w:ascii="Arial" w:hAnsi="Arial" w:cs="Arial"/>
                <w:sz w:val="20"/>
                <w:lang w:val="en-US"/>
              </w:rPr>
              <w:t>37'</w:t>
            </w:r>
            <w:r w:rsidR="00060C6E">
              <w:rPr>
                <w:rFonts w:ascii="Arial" w:hAnsi="Arial" w:cs="Arial"/>
                <w:sz w:val="20"/>
                <w:lang w:val="en-US"/>
              </w:rPr>
              <w:t>867</w:t>
            </w:r>
          </w:p>
        </w:tc>
        <w:tc>
          <w:tcPr>
            <w:tcW w:w="330" w:type="dxa"/>
            <w:tcBorders>
              <w:top w:val="nil"/>
              <w:left w:val="nil"/>
              <w:bottom w:val="nil"/>
              <w:right w:val="nil"/>
            </w:tcBorders>
            <w:shd w:val="clear" w:color="auto" w:fill="auto"/>
            <w:hideMark/>
          </w:tcPr>
          <w:p w:rsidR="00775929" w:rsidRPr="00775929" w:rsidRDefault="00775929" w:rsidP="00775929">
            <w:pPr>
              <w:overflowPunct/>
              <w:autoSpaceDE/>
              <w:autoSpaceDN/>
              <w:adjustRightInd/>
              <w:spacing w:line="240" w:lineRule="auto"/>
              <w:textAlignment w:val="auto"/>
              <w:rPr>
                <w:rFonts w:ascii="Arial" w:hAnsi="Arial" w:cs="Arial"/>
                <w:b/>
                <w:bCs/>
                <w:sz w:val="20"/>
                <w:lang w:val="en-US"/>
              </w:rPr>
            </w:pPr>
          </w:p>
        </w:tc>
        <w:tc>
          <w:tcPr>
            <w:tcW w:w="272" w:type="dxa"/>
            <w:tcBorders>
              <w:top w:val="nil"/>
              <w:left w:val="nil"/>
              <w:bottom w:val="nil"/>
              <w:right w:val="nil"/>
            </w:tcBorders>
            <w:shd w:val="clear" w:color="auto" w:fill="auto"/>
            <w:noWrap/>
            <w:vAlign w:val="bottom"/>
            <w:hideMark/>
          </w:tcPr>
          <w:p w:rsidR="00775929" w:rsidRPr="00775929" w:rsidRDefault="00775929" w:rsidP="00775929">
            <w:pPr>
              <w:overflowPunct/>
              <w:autoSpaceDE/>
              <w:autoSpaceDN/>
              <w:adjustRightInd/>
              <w:spacing w:line="240" w:lineRule="auto"/>
              <w:jc w:val="right"/>
              <w:textAlignment w:val="auto"/>
              <w:rPr>
                <w:rFonts w:ascii="Arial" w:hAnsi="Arial" w:cs="Arial"/>
                <w:sz w:val="20"/>
                <w:lang w:val="en-US"/>
              </w:rPr>
            </w:pPr>
          </w:p>
        </w:tc>
        <w:tc>
          <w:tcPr>
            <w:tcW w:w="2361" w:type="dxa"/>
            <w:tcBorders>
              <w:top w:val="single" w:sz="4" w:space="0" w:color="auto"/>
              <w:left w:val="nil"/>
              <w:bottom w:val="double" w:sz="6" w:space="0" w:color="auto"/>
              <w:right w:val="single" w:sz="4" w:space="0" w:color="auto"/>
            </w:tcBorders>
            <w:shd w:val="clear" w:color="auto" w:fill="auto"/>
            <w:noWrap/>
            <w:vAlign w:val="bottom"/>
            <w:hideMark/>
          </w:tcPr>
          <w:p w:rsidR="00775929" w:rsidRPr="00775929" w:rsidRDefault="00775929" w:rsidP="00775929">
            <w:pPr>
              <w:overflowPunct/>
              <w:autoSpaceDE/>
              <w:autoSpaceDN/>
              <w:adjustRightInd/>
              <w:spacing w:line="240" w:lineRule="auto"/>
              <w:jc w:val="right"/>
              <w:textAlignment w:val="auto"/>
              <w:rPr>
                <w:rFonts w:ascii="Arial" w:hAnsi="Arial" w:cs="Arial"/>
                <w:sz w:val="20"/>
                <w:lang w:val="en-US"/>
              </w:rPr>
            </w:pPr>
            <w:r w:rsidRPr="00775929">
              <w:rPr>
                <w:rFonts w:ascii="Arial" w:hAnsi="Arial" w:cs="Arial"/>
                <w:sz w:val="20"/>
                <w:lang w:val="en-US"/>
              </w:rPr>
              <w:t xml:space="preserve"> 704'282 </w:t>
            </w:r>
          </w:p>
        </w:tc>
      </w:tr>
      <w:tr w:rsidR="004953A2" w:rsidRPr="00775929" w:rsidTr="004953A2">
        <w:trPr>
          <w:trHeight w:val="152"/>
        </w:trPr>
        <w:tc>
          <w:tcPr>
            <w:tcW w:w="3310" w:type="dxa"/>
            <w:tcBorders>
              <w:top w:val="nil"/>
              <w:left w:val="single" w:sz="4" w:space="0" w:color="auto"/>
              <w:bottom w:val="single" w:sz="4" w:space="0" w:color="auto"/>
              <w:right w:val="nil"/>
            </w:tcBorders>
            <w:shd w:val="clear" w:color="auto" w:fill="auto"/>
            <w:hideMark/>
          </w:tcPr>
          <w:p w:rsidR="00775929" w:rsidRPr="00775929" w:rsidRDefault="00775929" w:rsidP="00775929">
            <w:pPr>
              <w:overflowPunct/>
              <w:autoSpaceDE/>
              <w:autoSpaceDN/>
              <w:adjustRightInd/>
              <w:spacing w:line="240" w:lineRule="auto"/>
              <w:textAlignment w:val="auto"/>
              <w:rPr>
                <w:rFonts w:ascii="Arial" w:hAnsi="Arial" w:cs="Arial"/>
                <w:sz w:val="20"/>
                <w:lang w:val="en-US"/>
              </w:rPr>
            </w:pPr>
            <w:r w:rsidRPr="00775929">
              <w:rPr>
                <w:rFonts w:ascii="Arial" w:hAnsi="Arial" w:cs="Arial"/>
                <w:sz w:val="20"/>
                <w:lang w:val="en-US"/>
              </w:rPr>
              <w:t> </w:t>
            </w:r>
          </w:p>
        </w:tc>
        <w:tc>
          <w:tcPr>
            <w:tcW w:w="350" w:type="dxa"/>
            <w:tcBorders>
              <w:top w:val="nil"/>
              <w:left w:val="nil"/>
              <w:bottom w:val="single" w:sz="4" w:space="0" w:color="auto"/>
              <w:right w:val="nil"/>
            </w:tcBorders>
            <w:shd w:val="clear" w:color="auto" w:fill="auto"/>
            <w:hideMark/>
          </w:tcPr>
          <w:p w:rsidR="00775929" w:rsidRPr="00775929" w:rsidRDefault="00775929" w:rsidP="00775929">
            <w:pPr>
              <w:overflowPunct/>
              <w:autoSpaceDE/>
              <w:autoSpaceDN/>
              <w:adjustRightInd/>
              <w:spacing w:line="240" w:lineRule="auto"/>
              <w:textAlignment w:val="auto"/>
              <w:rPr>
                <w:rFonts w:ascii="Arial" w:hAnsi="Arial" w:cs="Arial"/>
                <w:sz w:val="20"/>
                <w:lang w:val="en-US"/>
              </w:rPr>
            </w:pPr>
            <w:r w:rsidRPr="00775929">
              <w:rPr>
                <w:rFonts w:ascii="Arial" w:hAnsi="Arial" w:cs="Arial"/>
                <w:sz w:val="20"/>
                <w:lang w:val="en-US"/>
              </w:rPr>
              <w:t> </w:t>
            </w:r>
          </w:p>
        </w:tc>
        <w:tc>
          <w:tcPr>
            <w:tcW w:w="1196" w:type="dxa"/>
            <w:tcBorders>
              <w:top w:val="nil"/>
              <w:left w:val="nil"/>
              <w:bottom w:val="single" w:sz="4" w:space="0" w:color="auto"/>
              <w:right w:val="nil"/>
            </w:tcBorders>
            <w:shd w:val="clear" w:color="auto" w:fill="auto"/>
            <w:noWrap/>
            <w:vAlign w:val="bottom"/>
            <w:hideMark/>
          </w:tcPr>
          <w:p w:rsidR="00775929" w:rsidRPr="00775929" w:rsidRDefault="00775929" w:rsidP="00775929">
            <w:pPr>
              <w:overflowPunct/>
              <w:autoSpaceDE/>
              <w:autoSpaceDN/>
              <w:adjustRightInd/>
              <w:spacing w:line="240" w:lineRule="auto"/>
              <w:jc w:val="center"/>
              <w:textAlignment w:val="auto"/>
              <w:rPr>
                <w:rFonts w:ascii="Arial" w:hAnsi="Arial" w:cs="Arial"/>
                <w:sz w:val="20"/>
                <w:lang w:val="en-US"/>
              </w:rPr>
            </w:pPr>
            <w:r w:rsidRPr="00775929">
              <w:rPr>
                <w:rFonts w:ascii="Arial" w:hAnsi="Arial" w:cs="Arial"/>
                <w:sz w:val="20"/>
                <w:lang w:val="en-US"/>
              </w:rPr>
              <w:t> </w:t>
            </w:r>
          </w:p>
        </w:tc>
        <w:tc>
          <w:tcPr>
            <w:tcW w:w="1121" w:type="dxa"/>
            <w:tcBorders>
              <w:top w:val="nil"/>
              <w:left w:val="nil"/>
              <w:bottom w:val="single" w:sz="4" w:space="0" w:color="auto"/>
              <w:right w:val="nil"/>
            </w:tcBorders>
            <w:shd w:val="clear" w:color="auto" w:fill="auto"/>
            <w:noWrap/>
            <w:vAlign w:val="bottom"/>
            <w:hideMark/>
          </w:tcPr>
          <w:p w:rsidR="00775929" w:rsidRPr="00775929" w:rsidRDefault="00775929" w:rsidP="00775929">
            <w:pPr>
              <w:overflowPunct/>
              <w:autoSpaceDE/>
              <w:autoSpaceDN/>
              <w:adjustRightInd/>
              <w:spacing w:line="240" w:lineRule="auto"/>
              <w:jc w:val="center"/>
              <w:textAlignment w:val="auto"/>
              <w:rPr>
                <w:rFonts w:ascii="Arial" w:hAnsi="Arial" w:cs="Arial"/>
                <w:sz w:val="20"/>
                <w:lang w:val="en-US"/>
              </w:rPr>
            </w:pPr>
            <w:r w:rsidRPr="00775929">
              <w:rPr>
                <w:rFonts w:ascii="Arial" w:hAnsi="Arial" w:cs="Arial"/>
                <w:sz w:val="20"/>
                <w:lang w:val="en-US"/>
              </w:rPr>
              <w:t> </w:t>
            </w:r>
          </w:p>
        </w:tc>
        <w:tc>
          <w:tcPr>
            <w:tcW w:w="330" w:type="dxa"/>
            <w:tcBorders>
              <w:top w:val="nil"/>
              <w:left w:val="nil"/>
              <w:bottom w:val="single" w:sz="4" w:space="0" w:color="auto"/>
              <w:right w:val="nil"/>
            </w:tcBorders>
            <w:shd w:val="clear" w:color="auto" w:fill="auto"/>
            <w:noWrap/>
            <w:vAlign w:val="bottom"/>
            <w:hideMark/>
          </w:tcPr>
          <w:p w:rsidR="00775929" w:rsidRPr="00775929" w:rsidRDefault="00775929" w:rsidP="00775929">
            <w:pPr>
              <w:overflowPunct/>
              <w:autoSpaceDE/>
              <w:autoSpaceDN/>
              <w:adjustRightInd/>
              <w:spacing w:line="240" w:lineRule="auto"/>
              <w:jc w:val="center"/>
              <w:textAlignment w:val="auto"/>
              <w:rPr>
                <w:rFonts w:ascii="Arial" w:hAnsi="Arial" w:cs="Arial"/>
                <w:sz w:val="20"/>
                <w:lang w:val="en-US"/>
              </w:rPr>
            </w:pPr>
            <w:r w:rsidRPr="00775929">
              <w:rPr>
                <w:rFonts w:ascii="Arial" w:hAnsi="Arial" w:cs="Arial"/>
                <w:sz w:val="20"/>
                <w:lang w:val="en-US"/>
              </w:rPr>
              <w:t> </w:t>
            </w:r>
          </w:p>
        </w:tc>
        <w:tc>
          <w:tcPr>
            <w:tcW w:w="272" w:type="dxa"/>
            <w:tcBorders>
              <w:top w:val="nil"/>
              <w:left w:val="nil"/>
              <w:bottom w:val="single" w:sz="4" w:space="0" w:color="auto"/>
              <w:right w:val="nil"/>
            </w:tcBorders>
            <w:shd w:val="clear" w:color="auto" w:fill="auto"/>
            <w:noWrap/>
            <w:vAlign w:val="bottom"/>
            <w:hideMark/>
          </w:tcPr>
          <w:p w:rsidR="00775929" w:rsidRPr="00775929" w:rsidRDefault="00775929" w:rsidP="00775929">
            <w:pPr>
              <w:overflowPunct/>
              <w:autoSpaceDE/>
              <w:autoSpaceDN/>
              <w:adjustRightInd/>
              <w:spacing w:line="240" w:lineRule="auto"/>
              <w:jc w:val="right"/>
              <w:textAlignment w:val="auto"/>
              <w:rPr>
                <w:rFonts w:ascii="Arial" w:hAnsi="Arial" w:cs="Arial"/>
                <w:sz w:val="20"/>
                <w:lang w:val="en-US"/>
              </w:rPr>
            </w:pPr>
            <w:r w:rsidRPr="00775929">
              <w:rPr>
                <w:rFonts w:ascii="Arial" w:hAnsi="Arial" w:cs="Arial"/>
                <w:sz w:val="20"/>
                <w:lang w:val="en-US"/>
              </w:rPr>
              <w:t> </w:t>
            </w:r>
          </w:p>
        </w:tc>
        <w:tc>
          <w:tcPr>
            <w:tcW w:w="2361" w:type="dxa"/>
            <w:tcBorders>
              <w:top w:val="nil"/>
              <w:left w:val="nil"/>
              <w:bottom w:val="single" w:sz="4" w:space="0" w:color="auto"/>
              <w:right w:val="single" w:sz="4" w:space="0" w:color="auto"/>
            </w:tcBorders>
            <w:shd w:val="clear" w:color="auto" w:fill="auto"/>
            <w:noWrap/>
            <w:vAlign w:val="bottom"/>
            <w:hideMark/>
          </w:tcPr>
          <w:p w:rsidR="00775929" w:rsidRPr="00775929" w:rsidRDefault="00775929" w:rsidP="00775929">
            <w:pPr>
              <w:overflowPunct/>
              <w:autoSpaceDE/>
              <w:autoSpaceDN/>
              <w:adjustRightInd/>
              <w:spacing w:line="240" w:lineRule="auto"/>
              <w:jc w:val="right"/>
              <w:textAlignment w:val="auto"/>
              <w:rPr>
                <w:rFonts w:ascii="Arial" w:hAnsi="Arial" w:cs="Arial"/>
                <w:sz w:val="20"/>
                <w:lang w:val="en-US"/>
              </w:rPr>
            </w:pPr>
            <w:r w:rsidRPr="00775929">
              <w:rPr>
                <w:rFonts w:ascii="Arial" w:hAnsi="Arial" w:cs="Arial"/>
                <w:sz w:val="20"/>
                <w:lang w:val="en-US"/>
              </w:rPr>
              <w:t> </w:t>
            </w:r>
          </w:p>
        </w:tc>
      </w:tr>
    </w:tbl>
    <w:p w:rsidR="001F69B0" w:rsidRDefault="001F69B0" w:rsidP="003203F0">
      <w:pPr>
        <w:pStyle w:val="Style000"/>
        <w:rPr>
          <w:rFonts w:cs="Arial"/>
        </w:rPr>
      </w:pPr>
    </w:p>
    <w:p w:rsidR="003203F0" w:rsidRDefault="00CF4085" w:rsidP="003203F0">
      <w:pPr>
        <w:pStyle w:val="Style000"/>
      </w:pPr>
      <w:r w:rsidRPr="00D756D3">
        <w:rPr>
          <w:rFonts w:cs="Arial"/>
        </w:rPr>
        <w:t>Amounts receivable from group companies</w:t>
      </w:r>
      <w:r>
        <w:rPr>
          <w:rFonts w:cs="Arial"/>
        </w:rPr>
        <w:t xml:space="preserve"> includes the recharge of operational expenses to Syngenta Treasury N</w:t>
      </w:r>
      <w:r w:rsidR="00E93FBD">
        <w:rPr>
          <w:rFonts w:cs="Arial"/>
        </w:rPr>
        <w:t>.</w:t>
      </w:r>
      <w:r w:rsidR="007B3EC2">
        <w:rPr>
          <w:rFonts w:cs="Arial"/>
        </w:rPr>
        <w:t>V.</w:t>
      </w:r>
      <w:r w:rsidR="00E074D0" w:rsidRPr="00443CB4">
        <w:rPr>
          <w:rFonts w:cs="Arial"/>
        </w:rPr>
        <w:t xml:space="preserve"> </w:t>
      </w:r>
      <w:r w:rsidR="00443CB4">
        <w:rPr>
          <w:rFonts w:cs="Arial"/>
        </w:rPr>
        <w:t>In 2010 l</w:t>
      </w:r>
      <w:r w:rsidR="00E47C8C" w:rsidRPr="00443CB4">
        <w:rPr>
          <w:rFonts w:cs="Arial"/>
        </w:rPr>
        <w:t xml:space="preserve">oans </w:t>
      </w:r>
      <w:r w:rsidR="00E47C8C" w:rsidRPr="00795CB2">
        <w:rPr>
          <w:rFonts w:cs="Arial"/>
        </w:rPr>
        <w:t xml:space="preserve">receivable from group companies </w:t>
      </w:r>
      <w:r w:rsidR="00443CB4" w:rsidRPr="00795CB2">
        <w:rPr>
          <w:rFonts w:cs="Arial"/>
        </w:rPr>
        <w:t xml:space="preserve">also </w:t>
      </w:r>
      <w:r w:rsidR="00E47C8C" w:rsidRPr="00795CB2">
        <w:rPr>
          <w:rFonts w:cs="Arial"/>
        </w:rPr>
        <w:t>represent</w:t>
      </w:r>
      <w:r w:rsidR="00443CB4" w:rsidRPr="00795CB2">
        <w:rPr>
          <w:rFonts w:cs="Arial"/>
        </w:rPr>
        <w:t>ed</w:t>
      </w:r>
      <w:r w:rsidR="00E47C8C" w:rsidRPr="00795CB2">
        <w:rPr>
          <w:rFonts w:cs="Arial"/>
        </w:rPr>
        <w:t xml:space="preserve"> the carrying amount of the receivable related to the Eurobond with a maturity of </w:t>
      </w:r>
      <w:r w:rsidR="00C0745E" w:rsidRPr="00795CB2">
        <w:rPr>
          <w:rFonts w:cs="Arial"/>
        </w:rPr>
        <w:t xml:space="preserve">21 </w:t>
      </w:r>
      <w:r w:rsidR="00E47C8C" w:rsidRPr="00795CB2">
        <w:rPr>
          <w:rFonts w:cs="Arial"/>
        </w:rPr>
        <w:t>September 2011 and a nominal</w:t>
      </w:r>
      <w:r w:rsidR="00E47C8C" w:rsidRPr="00443CB4">
        <w:rPr>
          <w:rFonts w:cs="Arial"/>
        </w:rPr>
        <w:t xml:space="preserve"> amount of EUR 500.000.000 lent on to </w:t>
      </w:r>
      <w:r w:rsidR="009E499E" w:rsidRPr="00443CB4">
        <w:rPr>
          <w:rFonts w:cs="Arial"/>
        </w:rPr>
        <w:t xml:space="preserve">a </w:t>
      </w:r>
      <w:r w:rsidR="00E47C8C" w:rsidRPr="00443CB4">
        <w:rPr>
          <w:rFonts w:cs="Arial"/>
        </w:rPr>
        <w:t>group compan</w:t>
      </w:r>
      <w:r w:rsidR="00C87790" w:rsidRPr="00443CB4">
        <w:rPr>
          <w:rFonts w:cs="Arial"/>
        </w:rPr>
        <w:t>y</w:t>
      </w:r>
      <w:r w:rsidR="00E47C8C" w:rsidRPr="00443CB4">
        <w:rPr>
          <w:rFonts w:cs="Arial"/>
        </w:rPr>
        <w:t>.</w:t>
      </w:r>
    </w:p>
    <w:p w:rsidR="003E3AB9" w:rsidRDefault="003E3AB9" w:rsidP="00775929">
      <w:pPr>
        <w:pStyle w:val="081"/>
        <w:numPr>
          <w:ilvl w:val="0"/>
          <w:numId w:val="6"/>
        </w:numPr>
        <w:rPr>
          <w:rFonts w:cs="Arial"/>
          <w:bCs/>
          <w:color w:val="FF0000"/>
        </w:rPr>
      </w:pPr>
      <w:r w:rsidRPr="009049AB">
        <w:rPr>
          <w:rFonts w:cs="Arial"/>
          <w:bCs/>
          <w:szCs w:val="24"/>
        </w:rPr>
        <w:t>Cash at bank and in hand</w:t>
      </w:r>
      <w:r w:rsidRPr="00D756D3">
        <w:rPr>
          <w:rFonts w:cs="Arial"/>
          <w:bCs/>
          <w:szCs w:val="24"/>
        </w:rPr>
        <w:t xml:space="preserve"> </w:t>
      </w:r>
    </w:p>
    <w:tbl>
      <w:tblPr>
        <w:tblW w:w="9024" w:type="dxa"/>
        <w:tblInd w:w="103" w:type="dxa"/>
        <w:tblLook w:val="04A0"/>
      </w:tblPr>
      <w:tblGrid>
        <w:gridCol w:w="3413"/>
        <w:gridCol w:w="361"/>
        <w:gridCol w:w="1233"/>
        <w:gridCol w:w="1155"/>
        <w:gridCol w:w="341"/>
        <w:gridCol w:w="415"/>
        <w:gridCol w:w="2106"/>
      </w:tblGrid>
      <w:tr w:rsidR="00775929" w:rsidRPr="00775929" w:rsidTr="004953A2">
        <w:trPr>
          <w:trHeight w:val="260"/>
        </w:trPr>
        <w:tc>
          <w:tcPr>
            <w:tcW w:w="3413" w:type="dxa"/>
            <w:tcBorders>
              <w:top w:val="single" w:sz="4" w:space="0" w:color="auto"/>
              <w:left w:val="single" w:sz="4" w:space="0" w:color="auto"/>
              <w:bottom w:val="single" w:sz="4" w:space="0" w:color="auto"/>
              <w:right w:val="nil"/>
            </w:tcBorders>
            <w:shd w:val="clear" w:color="auto" w:fill="auto"/>
            <w:noWrap/>
            <w:vAlign w:val="bottom"/>
            <w:hideMark/>
          </w:tcPr>
          <w:p w:rsidR="00775929" w:rsidRPr="00775929" w:rsidRDefault="00775929" w:rsidP="00775929">
            <w:pPr>
              <w:overflowPunct/>
              <w:autoSpaceDE/>
              <w:autoSpaceDN/>
              <w:adjustRightInd/>
              <w:spacing w:line="240" w:lineRule="auto"/>
              <w:textAlignment w:val="auto"/>
              <w:rPr>
                <w:rFonts w:ascii="Arial" w:hAnsi="Arial" w:cs="Arial"/>
                <w:i/>
                <w:iCs/>
                <w:color w:val="000000"/>
                <w:sz w:val="20"/>
                <w:lang w:val="en-US"/>
              </w:rPr>
            </w:pPr>
            <w:r w:rsidRPr="00775929">
              <w:rPr>
                <w:rFonts w:ascii="Arial" w:hAnsi="Arial" w:cs="Arial"/>
                <w:i/>
                <w:iCs/>
                <w:color w:val="000000"/>
                <w:sz w:val="20"/>
                <w:lang w:val="en-US"/>
              </w:rPr>
              <w:t> </w:t>
            </w:r>
          </w:p>
        </w:tc>
        <w:tc>
          <w:tcPr>
            <w:tcW w:w="361" w:type="dxa"/>
            <w:tcBorders>
              <w:top w:val="single" w:sz="4" w:space="0" w:color="auto"/>
              <w:left w:val="nil"/>
              <w:bottom w:val="nil"/>
              <w:right w:val="nil"/>
            </w:tcBorders>
            <w:shd w:val="clear" w:color="auto" w:fill="auto"/>
            <w:noWrap/>
            <w:vAlign w:val="bottom"/>
            <w:hideMark/>
          </w:tcPr>
          <w:p w:rsidR="00775929" w:rsidRPr="00775929" w:rsidRDefault="00775929" w:rsidP="00775929">
            <w:pPr>
              <w:overflowPunct/>
              <w:autoSpaceDE/>
              <w:autoSpaceDN/>
              <w:adjustRightInd/>
              <w:spacing w:line="240" w:lineRule="auto"/>
              <w:textAlignment w:val="auto"/>
              <w:rPr>
                <w:rFonts w:ascii="Arial" w:hAnsi="Arial" w:cs="Arial"/>
                <w:i/>
                <w:iCs/>
                <w:color w:val="000000"/>
                <w:sz w:val="20"/>
                <w:lang w:val="en-US"/>
              </w:rPr>
            </w:pPr>
            <w:r w:rsidRPr="00775929">
              <w:rPr>
                <w:rFonts w:ascii="Arial" w:hAnsi="Arial" w:cs="Arial"/>
                <w:i/>
                <w:iCs/>
                <w:color w:val="000000"/>
                <w:sz w:val="20"/>
                <w:lang w:val="en-US"/>
              </w:rPr>
              <w:t> </w:t>
            </w:r>
          </w:p>
        </w:tc>
        <w:tc>
          <w:tcPr>
            <w:tcW w:w="2388" w:type="dxa"/>
            <w:gridSpan w:val="2"/>
            <w:tcBorders>
              <w:top w:val="single" w:sz="4" w:space="0" w:color="auto"/>
              <w:left w:val="nil"/>
              <w:bottom w:val="single" w:sz="4" w:space="0" w:color="auto"/>
              <w:right w:val="nil"/>
            </w:tcBorders>
            <w:shd w:val="clear" w:color="auto" w:fill="auto"/>
            <w:vAlign w:val="bottom"/>
            <w:hideMark/>
          </w:tcPr>
          <w:p w:rsidR="00775929" w:rsidRPr="00775929" w:rsidRDefault="00775929" w:rsidP="00775929">
            <w:pPr>
              <w:overflowPunct/>
              <w:autoSpaceDE/>
              <w:autoSpaceDN/>
              <w:adjustRightInd/>
              <w:spacing w:line="240" w:lineRule="auto"/>
              <w:jc w:val="center"/>
              <w:textAlignment w:val="auto"/>
              <w:rPr>
                <w:rFonts w:ascii="Arial" w:hAnsi="Arial" w:cs="Arial"/>
                <w:color w:val="000000"/>
                <w:sz w:val="20"/>
                <w:lang w:val="en-US"/>
              </w:rPr>
            </w:pPr>
            <w:r w:rsidRPr="00775929">
              <w:rPr>
                <w:rFonts w:ascii="Arial" w:hAnsi="Arial" w:cs="Arial"/>
                <w:color w:val="000000"/>
                <w:sz w:val="20"/>
                <w:lang w:val="en-US"/>
              </w:rPr>
              <w:t>2011</w:t>
            </w:r>
          </w:p>
        </w:tc>
        <w:tc>
          <w:tcPr>
            <w:tcW w:w="341" w:type="dxa"/>
            <w:tcBorders>
              <w:top w:val="single" w:sz="4" w:space="0" w:color="auto"/>
              <w:left w:val="nil"/>
              <w:bottom w:val="nil"/>
              <w:right w:val="nil"/>
            </w:tcBorders>
            <w:shd w:val="clear" w:color="auto" w:fill="auto"/>
            <w:noWrap/>
            <w:vAlign w:val="bottom"/>
            <w:hideMark/>
          </w:tcPr>
          <w:p w:rsidR="00775929" w:rsidRPr="00775929" w:rsidRDefault="00775929" w:rsidP="00775929">
            <w:pPr>
              <w:overflowPunct/>
              <w:autoSpaceDE/>
              <w:autoSpaceDN/>
              <w:adjustRightInd/>
              <w:spacing w:line="240" w:lineRule="auto"/>
              <w:jc w:val="center"/>
              <w:textAlignment w:val="auto"/>
              <w:rPr>
                <w:rFonts w:ascii="Arial" w:hAnsi="Arial" w:cs="Arial"/>
                <w:color w:val="000000"/>
                <w:sz w:val="20"/>
                <w:lang w:val="en-US"/>
              </w:rPr>
            </w:pPr>
            <w:r w:rsidRPr="00775929">
              <w:rPr>
                <w:rFonts w:ascii="Arial" w:hAnsi="Arial" w:cs="Arial"/>
                <w:color w:val="000000"/>
                <w:sz w:val="20"/>
                <w:lang w:val="en-US"/>
              </w:rPr>
              <w:t> </w:t>
            </w:r>
          </w:p>
        </w:tc>
        <w:tc>
          <w:tcPr>
            <w:tcW w:w="2521" w:type="dxa"/>
            <w:gridSpan w:val="2"/>
            <w:tcBorders>
              <w:top w:val="single" w:sz="4" w:space="0" w:color="auto"/>
              <w:left w:val="nil"/>
              <w:bottom w:val="single" w:sz="4" w:space="0" w:color="auto"/>
              <w:right w:val="single" w:sz="4" w:space="0" w:color="000000"/>
            </w:tcBorders>
            <w:shd w:val="clear" w:color="auto" w:fill="auto"/>
            <w:vAlign w:val="bottom"/>
            <w:hideMark/>
          </w:tcPr>
          <w:p w:rsidR="00775929" w:rsidRPr="00775929" w:rsidRDefault="00775929" w:rsidP="00775929">
            <w:pPr>
              <w:overflowPunct/>
              <w:autoSpaceDE/>
              <w:autoSpaceDN/>
              <w:adjustRightInd/>
              <w:spacing w:line="240" w:lineRule="auto"/>
              <w:jc w:val="center"/>
              <w:textAlignment w:val="auto"/>
              <w:rPr>
                <w:rFonts w:ascii="Arial" w:hAnsi="Arial" w:cs="Arial"/>
                <w:sz w:val="20"/>
                <w:lang w:val="en-US"/>
              </w:rPr>
            </w:pPr>
            <w:r w:rsidRPr="00775929">
              <w:rPr>
                <w:rFonts w:ascii="Arial" w:hAnsi="Arial" w:cs="Arial"/>
                <w:sz w:val="20"/>
                <w:lang w:val="en-US"/>
              </w:rPr>
              <w:t>2010</w:t>
            </w:r>
          </w:p>
        </w:tc>
      </w:tr>
      <w:tr w:rsidR="004953A2" w:rsidRPr="00775929" w:rsidTr="004953A2">
        <w:trPr>
          <w:trHeight w:val="260"/>
        </w:trPr>
        <w:tc>
          <w:tcPr>
            <w:tcW w:w="3413" w:type="dxa"/>
            <w:tcBorders>
              <w:top w:val="nil"/>
              <w:left w:val="single" w:sz="4" w:space="0" w:color="auto"/>
              <w:bottom w:val="nil"/>
              <w:right w:val="nil"/>
            </w:tcBorders>
            <w:shd w:val="clear" w:color="auto" w:fill="auto"/>
            <w:hideMark/>
          </w:tcPr>
          <w:p w:rsidR="00775929" w:rsidRPr="00775929" w:rsidRDefault="00775929" w:rsidP="00775929">
            <w:pPr>
              <w:overflowPunct/>
              <w:autoSpaceDE/>
              <w:autoSpaceDN/>
              <w:adjustRightInd/>
              <w:spacing w:line="240" w:lineRule="auto"/>
              <w:textAlignment w:val="auto"/>
              <w:rPr>
                <w:rFonts w:ascii="Arial" w:hAnsi="Arial" w:cs="Arial"/>
                <w:color w:val="000000"/>
                <w:sz w:val="16"/>
                <w:szCs w:val="16"/>
                <w:lang w:val="en-US"/>
              </w:rPr>
            </w:pPr>
            <w:r w:rsidRPr="00775929">
              <w:rPr>
                <w:rFonts w:ascii="Arial" w:hAnsi="Arial" w:cs="Arial"/>
                <w:color w:val="000000"/>
                <w:sz w:val="16"/>
                <w:szCs w:val="16"/>
                <w:lang w:val="en-US"/>
              </w:rPr>
              <w:t>(in thousands of USD)</w:t>
            </w:r>
          </w:p>
        </w:tc>
        <w:tc>
          <w:tcPr>
            <w:tcW w:w="361" w:type="dxa"/>
            <w:tcBorders>
              <w:top w:val="nil"/>
              <w:left w:val="nil"/>
              <w:bottom w:val="nil"/>
              <w:right w:val="nil"/>
            </w:tcBorders>
            <w:shd w:val="clear" w:color="auto" w:fill="auto"/>
            <w:noWrap/>
            <w:hideMark/>
          </w:tcPr>
          <w:p w:rsidR="00775929" w:rsidRPr="00775929" w:rsidRDefault="00775929" w:rsidP="00775929">
            <w:pPr>
              <w:overflowPunct/>
              <w:autoSpaceDE/>
              <w:autoSpaceDN/>
              <w:adjustRightInd/>
              <w:spacing w:line="240" w:lineRule="auto"/>
              <w:textAlignment w:val="auto"/>
              <w:rPr>
                <w:rFonts w:ascii="Arial" w:hAnsi="Arial" w:cs="Arial"/>
                <w:color w:val="000000"/>
                <w:sz w:val="20"/>
                <w:lang w:val="en-US"/>
              </w:rPr>
            </w:pPr>
          </w:p>
        </w:tc>
        <w:tc>
          <w:tcPr>
            <w:tcW w:w="1233" w:type="dxa"/>
            <w:tcBorders>
              <w:top w:val="nil"/>
              <w:left w:val="nil"/>
              <w:bottom w:val="nil"/>
              <w:right w:val="nil"/>
            </w:tcBorders>
            <w:shd w:val="clear" w:color="auto" w:fill="auto"/>
            <w:hideMark/>
          </w:tcPr>
          <w:p w:rsidR="00775929" w:rsidRPr="00775929" w:rsidRDefault="00775929" w:rsidP="00775929">
            <w:pPr>
              <w:overflowPunct/>
              <w:autoSpaceDE/>
              <w:autoSpaceDN/>
              <w:adjustRightInd/>
              <w:spacing w:line="240" w:lineRule="auto"/>
              <w:textAlignment w:val="auto"/>
              <w:rPr>
                <w:rFonts w:ascii="Arial" w:hAnsi="Arial" w:cs="Arial"/>
                <w:b/>
                <w:bCs/>
                <w:color w:val="000000"/>
                <w:sz w:val="20"/>
                <w:lang w:val="en-US"/>
              </w:rPr>
            </w:pPr>
          </w:p>
        </w:tc>
        <w:tc>
          <w:tcPr>
            <w:tcW w:w="1155" w:type="dxa"/>
            <w:tcBorders>
              <w:top w:val="nil"/>
              <w:left w:val="nil"/>
              <w:bottom w:val="nil"/>
              <w:right w:val="nil"/>
            </w:tcBorders>
            <w:shd w:val="clear" w:color="auto" w:fill="auto"/>
            <w:hideMark/>
          </w:tcPr>
          <w:p w:rsidR="00775929" w:rsidRPr="00775929" w:rsidRDefault="00775929" w:rsidP="00775929">
            <w:pPr>
              <w:overflowPunct/>
              <w:autoSpaceDE/>
              <w:autoSpaceDN/>
              <w:adjustRightInd/>
              <w:spacing w:line="240" w:lineRule="auto"/>
              <w:textAlignment w:val="auto"/>
              <w:rPr>
                <w:rFonts w:ascii="Arial" w:hAnsi="Arial" w:cs="Arial"/>
                <w:b/>
                <w:bCs/>
                <w:color w:val="000000"/>
                <w:sz w:val="20"/>
                <w:lang w:val="en-US"/>
              </w:rPr>
            </w:pPr>
          </w:p>
        </w:tc>
        <w:tc>
          <w:tcPr>
            <w:tcW w:w="341" w:type="dxa"/>
            <w:tcBorders>
              <w:top w:val="nil"/>
              <w:left w:val="nil"/>
              <w:bottom w:val="nil"/>
              <w:right w:val="nil"/>
            </w:tcBorders>
            <w:shd w:val="clear" w:color="auto" w:fill="auto"/>
            <w:hideMark/>
          </w:tcPr>
          <w:p w:rsidR="00775929" w:rsidRPr="00775929" w:rsidRDefault="00775929" w:rsidP="00775929">
            <w:pPr>
              <w:overflowPunct/>
              <w:autoSpaceDE/>
              <w:autoSpaceDN/>
              <w:adjustRightInd/>
              <w:spacing w:line="240" w:lineRule="auto"/>
              <w:textAlignment w:val="auto"/>
              <w:rPr>
                <w:rFonts w:ascii="Arial" w:hAnsi="Arial" w:cs="Arial"/>
                <w:b/>
                <w:bCs/>
                <w:color w:val="000000"/>
                <w:sz w:val="20"/>
                <w:lang w:val="en-US"/>
              </w:rPr>
            </w:pPr>
          </w:p>
        </w:tc>
        <w:tc>
          <w:tcPr>
            <w:tcW w:w="415" w:type="dxa"/>
            <w:tcBorders>
              <w:top w:val="nil"/>
              <w:left w:val="nil"/>
              <w:bottom w:val="nil"/>
              <w:right w:val="nil"/>
            </w:tcBorders>
            <w:shd w:val="clear" w:color="auto" w:fill="auto"/>
            <w:noWrap/>
            <w:vAlign w:val="bottom"/>
            <w:hideMark/>
          </w:tcPr>
          <w:p w:rsidR="00775929" w:rsidRPr="00775929" w:rsidRDefault="00775929" w:rsidP="00775929">
            <w:pPr>
              <w:overflowPunct/>
              <w:autoSpaceDE/>
              <w:autoSpaceDN/>
              <w:adjustRightInd/>
              <w:spacing w:line="240" w:lineRule="auto"/>
              <w:jc w:val="right"/>
              <w:textAlignment w:val="auto"/>
              <w:rPr>
                <w:rFonts w:ascii="Arial" w:hAnsi="Arial" w:cs="Arial"/>
                <w:color w:val="8064A2"/>
                <w:sz w:val="20"/>
                <w:lang w:val="en-US"/>
              </w:rPr>
            </w:pPr>
          </w:p>
        </w:tc>
        <w:tc>
          <w:tcPr>
            <w:tcW w:w="2106" w:type="dxa"/>
            <w:tcBorders>
              <w:top w:val="nil"/>
              <w:left w:val="nil"/>
              <w:bottom w:val="nil"/>
              <w:right w:val="single" w:sz="4" w:space="0" w:color="auto"/>
            </w:tcBorders>
            <w:shd w:val="clear" w:color="auto" w:fill="auto"/>
            <w:noWrap/>
            <w:vAlign w:val="bottom"/>
            <w:hideMark/>
          </w:tcPr>
          <w:p w:rsidR="00775929" w:rsidRPr="00775929" w:rsidRDefault="00775929" w:rsidP="00775929">
            <w:pPr>
              <w:overflowPunct/>
              <w:autoSpaceDE/>
              <w:autoSpaceDN/>
              <w:adjustRightInd/>
              <w:spacing w:line="240" w:lineRule="auto"/>
              <w:jc w:val="right"/>
              <w:textAlignment w:val="auto"/>
              <w:rPr>
                <w:rFonts w:ascii="Arial" w:hAnsi="Arial" w:cs="Arial"/>
                <w:color w:val="8064A2"/>
                <w:sz w:val="20"/>
                <w:lang w:val="en-US"/>
              </w:rPr>
            </w:pPr>
            <w:r w:rsidRPr="00775929">
              <w:rPr>
                <w:rFonts w:ascii="Arial" w:hAnsi="Arial" w:cs="Arial"/>
                <w:color w:val="8064A2"/>
                <w:sz w:val="20"/>
                <w:lang w:val="en-US"/>
              </w:rPr>
              <w:t> </w:t>
            </w:r>
          </w:p>
        </w:tc>
      </w:tr>
      <w:tr w:rsidR="004953A2" w:rsidRPr="00775929" w:rsidTr="004953A2">
        <w:trPr>
          <w:trHeight w:val="272"/>
        </w:trPr>
        <w:tc>
          <w:tcPr>
            <w:tcW w:w="3413" w:type="dxa"/>
            <w:tcBorders>
              <w:top w:val="nil"/>
              <w:left w:val="single" w:sz="4" w:space="0" w:color="auto"/>
              <w:bottom w:val="nil"/>
              <w:right w:val="nil"/>
            </w:tcBorders>
            <w:shd w:val="clear" w:color="auto" w:fill="auto"/>
            <w:noWrap/>
            <w:hideMark/>
          </w:tcPr>
          <w:p w:rsidR="00775929" w:rsidRPr="00775929" w:rsidRDefault="00775929" w:rsidP="00775929">
            <w:pPr>
              <w:overflowPunct/>
              <w:autoSpaceDE/>
              <w:autoSpaceDN/>
              <w:adjustRightInd/>
              <w:spacing w:line="240" w:lineRule="auto"/>
              <w:textAlignment w:val="auto"/>
              <w:rPr>
                <w:rFonts w:ascii="Arial" w:hAnsi="Arial" w:cs="Arial"/>
                <w:color w:val="000000"/>
                <w:sz w:val="20"/>
                <w:lang w:val="en-US"/>
              </w:rPr>
            </w:pPr>
            <w:r w:rsidRPr="00775929">
              <w:rPr>
                <w:rFonts w:ascii="Arial" w:hAnsi="Arial" w:cs="Arial"/>
                <w:color w:val="000000"/>
                <w:sz w:val="20"/>
                <w:lang w:val="en-US"/>
              </w:rPr>
              <w:t>Cash at bank</w:t>
            </w:r>
          </w:p>
        </w:tc>
        <w:tc>
          <w:tcPr>
            <w:tcW w:w="361" w:type="dxa"/>
            <w:tcBorders>
              <w:top w:val="nil"/>
              <w:left w:val="nil"/>
              <w:bottom w:val="nil"/>
              <w:right w:val="nil"/>
            </w:tcBorders>
            <w:shd w:val="clear" w:color="auto" w:fill="auto"/>
            <w:noWrap/>
            <w:hideMark/>
          </w:tcPr>
          <w:p w:rsidR="00775929" w:rsidRPr="00775929" w:rsidRDefault="00775929" w:rsidP="00775929">
            <w:pPr>
              <w:overflowPunct/>
              <w:autoSpaceDE/>
              <w:autoSpaceDN/>
              <w:adjustRightInd/>
              <w:spacing w:line="240" w:lineRule="auto"/>
              <w:textAlignment w:val="auto"/>
              <w:rPr>
                <w:rFonts w:ascii="Arial" w:hAnsi="Arial" w:cs="Arial"/>
                <w:color w:val="000000"/>
                <w:sz w:val="20"/>
                <w:lang w:val="en-US"/>
              </w:rPr>
            </w:pPr>
          </w:p>
        </w:tc>
        <w:tc>
          <w:tcPr>
            <w:tcW w:w="1233" w:type="dxa"/>
            <w:tcBorders>
              <w:top w:val="nil"/>
              <w:left w:val="nil"/>
              <w:bottom w:val="nil"/>
              <w:right w:val="nil"/>
            </w:tcBorders>
            <w:shd w:val="clear" w:color="auto" w:fill="auto"/>
            <w:hideMark/>
          </w:tcPr>
          <w:p w:rsidR="00775929" w:rsidRPr="00775929" w:rsidRDefault="00775929" w:rsidP="00775929">
            <w:pPr>
              <w:overflowPunct/>
              <w:autoSpaceDE/>
              <w:autoSpaceDN/>
              <w:adjustRightInd/>
              <w:spacing w:line="240" w:lineRule="auto"/>
              <w:textAlignment w:val="auto"/>
              <w:rPr>
                <w:rFonts w:ascii="Arial" w:hAnsi="Arial" w:cs="Arial"/>
                <w:color w:val="000000"/>
                <w:sz w:val="20"/>
                <w:lang w:val="en-US"/>
              </w:rPr>
            </w:pPr>
          </w:p>
        </w:tc>
        <w:tc>
          <w:tcPr>
            <w:tcW w:w="1155" w:type="dxa"/>
            <w:tcBorders>
              <w:top w:val="nil"/>
              <w:left w:val="nil"/>
              <w:bottom w:val="double" w:sz="6" w:space="0" w:color="auto"/>
              <w:right w:val="nil"/>
            </w:tcBorders>
            <w:shd w:val="clear" w:color="auto" w:fill="auto"/>
            <w:noWrap/>
            <w:vAlign w:val="bottom"/>
            <w:hideMark/>
          </w:tcPr>
          <w:p w:rsidR="00775929" w:rsidRPr="00775929" w:rsidRDefault="00775929" w:rsidP="00775929">
            <w:pPr>
              <w:overflowPunct/>
              <w:autoSpaceDE/>
              <w:autoSpaceDN/>
              <w:adjustRightInd/>
              <w:spacing w:line="240" w:lineRule="auto"/>
              <w:jc w:val="right"/>
              <w:textAlignment w:val="auto"/>
              <w:rPr>
                <w:rFonts w:ascii="Arial" w:hAnsi="Arial" w:cs="Arial"/>
                <w:color w:val="000000"/>
                <w:sz w:val="20"/>
                <w:lang w:val="en-US"/>
              </w:rPr>
            </w:pPr>
            <w:r w:rsidRPr="00775929">
              <w:rPr>
                <w:rFonts w:ascii="Arial" w:hAnsi="Arial" w:cs="Arial"/>
                <w:color w:val="000000"/>
                <w:sz w:val="20"/>
                <w:lang w:val="en-US"/>
              </w:rPr>
              <w:t xml:space="preserve"> 41 </w:t>
            </w:r>
          </w:p>
        </w:tc>
        <w:tc>
          <w:tcPr>
            <w:tcW w:w="341" w:type="dxa"/>
            <w:tcBorders>
              <w:top w:val="nil"/>
              <w:left w:val="nil"/>
              <w:bottom w:val="nil"/>
              <w:right w:val="nil"/>
            </w:tcBorders>
            <w:shd w:val="clear" w:color="auto" w:fill="auto"/>
            <w:hideMark/>
          </w:tcPr>
          <w:p w:rsidR="00775929" w:rsidRPr="00775929" w:rsidRDefault="00775929" w:rsidP="00775929">
            <w:pPr>
              <w:overflowPunct/>
              <w:autoSpaceDE/>
              <w:autoSpaceDN/>
              <w:adjustRightInd/>
              <w:spacing w:line="240" w:lineRule="auto"/>
              <w:textAlignment w:val="auto"/>
              <w:rPr>
                <w:rFonts w:ascii="Arial" w:hAnsi="Arial" w:cs="Arial"/>
                <w:color w:val="000000"/>
                <w:sz w:val="20"/>
                <w:lang w:val="en-US"/>
              </w:rPr>
            </w:pPr>
          </w:p>
        </w:tc>
        <w:tc>
          <w:tcPr>
            <w:tcW w:w="415" w:type="dxa"/>
            <w:tcBorders>
              <w:top w:val="nil"/>
              <w:left w:val="nil"/>
              <w:bottom w:val="nil"/>
              <w:right w:val="nil"/>
            </w:tcBorders>
            <w:shd w:val="clear" w:color="auto" w:fill="auto"/>
            <w:noWrap/>
            <w:vAlign w:val="bottom"/>
            <w:hideMark/>
          </w:tcPr>
          <w:p w:rsidR="00775929" w:rsidRPr="00775929" w:rsidRDefault="00775929" w:rsidP="00775929">
            <w:pPr>
              <w:overflowPunct/>
              <w:autoSpaceDE/>
              <w:autoSpaceDN/>
              <w:adjustRightInd/>
              <w:spacing w:line="240" w:lineRule="auto"/>
              <w:jc w:val="right"/>
              <w:textAlignment w:val="auto"/>
              <w:rPr>
                <w:rFonts w:ascii="Arial" w:hAnsi="Arial" w:cs="Arial"/>
                <w:color w:val="8064A2"/>
                <w:sz w:val="20"/>
                <w:lang w:val="en-US"/>
              </w:rPr>
            </w:pPr>
          </w:p>
        </w:tc>
        <w:tc>
          <w:tcPr>
            <w:tcW w:w="2106" w:type="dxa"/>
            <w:tcBorders>
              <w:top w:val="nil"/>
              <w:left w:val="nil"/>
              <w:bottom w:val="double" w:sz="6" w:space="0" w:color="auto"/>
              <w:right w:val="single" w:sz="4" w:space="0" w:color="auto"/>
            </w:tcBorders>
            <w:shd w:val="clear" w:color="auto" w:fill="auto"/>
            <w:noWrap/>
            <w:vAlign w:val="bottom"/>
            <w:hideMark/>
          </w:tcPr>
          <w:p w:rsidR="00775929" w:rsidRPr="00775929" w:rsidRDefault="00775929" w:rsidP="00775929">
            <w:pPr>
              <w:overflowPunct/>
              <w:autoSpaceDE/>
              <w:autoSpaceDN/>
              <w:adjustRightInd/>
              <w:spacing w:line="240" w:lineRule="auto"/>
              <w:jc w:val="right"/>
              <w:textAlignment w:val="auto"/>
              <w:rPr>
                <w:rFonts w:ascii="Arial" w:hAnsi="Arial" w:cs="Arial"/>
                <w:color w:val="000000"/>
                <w:sz w:val="20"/>
                <w:lang w:val="en-US"/>
              </w:rPr>
            </w:pPr>
            <w:r w:rsidRPr="00775929">
              <w:rPr>
                <w:rFonts w:ascii="Arial" w:hAnsi="Arial" w:cs="Arial"/>
                <w:color w:val="000000"/>
                <w:sz w:val="20"/>
                <w:lang w:val="en-US"/>
              </w:rPr>
              <w:t xml:space="preserve"> 23 </w:t>
            </w:r>
          </w:p>
        </w:tc>
      </w:tr>
      <w:tr w:rsidR="004953A2" w:rsidRPr="00775929" w:rsidTr="004953A2">
        <w:trPr>
          <w:trHeight w:val="89"/>
        </w:trPr>
        <w:tc>
          <w:tcPr>
            <w:tcW w:w="3413" w:type="dxa"/>
            <w:tcBorders>
              <w:top w:val="nil"/>
              <w:left w:val="single" w:sz="4" w:space="0" w:color="auto"/>
              <w:bottom w:val="single" w:sz="4" w:space="0" w:color="auto"/>
              <w:right w:val="nil"/>
            </w:tcBorders>
            <w:shd w:val="clear" w:color="auto" w:fill="auto"/>
            <w:hideMark/>
          </w:tcPr>
          <w:p w:rsidR="00775929" w:rsidRPr="00775929" w:rsidRDefault="00775929" w:rsidP="00775929">
            <w:pPr>
              <w:overflowPunct/>
              <w:autoSpaceDE/>
              <w:autoSpaceDN/>
              <w:adjustRightInd/>
              <w:spacing w:line="240" w:lineRule="auto"/>
              <w:textAlignment w:val="auto"/>
              <w:rPr>
                <w:rFonts w:ascii="Arial" w:hAnsi="Arial" w:cs="Arial"/>
                <w:color w:val="000000"/>
                <w:sz w:val="20"/>
                <w:lang w:val="en-US"/>
              </w:rPr>
            </w:pPr>
            <w:r w:rsidRPr="00775929">
              <w:rPr>
                <w:rFonts w:ascii="Arial" w:hAnsi="Arial" w:cs="Arial"/>
                <w:color w:val="000000"/>
                <w:sz w:val="20"/>
                <w:lang w:val="en-US"/>
              </w:rPr>
              <w:t> </w:t>
            </w:r>
          </w:p>
        </w:tc>
        <w:tc>
          <w:tcPr>
            <w:tcW w:w="361" w:type="dxa"/>
            <w:tcBorders>
              <w:top w:val="nil"/>
              <w:left w:val="nil"/>
              <w:bottom w:val="single" w:sz="4" w:space="0" w:color="auto"/>
              <w:right w:val="nil"/>
            </w:tcBorders>
            <w:shd w:val="clear" w:color="auto" w:fill="auto"/>
            <w:hideMark/>
          </w:tcPr>
          <w:p w:rsidR="00775929" w:rsidRPr="00775929" w:rsidRDefault="00775929" w:rsidP="00775929">
            <w:pPr>
              <w:overflowPunct/>
              <w:autoSpaceDE/>
              <w:autoSpaceDN/>
              <w:adjustRightInd/>
              <w:spacing w:line="240" w:lineRule="auto"/>
              <w:textAlignment w:val="auto"/>
              <w:rPr>
                <w:rFonts w:ascii="Arial" w:hAnsi="Arial" w:cs="Arial"/>
                <w:color w:val="000000"/>
                <w:sz w:val="20"/>
                <w:lang w:val="en-US"/>
              </w:rPr>
            </w:pPr>
            <w:r w:rsidRPr="00775929">
              <w:rPr>
                <w:rFonts w:ascii="Arial" w:hAnsi="Arial" w:cs="Arial"/>
                <w:color w:val="000000"/>
                <w:sz w:val="20"/>
                <w:lang w:val="en-US"/>
              </w:rPr>
              <w:t> </w:t>
            </w:r>
          </w:p>
        </w:tc>
        <w:tc>
          <w:tcPr>
            <w:tcW w:w="1233" w:type="dxa"/>
            <w:tcBorders>
              <w:top w:val="nil"/>
              <w:left w:val="nil"/>
              <w:bottom w:val="single" w:sz="4" w:space="0" w:color="auto"/>
              <w:right w:val="nil"/>
            </w:tcBorders>
            <w:shd w:val="clear" w:color="auto" w:fill="auto"/>
            <w:noWrap/>
            <w:vAlign w:val="bottom"/>
            <w:hideMark/>
          </w:tcPr>
          <w:p w:rsidR="00775929" w:rsidRPr="00775929" w:rsidRDefault="00775929" w:rsidP="00775929">
            <w:pPr>
              <w:overflowPunct/>
              <w:autoSpaceDE/>
              <w:autoSpaceDN/>
              <w:adjustRightInd/>
              <w:spacing w:line="240" w:lineRule="auto"/>
              <w:jc w:val="center"/>
              <w:textAlignment w:val="auto"/>
              <w:rPr>
                <w:rFonts w:ascii="Arial" w:hAnsi="Arial" w:cs="Arial"/>
                <w:color w:val="000000"/>
                <w:sz w:val="20"/>
                <w:lang w:val="en-US"/>
              </w:rPr>
            </w:pPr>
            <w:r w:rsidRPr="00775929">
              <w:rPr>
                <w:rFonts w:ascii="Arial" w:hAnsi="Arial" w:cs="Arial"/>
                <w:color w:val="000000"/>
                <w:sz w:val="20"/>
                <w:lang w:val="en-US"/>
              </w:rPr>
              <w:t> </w:t>
            </w:r>
          </w:p>
        </w:tc>
        <w:tc>
          <w:tcPr>
            <w:tcW w:w="1155" w:type="dxa"/>
            <w:tcBorders>
              <w:top w:val="nil"/>
              <w:left w:val="nil"/>
              <w:bottom w:val="single" w:sz="4" w:space="0" w:color="auto"/>
              <w:right w:val="nil"/>
            </w:tcBorders>
            <w:shd w:val="clear" w:color="auto" w:fill="auto"/>
            <w:noWrap/>
            <w:vAlign w:val="bottom"/>
            <w:hideMark/>
          </w:tcPr>
          <w:p w:rsidR="00775929" w:rsidRPr="00775929" w:rsidRDefault="00775929" w:rsidP="00775929">
            <w:pPr>
              <w:overflowPunct/>
              <w:autoSpaceDE/>
              <w:autoSpaceDN/>
              <w:adjustRightInd/>
              <w:spacing w:line="240" w:lineRule="auto"/>
              <w:jc w:val="center"/>
              <w:textAlignment w:val="auto"/>
              <w:rPr>
                <w:rFonts w:ascii="Arial" w:hAnsi="Arial" w:cs="Arial"/>
                <w:color w:val="000000"/>
                <w:sz w:val="20"/>
                <w:lang w:val="en-US"/>
              </w:rPr>
            </w:pPr>
            <w:r w:rsidRPr="00775929">
              <w:rPr>
                <w:rFonts w:ascii="Arial" w:hAnsi="Arial" w:cs="Arial"/>
                <w:color w:val="000000"/>
                <w:sz w:val="20"/>
                <w:lang w:val="en-US"/>
              </w:rPr>
              <w:t> </w:t>
            </w:r>
          </w:p>
        </w:tc>
        <w:tc>
          <w:tcPr>
            <w:tcW w:w="341" w:type="dxa"/>
            <w:tcBorders>
              <w:top w:val="nil"/>
              <w:left w:val="nil"/>
              <w:bottom w:val="single" w:sz="4" w:space="0" w:color="auto"/>
              <w:right w:val="nil"/>
            </w:tcBorders>
            <w:shd w:val="clear" w:color="auto" w:fill="auto"/>
            <w:noWrap/>
            <w:vAlign w:val="bottom"/>
            <w:hideMark/>
          </w:tcPr>
          <w:p w:rsidR="00775929" w:rsidRPr="00775929" w:rsidRDefault="00775929" w:rsidP="00775929">
            <w:pPr>
              <w:overflowPunct/>
              <w:autoSpaceDE/>
              <w:autoSpaceDN/>
              <w:adjustRightInd/>
              <w:spacing w:line="240" w:lineRule="auto"/>
              <w:jc w:val="center"/>
              <w:textAlignment w:val="auto"/>
              <w:rPr>
                <w:rFonts w:ascii="Arial" w:hAnsi="Arial" w:cs="Arial"/>
                <w:color w:val="000000"/>
                <w:sz w:val="20"/>
                <w:lang w:val="en-US"/>
              </w:rPr>
            </w:pPr>
            <w:r w:rsidRPr="00775929">
              <w:rPr>
                <w:rFonts w:ascii="Arial" w:hAnsi="Arial" w:cs="Arial"/>
                <w:color w:val="000000"/>
                <w:sz w:val="20"/>
                <w:lang w:val="en-US"/>
              </w:rPr>
              <w:t> </w:t>
            </w:r>
          </w:p>
        </w:tc>
        <w:tc>
          <w:tcPr>
            <w:tcW w:w="415" w:type="dxa"/>
            <w:tcBorders>
              <w:top w:val="nil"/>
              <w:left w:val="nil"/>
              <w:bottom w:val="single" w:sz="4" w:space="0" w:color="auto"/>
              <w:right w:val="nil"/>
            </w:tcBorders>
            <w:shd w:val="clear" w:color="auto" w:fill="auto"/>
            <w:noWrap/>
            <w:vAlign w:val="bottom"/>
            <w:hideMark/>
          </w:tcPr>
          <w:p w:rsidR="00775929" w:rsidRPr="00775929" w:rsidRDefault="00775929" w:rsidP="00775929">
            <w:pPr>
              <w:overflowPunct/>
              <w:autoSpaceDE/>
              <w:autoSpaceDN/>
              <w:adjustRightInd/>
              <w:spacing w:line="240" w:lineRule="auto"/>
              <w:jc w:val="right"/>
              <w:textAlignment w:val="auto"/>
              <w:rPr>
                <w:rFonts w:ascii="Arial" w:hAnsi="Arial" w:cs="Arial"/>
                <w:color w:val="8064A2"/>
                <w:sz w:val="20"/>
                <w:lang w:val="en-US"/>
              </w:rPr>
            </w:pPr>
            <w:r w:rsidRPr="00775929">
              <w:rPr>
                <w:rFonts w:ascii="Arial" w:hAnsi="Arial" w:cs="Arial"/>
                <w:color w:val="8064A2"/>
                <w:sz w:val="20"/>
                <w:lang w:val="en-US"/>
              </w:rPr>
              <w:t> </w:t>
            </w:r>
          </w:p>
        </w:tc>
        <w:tc>
          <w:tcPr>
            <w:tcW w:w="2106" w:type="dxa"/>
            <w:tcBorders>
              <w:top w:val="nil"/>
              <w:left w:val="nil"/>
              <w:bottom w:val="single" w:sz="4" w:space="0" w:color="auto"/>
              <w:right w:val="single" w:sz="4" w:space="0" w:color="auto"/>
            </w:tcBorders>
            <w:shd w:val="clear" w:color="auto" w:fill="auto"/>
            <w:noWrap/>
            <w:vAlign w:val="bottom"/>
            <w:hideMark/>
          </w:tcPr>
          <w:p w:rsidR="00775929" w:rsidRPr="00775929" w:rsidRDefault="00775929" w:rsidP="00775929">
            <w:pPr>
              <w:overflowPunct/>
              <w:autoSpaceDE/>
              <w:autoSpaceDN/>
              <w:adjustRightInd/>
              <w:spacing w:line="240" w:lineRule="auto"/>
              <w:jc w:val="right"/>
              <w:textAlignment w:val="auto"/>
              <w:rPr>
                <w:rFonts w:ascii="Arial" w:hAnsi="Arial" w:cs="Arial"/>
                <w:color w:val="8064A2"/>
                <w:sz w:val="20"/>
                <w:lang w:val="en-US"/>
              </w:rPr>
            </w:pPr>
            <w:r w:rsidRPr="00775929">
              <w:rPr>
                <w:rFonts w:ascii="Arial" w:hAnsi="Arial" w:cs="Arial"/>
                <w:color w:val="8064A2"/>
                <w:sz w:val="20"/>
                <w:lang w:val="en-US"/>
              </w:rPr>
              <w:t> </w:t>
            </w:r>
          </w:p>
        </w:tc>
      </w:tr>
    </w:tbl>
    <w:p w:rsidR="00775929" w:rsidRDefault="00775929" w:rsidP="00431517">
      <w:pPr>
        <w:pStyle w:val="Style000"/>
        <w:rPr>
          <w:rFonts w:cs="Arial"/>
          <w:lang w:val="en-US"/>
        </w:rPr>
      </w:pPr>
    </w:p>
    <w:p w:rsidR="003E3AB9" w:rsidRPr="00D756D3" w:rsidRDefault="003E3AB9" w:rsidP="00431517">
      <w:pPr>
        <w:pStyle w:val="Style000"/>
        <w:rPr>
          <w:rFonts w:cs="Arial"/>
        </w:rPr>
      </w:pPr>
      <w:r w:rsidRPr="00D756D3">
        <w:rPr>
          <w:rFonts w:cs="Arial"/>
        </w:rPr>
        <w:t xml:space="preserve">There are no restrictions on the availability of cash and cash equivalents. </w:t>
      </w:r>
    </w:p>
    <w:p w:rsidR="003E3AB9" w:rsidRPr="00201418" w:rsidRDefault="001F69B0">
      <w:pPr>
        <w:pStyle w:val="081"/>
        <w:rPr>
          <w:rFonts w:cs="Arial"/>
          <w:bCs/>
          <w:szCs w:val="24"/>
        </w:rPr>
      </w:pPr>
      <w:r w:rsidRPr="009049AB">
        <w:rPr>
          <w:rFonts w:cs="Arial"/>
          <w:bCs/>
          <w:szCs w:val="24"/>
        </w:rPr>
        <w:t xml:space="preserve">4. </w:t>
      </w:r>
      <w:r w:rsidR="006A47B9" w:rsidRPr="009049AB">
        <w:rPr>
          <w:rFonts w:cs="Arial"/>
          <w:bCs/>
          <w:szCs w:val="24"/>
        </w:rPr>
        <w:t>Shareholder</w:t>
      </w:r>
      <w:r w:rsidR="0049537D" w:rsidRPr="009049AB">
        <w:rPr>
          <w:rFonts w:cs="Arial"/>
          <w:bCs/>
          <w:szCs w:val="24"/>
        </w:rPr>
        <w:t>’</w:t>
      </w:r>
      <w:r w:rsidR="006A47B9" w:rsidRPr="009049AB">
        <w:rPr>
          <w:rFonts w:cs="Arial"/>
          <w:bCs/>
          <w:szCs w:val="24"/>
        </w:rPr>
        <w:t>s equity</w:t>
      </w:r>
    </w:p>
    <w:p w:rsidR="001F69B0" w:rsidRDefault="003E3AB9" w:rsidP="00431517">
      <w:pPr>
        <w:pStyle w:val="Style000"/>
        <w:rPr>
          <w:rFonts w:cs="Arial"/>
        </w:rPr>
      </w:pPr>
      <w:r w:rsidRPr="00201418">
        <w:rPr>
          <w:rFonts w:cs="Arial"/>
        </w:rPr>
        <w:t>Movements in the individual items of equity were as follows:</w:t>
      </w:r>
    </w:p>
    <w:tbl>
      <w:tblPr>
        <w:tblW w:w="9017" w:type="dxa"/>
        <w:tblInd w:w="103" w:type="dxa"/>
        <w:tblLook w:val="04A0"/>
      </w:tblPr>
      <w:tblGrid>
        <w:gridCol w:w="3737"/>
        <w:gridCol w:w="983"/>
        <w:gridCol w:w="272"/>
        <w:gridCol w:w="1102"/>
        <w:gridCol w:w="272"/>
        <w:gridCol w:w="1228"/>
        <w:gridCol w:w="272"/>
        <w:gridCol w:w="272"/>
        <w:gridCol w:w="964"/>
      </w:tblGrid>
      <w:tr w:rsidR="004953A2" w:rsidRPr="004953A2" w:rsidTr="004953A2">
        <w:trPr>
          <w:trHeight w:val="152"/>
        </w:trPr>
        <w:tc>
          <w:tcPr>
            <w:tcW w:w="3737" w:type="dxa"/>
            <w:tcBorders>
              <w:top w:val="single" w:sz="4" w:space="0" w:color="auto"/>
              <w:left w:val="single" w:sz="4" w:space="0" w:color="auto"/>
              <w:bottom w:val="nil"/>
              <w:right w:val="nil"/>
            </w:tcBorders>
            <w:shd w:val="clear" w:color="auto" w:fill="auto"/>
            <w:noWrap/>
            <w:hideMark/>
          </w:tcPr>
          <w:p w:rsidR="004953A2" w:rsidRPr="004953A2" w:rsidRDefault="004953A2" w:rsidP="004953A2">
            <w:pPr>
              <w:overflowPunct/>
              <w:autoSpaceDE/>
              <w:autoSpaceDN/>
              <w:adjustRightInd/>
              <w:spacing w:line="240" w:lineRule="auto"/>
              <w:textAlignment w:val="auto"/>
              <w:rPr>
                <w:rFonts w:ascii="Arial" w:hAnsi="Arial" w:cs="Arial"/>
                <w:sz w:val="20"/>
                <w:lang w:val="en-US"/>
              </w:rPr>
            </w:pPr>
            <w:r w:rsidRPr="004953A2">
              <w:rPr>
                <w:rFonts w:ascii="Arial" w:hAnsi="Arial" w:cs="Arial"/>
                <w:sz w:val="20"/>
                <w:lang w:val="en-US"/>
              </w:rPr>
              <w:t> </w:t>
            </w:r>
          </w:p>
        </w:tc>
        <w:tc>
          <w:tcPr>
            <w:tcW w:w="964" w:type="dxa"/>
            <w:tcBorders>
              <w:top w:val="single" w:sz="4" w:space="0" w:color="auto"/>
              <w:left w:val="nil"/>
              <w:bottom w:val="nil"/>
              <w:right w:val="nil"/>
            </w:tcBorders>
            <w:shd w:val="clear" w:color="auto" w:fill="auto"/>
            <w:noWrap/>
            <w:hideMark/>
          </w:tcPr>
          <w:p w:rsidR="004953A2" w:rsidRPr="004953A2" w:rsidRDefault="004953A2" w:rsidP="004953A2">
            <w:pPr>
              <w:overflowPunct/>
              <w:autoSpaceDE/>
              <w:autoSpaceDN/>
              <w:adjustRightInd/>
              <w:spacing w:line="240" w:lineRule="auto"/>
              <w:jc w:val="center"/>
              <w:textAlignment w:val="auto"/>
              <w:rPr>
                <w:rFonts w:ascii="Arial" w:hAnsi="Arial" w:cs="Arial"/>
                <w:sz w:val="20"/>
                <w:lang w:val="en-US"/>
              </w:rPr>
            </w:pPr>
            <w:r w:rsidRPr="004953A2">
              <w:rPr>
                <w:rFonts w:ascii="Arial" w:hAnsi="Arial" w:cs="Arial"/>
                <w:sz w:val="20"/>
                <w:lang w:val="en-US"/>
              </w:rPr>
              <w:t>Ordinary</w:t>
            </w:r>
          </w:p>
        </w:tc>
        <w:tc>
          <w:tcPr>
            <w:tcW w:w="264" w:type="dxa"/>
            <w:tcBorders>
              <w:top w:val="single" w:sz="4" w:space="0" w:color="auto"/>
              <w:left w:val="nil"/>
              <w:bottom w:val="nil"/>
              <w:right w:val="nil"/>
            </w:tcBorders>
            <w:shd w:val="clear" w:color="auto" w:fill="auto"/>
            <w:noWrap/>
            <w:hideMark/>
          </w:tcPr>
          <w:p w:rsidR="004953A2" w:rsidRPr="004953A2" w:rsidRDefault="004953A2" w:rsidP="004953A2">
            <w:pPr>
              <w:overflowPunct/>
              <w:autoSpaceDE/>
              <w:autoSpaceDN/>
              <w:adjustRightInd/>
              <w:spacing w:line="240" w:lineRule="auto"/>
              <w:jc w:val="center"/>
              <w:textAlignment w:val="auto"/>
              <w:rPr>
                <w:rFonts w:ascii="Arial" w:hAnsi="Arial" w:cs="Arial"/>
                <w:sz w:val="20"/>
                <w:lang w:val="en-US"/>
              </w:rPr>
            </w:pPr>
            <w:r w:rsidRPr="004953A2">
              <w:rPr>
                <w:rFonts w:ascii="Arial" w:hAnsi="Arial" w:cs="Arial"/>
                <w:sz w:val="20"/>
                <w:lang w:val="en-US"/>
              </w:rPr>
              <w:t> </w:t>
            </w:r>
          </w:p>
        </w:tc>
        <w:tc>
          <w:tcPr>
            <w:tcW w:w="1102" w:type="dxa"/>
            <w:tcBorders>
              <w:top w:val="single" w:sz="4" w:space="0" w:color="auto"/>
              <w:left w:val="nil"/>
              <w:bottom w:val="nil"/>
              <w:right w:val="nil"/>
            </w:tcBorders>
            <w:shd w:val="clear" w:color="auto" w:fill="auto"/>
            <w:noWrap/>
            <w:hideMark/>
          </w:tcPr>
          <w:p w:rsidR="004953A2" w:rsidRPr="004953A2" w:rsidRDefault="004953A2" w:rsidP="004953A2">
            <w:pPr>
              <w:overflowPunct/>
              <w:autoSpaceDE/>
              <w:autoSpaceDN/>
              <w:adjustRightInd/>
              <w:spacing w:line="240" w:lineRule="auto"/>
              <w:jc w:val="center"/>
              <w:textAlignment w:val="auto"/>
              <w:rPr>
                <w:rFonts w:ascii="Arial" w:hAnsi="Arial" w:cs="Arial"/>
                <w:sz w:val="20"/>
                <w:lang w:val="en-US"/>
              </w:rPr>
            </w:pPr>
            <w:r w:rsidRPr="004953A2">
              <w:rPr>
                <w:rFonts w:ascii="Arial" w:hAnsi="Arial" w:cs="Arial"/>
                <w:sz w:val="20"/>
                <w:lang w:val="en-US"/>
              </w:rPr>
              <w:t xml:space="preserve">Retained </w:t>
            </w:r>
          </w:p>
        </w:tc>
        <w:tc>
          <w:tcPr>
            <w:tcW w:w="264" w:type="dxa"/>
            <w:tcBorders>
              <w:top w:val="single" w:sz="4" w:space="0" w:color="auto"/>
              <w:left w:val="nil"/>
              <w:bottom w:val="nil"/>
              <w:right w:val="nil"/>
            </w:tcBorders>
            <w:shd w:val="clear" w:color="auto" w:fill="auto"/>
            <w:noWrap/>
            <w:hideMark/>
          </w:tcPr>
          <w:p w:rsidR="004953A2" w:rsidRPr="004953A2" w:rsidRDefault="004953A2" w:rsidP="004953A2">
            <w:pPr>
              <w:overflowPunct/>
              <w:autoSpaceDE/>
              <w:autoSpaceDN/>
              <w:adjustRightInd/>
              <w:spacing w:line="240" w:lineRule="auto"/>
              <w:jc w:val="center"/>
              <w:textAlignment w:val="auto"/>
              <w:rPr>
                <w:rFonts w:ascii="Arial" w:hAnsi="Arial" w:cs="Arial"/>
                <w:sz w:val="20"/>
                <w:lang w:val="en-US"/>
              </w:rPr>
            </w:pPr>
            <w:r w:rsidRPr="004953A2">
              <w:rPr>
                <w:rFonts w:ascii="Arial" w:hAnsi="Arial" w:cs="Arial"/>
                <w:sz w:val="20"/>
                <w:lang w:val="en-US"/>
              </w:rPr>
              <w:t> </w:t>
            </w:r>
          </w:p>
        </w:tc>
        <w:tc>
          <w:tcPr>
            <w:tcW w:w="1194" w:type="dxa"/>
            <w:tcBorders>
              <w:top w:val="single" w:sz="4" w:space="0" w:color="auto"/>
              <w:left w:val="nil"/>
              <w:bottom w:val="nil"/>
              <w:right w:val="nil"/>
            </w:tcBorders>
            <w:shd w:val="clear" w:color="auto" w:fill="auto"/>
            <w:noWrap/>
            <w:hideMark/>
          </w:tcPr>
          <w:p w:rsidR="004953A2" w:rsidRPr="004953A2" w:rsidRDefault="004953A2" w:rsidP="004953A2">
            <w:pPr>
              <w:overflowPunct/>
              <w:autoSpaceDE/>
              <w:autoSpaceDN/>
              <w:adjustRightInd/>
              <w:spacing w:line="240" w:lineRule="auto"/>
              <w:jc w:val="center"/>
              <w:textAlignment w:val="auto"/>
              <w:rPr>
                <w:rFonts w:ascii="Arial" w:hAnsi="Arial" w:cs="Arial"/>
                <w:sz w:val="20"/>
                <w:lang w:val="en-US"/>
              </w:rPr>
            </w:pPr>
            <w:r w:rsidRPr="004953A2">
              <w:rPr>
                <w:rFonts w:ascii="Arial" w:hAnsi="Arial" w:cs="Arial"/>
                <w:sz w:val="20"/>
                <w:lang w:val="en-US"/>
              </w:rPr>
              <w:t>Profit/(loss)</w:t>
            </w:r>
          </w:p>
        </w:tc>
        <w:tc>
          <w:tcPr>
            <w:tcW w:w="264" w:type="dxa"/>
            <w:tcBorders>
              <w:top w:val="single" w:sz="4" w:space="0" w:color="auto"/>
              <w:left w:val="nil"/>
              <w:bottom w:val="nil"/>
              <w:right w:val="nil"/>
            </w:tcBorders>
            <w:shd w:val="clear" w:color="auto" w:fill="auto"/>
            <w:noWrap/>
            <w:hideMark/>
          </w:tcPr>
          <w:p w:rsidR="004953A2" w:rsidRPr="004953A2" w:rsidRDefault="004953A2" w:rsidP="004953A2">
            <w:pPr>
              <w:overflowPunct/>
              <w:autoSpaceDE/>
              <w:autoSpaceDN/>
              <w:adjustRightInd/>
              <w:spacing w:line="240" w:lineRule="auto"/>
              <w:jc w:val="center"/>
              <w:textAlignment w:val="auto"/>
              <w:rPr>
                <w:rFonts w:ascii="Arial" w:hAnsi="Arial" w:cs="Arial"/>
                <w:sz w:val="20"/>
                <w:lang w:val="en-US"/>
              </w:rPr>
            </w:pPr>
            <w:r w:rsidRPr="004953A2">
              <w:rPr>
                <w:rFonts w:ascii="Arial" w:hAnsi="Arial" w:cs="Arial"/>
                <w:sz w:val="20"/>
                <w:lang w:val="en-US"/>
              </w:rPr>
              <w:t> </w:t>
            </w:r>
          </w:p>
        </w:tc>
        <w:tc>
          <w:tcPr>
            <w:tcW w:w="264" w:type="dxa"/>
            <w:tcBorders>
              <w:top w:val="single" w:sz="4" w:space="0" w:color="auto"/>
              <w:left w:val="nil"/>
              <w:bottom w:val="nil"/>
              <w:right w:val="nil"/>
            </w:tcBorders>
            <w:shd w:val="clear" w:color="auto" w:fill="auto"/>
            <w:noWrap/>
            <w:hideMark/>
          </w:tcPr>
          <w:p w:rsidR="004953A2" w:rsidRPr="004953A2" w:rsidRDefault="004953A2" w:rsidP="004953A2">
            <w:pPr>
              <w:overflowPunct/>
              <w:autoSpaceDE/>
              <w:autoSpaceDN/>
              <w:adjustRightInd/>
              <w:spacing w:line="240" w:lineRule="auto"/>
              <w:textAlignment w:val="auto"/>
              <w:rPr>
                <w:rFonts w:ascii="Arial" w:hAnsi="Arial" w:cs="Arial"/>
                <w:sz w:val="20"/>
                <w:lang w:val="en-US"/>
              </w:rPr>
            </w:pPr>
            <w:r w:rsidRPr="004953A2">
              <w:rPr>
                <w:rFonts w:ascii="Arial" w:hAnsi="Arial" w:cs="Arial"/>
                <w:sz w:val="20"/>
                <w:lang w:val="en-US"/>
              </w:rPr>
              <w:t> </w:t>
            </w:r>
          </w:p>
        </w:tc>
        <w:tc>
          <w:tcPr>
            <w:tcW w:w="964" w:type="dxa"/>
            <w:tcBorders>
              <w:top w:val="single" w:sz="4" w:space="0" w:color="auto"/>
              <w:left w:val="nil"/>
              <w:bottom w:val="nil"/>
              <w:right w:val="single" w:sz="4" w:space="0" w:color="auto"/>
            </w:tcBorders>
            <w:shd w:val="clear" w:color="auto" w:fill="auto"/>
            <w:noWrap/>
            <w:hideMark/>
          </w:tcPr>
          <w:p w:rsidR="004953A2" w:rsidRPr="004953A2" w:rsidRDefault="004953A2" w:rsidP="004953A2">
            <w:pPr>
              <w:overflowPunct/>
              <w:autoSpaceDE/>
              <w:autoSpaceDN/>
              <w:adjustRightInd/>
              <w:spacing w:line="240" w:lineRule="auto"/>
              <w:jc w:val="center"/>
              <w:textAlignment w:val="auto"/>
              <w:rPr>
                <w:rFonts w:ascii="Arial" w:hAnsi="Arial" w:cs="Arial"/>
                <w:sz w:val="20"/>
                <w:lang w:val="en-US"/>
              </w:rPr>
            </w:pPr>
            <w:r w:rsidRPr="004953A2">
              <w:rPr>
                <w:rFonts w:ascii="Arial" w:hAnsi="Arial" w:cs="Arial"/>
                <w:sz w:val="20"/>
                <w:lang w:val="en-US"/>
              </w:rPr>
              <w:t>Total</w:t>
            </w:r>
          </w:p>
        </w:tc>
      </w:tr>
      <w:tr w:rsidR="004953A2" w:rsidRPr="004953A2" w:rsidTr="004953A2">
        <w:trPr>
          <w:trHeight w:val="152"/>
        </w:trPr>
        <w:tc>
          <w:tcPr>
            <w:tcW w:w="3737" w:type="dxa"/>
            <w:tcBorders>
              <w:top w:val="nil"/>
              <w:left w:val="single" w:sz="4" w:space="0" w:color="auto"/>
              <w:bottom w:val="nil"/>
              <w:right w:val="nil"/>
            </w:tcBorders>
            <w:shd w:val="clear" w:color="auto" w:fill="auto"/>
            <w:noWrap/>
            <w:hideMark/>
          </w:tcPr>
          <w:p w:rsidR="004953A2" w:rsidRPr="004953A2" w:rsidRDefault="004953A2" w:rsidP="004953A2">
            <w:pPr>
              <w:overflowPunct/>
              <w:autoSpaceDE/>
              <w:autoSpaceDN/>
              <w:adjustRightInd/>
              <w:spacing w:line="240" w:lineRule="auto"/>
              <w:textAlignment w:val="auto"/>
              <w:rPr>
                <w:rFonts w:ascii="Arial" w:hAnsi="Arial" w:cs="Arial"/>
                <w:sz w:val="20"/>
                <w:lang w:val="en-US"/>
              </w:rPr>
            </w:pPr>
            <w:r w:rsidRPr="004953A2">
              <w:rPr>
                <w:rFonts w:ascii="Arial" w:hAnsi="Arial" w:cs="Arial"/>
                <w:sz w:val="20"/>
                <w:lang w:val="en-US"/>
              </w:rPr>
              <w:t> </w:t>
            </w:r>
          </w:p>
        </w:tc>
        <w:tc>
          <w:tcPr>
            <w:tcW w:w="964" w:type="dxa"/>
            <w:tcBorders>
              <w:top w:val="nil"/>
              <w:left w:val="nil"/>
              <w:bottom w:val="nil"/>
              <w:right w:val="nil"/>
            </w:tcBorders>
            <w:shd w:val="clear" w:color="auto" w:fill="auto"/>
            <w:noWrap/>
            <w:hideMark/>
          </w:tcPr>
          <w:p w:rsidR="004953A2" w:rsidRPr="004953A2" w:rsidRDefault="004953A2" w:rsidP="004953A2">
            <w:pPr>
              <w:overflowPunct/>
              <w:autoSpaceDE/>
              <w:autoSpaceDN/>
              <w:adjustRightInd/>
              <w:spacing w:line="240" w:lineRule="auto"/>
              <w:jc w:val="center"/>
              <w:textAlignment w:val="auto"/>
              <w:rPr>
                <w:rFonts w:ascii="Arial" w:hAnsi="Arial" w:cs="Arial"/>
                <w:sz w:val="20"/>
                <w:lang w:val="en-US"/>
              </w:rPr>
            </w:pPr>
            <w:r w:rsidRPr="004953A2">
              <w:rPr>
                <w:rFonts w:ascii="Arial" w:hAnsi="Arial" w:cs="Arial"/>
                <w:sz w:val="20"/>
                <w:lang w:val="en-US"/>
              </w:rPr>
              <w:t>shares</w:t>
            </w:r>
          </w:p>
        </w:tc>
        <w:tc>
          <w:tcPr>
            <w:tcW w:w="264" w:type="dxa"/>
            <w:tcBorders>
              <w:top w:val="nil"/>
              <w:left w:val="nil"/>
              <w:bottom w:val="nil"/>
              <w:right w:val="nil"/>
            </w:tcBorders>
            <w:shd w:val="clear" w:color="auto" w:fill="auto"/>
            <w:noWrap/>
            <w:hideMark/>
          </w:tcPr>
          <w:p w:rsidR="004953A2" w:rsidRPr="004953A2" w:rsidRDefault="004953A2" w:rsidP="004953A2">
            <w:pPr>
              <w:overflowPunct/>
              <w:autoSpaceDE/>
              <w:autoSpaceDN/>
              <w:adjustRightInd/>
              <w:spacing w:line="240" w:lineRule="auto"/>
              <w:jc w:val="center"/>
              <w:textAlignment w:val="auto"/>
              <w:rPr>
                <w:rFonts w:ascii="Arial" w:hAnsi="Arial" w:cs="Arial"/>
                <w:sz w:val="20"/>
                <w:lang w:val="en-US"/>
              </w:rPr>
            </w:pPr>
          </w:p>
        </w:tc>
        <w:tc>
          <w:tcPr>
            <w:tcW w:w="1102" w:type="dxa"/>
            <w:tcBorders>
              <w:top w:val="nil"/>
              <w:left w:val="nil"/>
              <w:bottom w:val="nil"/>
              <w:right w:val="nil"/>
            </w:tcBorders>
            <w:shd w:val="clear" w:color="auto" w:fill="auto"/>
            <w:noWrap/>
            <w:hideMark/>
          </w:tcPr>
          <w:p w:rsidR="004953A2" w:rsidRPr="004953A2" w:rsidRDefault="004953A2" w:rsidP="004953A2">
            <w:pPr>
              <w:overflowPunct/>
              <w:autoSpaceDE/>
              <w:autoSpaceDN/>
              <w:adjustRightInd/>
              <w:spacing w:line="240" w:lineRule="auto"/>
              <w:jc w:val="center"/>
              <w:textAlignment w:val="auto"/>
              <w:rPr>
                <w:rFonts w:ascii="Arial" w:hAnsi="Arial" w:cs="Arial"/>
                <w:sz w:val="20"/>
                <w:lang w:val="en-US"/>
              </w:rPr>
            </w:pPr>
            <w:r w:rsidRPr="004953A2">
              <w:rPr>
                <w:rFonts w:ascii="Arial" w:hAnsi="Arial" w:cs="Arial"/>
                <w:sz w:val="20"/>
                <w:lang w:val="en-US"/>
              </w:rPr>
              <w:t>earnings</w:t>
            </w:r>
          </w:p>
        </w:tc>
        <w:tc>
          <w:tcPr>
            <w:tcW w:w="264" w:type="dxa"/>
            <w:tcBorders>
              <w:top w:val="nil"/>
              <w:left w:val="nil"/>
              <w:bottom w:val="nil"/>
              <w:right w:val="nil"/>
            </w:tcBorders>
            <w:shd w:val="clear" w:color="auto" w:fill="auto"/>
            <w:noWrap/>
            <w:hideMark/>
          </w:tcPr>
          <w:p w:rsidR="004953A2" w:rsidRPr="004953A2" w:rsidRDefault="004953A2" w:rsidP="004953A2">
            <w:pPr>
              <w:overflowPunct/>
              <w:autoSpaceDE/>
              <w:autoSpaceDN/>
              <w:adjustRightInd/>
              <w:spacing w:line="240" w:lineRule="auto"/>
              <w:jc w:val="center"/>
              <w:textAlignment w:val="auto"/>
              <w:rPr>
                <w:rFonts w:ascii="Arial" w:hAnsi="Arial" w:cs="Arial"/>
                <w:sz w:val="20"/>
                <w:lang w:val="en-US"/>
              </w:rPr>
            </w:pPr>
          </w:p>
        </w:tc>
        <w:tc>
          <w:tcPr>
            <w:tcW w:w="1194" w:type="dxa"/>
            <w:tcBorders>
              <w:top w:val="nil"/>
              <w:left w:val="nil"/>
              <w:bottom w:val="nil"/>
              <w:right w:val="nil"/>
            </w:tcBorders>
            <w:shd w:val="clear" w:color="auto" w:fill="auto"/>
            <w:noWrap/>
            <w:hideMark/>
          </w:tcPr>
          <w:p w:rsidR="004953A2" w:rsidRPr="004953A2" w:rsidRDefault="004953A2" w:rsidP="004953A2">
            <w:pPr>
              <w:overflowPunct/>
              <w:autoSpaceDE/>
              <w:autoSpaceDN/>
              <w:adjustRightInd/>
              <w:spacing w:line="240" w:lineRule="auto"/>
              <w:jc w:val="center"/>
              <w:textAlignment w:val="auto"/>
              <w:rPr>
                <w:rFonts w:ascii="Arial" w:hAnsi="Arial" w:cs="Arial"/>
                <w:sz w:val="20"/>
                <w:lang w:val="en-US"/>
              </w:rPr>
            </w:pPr>
            <w:r w:rsidRPr="004953A2">
              <w:rPr>
                <w:rFonts w:ascii="Arial" w:hAnsi="Arial" w:cs="Arial"/>
                <w:sz w:val="20"/>
                <w:lang w:val="en-US"/>
              </w:rPr>
              <w:t>for the year</w:t>
            </w:r>
          </w:p>
        </w:tc>
        <w:tc>
          <w:tcPr>
            <w:tcW w:w="264" w:type="dxa"/>
            <w:tcBorders>
              <w:top w:val="nil"/>
              <w:left w:val="nil"/>
              <w:bottom w:val="nil"/>
              <w:right w:val="nil"/>
            </w:tcBorders>
            <w:shd w:val="clear" w:color="auto" w:fill="auto"/>
            <w:noWrap/>
            <w:hideMark/>
          </w:tcPr>
          <w:p w:rsidR="004953A2" w:rsidRPr="004953A2" w:rsidRDefault="004953A2" w:rsidP="004953A2">
            <w:pPr>
              <w:overflowPunct/>
              <w:autoSpaceDE/>
              <w:autoSpaceDN/>
              <w:adjustRightInd/>
              <w:spacing w:line="240" w:lineRule="auto"/>
              <w:jc w:val="center"/>
              <w:textAlignment w:val="auto"/>
              <w:rPr>
                <w:rFonts w:ascii="Arial" w:hAnsi="Arial" w:cs="Arial"/>
                <w:sz w:val="20"/>
                <w:lang w:val="en-US"/>
              </w:rPr>
            </w:pPr>
          </w:p>
        </w:tc>
        <w:tc>
          <w:tcPr>
            <w:tcW w:w="264" w:type="dxa"/>
            <w:tcBorders>
              <w:top w:val="nil"/>
              <w:left w:val="nil"/>
              <w:bottom w:val="nil"/>
              <w:right w:val="nil"/>
            </w:tcBorders>
            <w:shd w:val="clear" w:color="auto" w:fill="auto"/>
            <w:noWrap/>
            <w:vAlign w:val="bottom"/>
            <w:hideMark/>
          </w:tcPr>
          <w:p w:rsidR="004953A2" w:rsidRPr="004953A2" w:rsidRDefault="004953A2" w:rsidP="004953A2">
            <w:pPr>
              <w:overflowPunct/>
              <w:autoSpaceDE/>
              <w:autoSpaceDN/>
              <w:adjustRightInd/>
              <w:spacing w:line="240" w:lineRule="auto"/>
              <w:textAlignment w:val="auto"/>
              <w:rPr>
                <w:rFonts w:ascii="Arial" w:hAnsi="Arial" w:cs="Arial"/>
                <w:sz w:val="20"/>
                <w:lang w:val="en-US"/>
              </w:rPr>
            </w:pPr>
          </w:p>
        </w:tc>
        <w:tc>
          <w:tcPr>
            <w:tcW w:w="964" w:type="dxa"/>
            <w:tcBorders>
              <w:top w:val="nil"/>
              <w:left w:val="nil"/>
              <w:bottom w:val="nil"/>
              <w:right w:val="single" w:sz="4" w:space="0" w:color="auto"/>
            </w:tcBorders>
            <w:shd w:val="clear" w:color="auto" w:fill="auto"/>
            <w:noWrap/>
            <w:hideMark/>
          </w:tcPr>
          <w:p w:rsidR="004953A2" w:rsidRPr="004953A2" w:rsidRDefault="004953A2" w:rsidP="004953A2">
            <w:pPr>
              <w:overflowPunct/>
              <w:autoSpaceDE/>
              <w:autoSpaceDN/>
              <w:adjustRightInd/>
              <w:spacing w:line="240" w:lineRule="auto"/>
              <w:jc w:val="center"/>
              <w:textAlignment w:val="auto"/>
              <w:rPr>
                <w:rFonts w:ascii="Arial" w:hAnsi="Arial" w:cs="Arial"/>
                <w:sz w:val="20"/>
                <w:lang w:val="en-US"/>
              </w:rPr>
            </w:pPr>
            <w:r w:rsidRPr="004953A2">
              <w:rPr>
                <w:rFonts w:ascii="Arial" w:hAnsi="Arial" w:cs="Arial"/>
                <w:sz w:val="20"/>
                <w:lang w:val="en-US"/>
              </w:rPr>
              <w:t> </w:t>
            </w:r>
          </w:p>
        </w:tc>
      </w:tr>
      <w:tr w:rsidR="004953A2" w:rsidRPr="004953A2" w:rsidTr="004953A2">
        <w:trPr>
          <w:trHeight w:val="152"/>
        </w:trPr>
        <w:tc>
          <w:tcPr>
            <w:tcW w:w="3737" w:type="dxa"/>
            <w:tcBorders>
              <w:top w:val="nil"/>
              <w:left w:val="single" w:sz="4" w:space="0" w:color="auto"/>
              <w:bottom w:val="single" w:sz="4" w:space="0" w:color="auto"/>
              <w:right w:val="nil"/>
            </w:tcBorders>
            <w:shd w:val="clear" w:color="auto" w:fill="auto"/>
            <w:noWrap/>
            <w:vAlign w:val="bottom"/>
            <w:hideMark/>
          </w:tcPr>
          <w:p w:rsidR="004953A2" w:rsidRPr="004953A2" w:rsidRDefault="004953A2" w:rsidP="004953A2">
            <w:pPr>
              <w:overflowPunct/>
              <w:autoSpaceDE/>
              <w:autoSpaceDN/>
              <w:adjustRightInd/>
              <w:spacing w:line="240" w:lineRule="auto"/>
              <w:textAlignment w:val="auto"/>
              <w:rPr>
                <w:rFonts w:ascii="Arial" w:hAnsi="Arial" w:cs="Arial"/>
                <w:i/>
                <w:iCs/>
                <w:sz w:val="20"/>
                <w:lang w:val="en-US"/>
              </w:rPr>
            </w:pPr>
            <w:r w:rsidRPr="004953A2">
              <w:rPr>
                <w:rFonts w:ascii="Arial" w:hAnsi="Arial" w:cs="Arial"/>
                <w:i/>
                <w:iCs/>
                <w:sz w:val="20"/>
                <w:lang w:val="en-US"/>
              </w:rPr>
              <w:t> </w:t>
            </w:r>
          </w:p>
        </w:tc>
        <w:tc>
          <w:tcPr>
            <w:tcW w:w="964" w:type="dxa"/>
            <w:tcBorders>
              <w:top w:val="nil"/>
              <w:left w:val="nil"/>
              <w:bottom w:val="single" w:sz="4" w:space="0" w:color="auto"/>
              <w:right w:val="nil"/>
            </w:tcBorders>
            <w:shd w:val="clear" w:color="auto" w:fill="auto"/>
            <w:hideMark/>
          </w:tcPr>
          <w:p w:rsidR="004953A2" w:rsidRPr="004953A2" w:rsidRDefault="004953A2" w:rsidP="004953A2">
            <w:pPr>
              <w:overflowPunct/>
              <w:autoSpaceDE/>
              <w:autoSpaceDN/>
              <w:adjustRightInd/>
              <w:spacing w:line="240" w:lineRule="auto"/>
              <w:jc w:val="center"/>
              <w:textAlignment w:val="auto"/>
              <w:rPr>
                <w:rFonts w:ascii="Arial" w:hAnsi="Arial" w:cs="Arial"/>
                <w:sz w:val="20"/>
                <w:lang w:val="en-US"/>
              </w:rPr>
            </w:pPr>
            <w:r w:rsidRPr="004953A2">
              <w:rPr>
                <w:rFonts w:ascii="Arial" w:hAnsi="Arial" w:cs="Arial"/>
                <w:sz w:val="20"/>
                <w:lang w:val="en-US"/>
              </w:rPr>
              <w:t> </w:t>
            </w:r>
          </w:p>
        </w:tc>
        <w:tc>
          <w:tcPr>
            <w:tcW w:w="264" w:type="dxa"/>
            <w:tcBorders>
              <w:top w:val="nil"/>
              <w:left w:val="nil"/>
              <w:bottom w:val="nil"/>
              <w:right w:val="nil"/>
            </w:tcBorders>
            <w:shd w:val="clear" w:color="auto" w:fill="auto"/>
            <w:hideMark/>
          </w:tcPr>
          <w:p w:rsidR="004953A2" w:rsidRPr="004953A2" w:rsidRDefault="004953A2" w:rsidP="004953A2">
            <w:pPr>
              <w:overflowPunct/>
              <w:autoSpaceDE/>
              <w:autoSpaceDN/>
              <w:adjustRightInd/>
              <w:spacing w:line="240" w:lineRule="auto"/>
              <w:jc w:val="center"/>
              <w:textAlignment w:val="auto"/>
              <w:rPr>
                <w:rFonts w:ascii="Arial" w:hAnsi="Arial" w:cs="Arial"/>
                <w:sz w:val="20"/>
                <w:lang w:val="en-US"/>
              </w:rPr>
            </w:pPr>
          </w:p>
        </w:tc>
        <w:tc>
          <w:tcPr>
            <w:tcW w:w="1102" w:type="dxa"/>
            <w:tcBorders>
              <w:top w:val="nil"/>
              <w:left w:val="nil"/>
              <w:bottom w:val="single" w:sz="4" w:space="0" w:color="auto"/>
              <w:right w:val="nil"/>
            </w:tcBorders>
            <w:shd w:val="clear" w:color="auto" w:fill="auto"/>
            <w:noWrap/>
            <w:hideMark/>
          </w:tcPr>
          <w:p w:rsidR="004953A2" w:rsidRPr="004953A2" w:rsidRDefault="004953A2" w:rsidP="004953A2">
            <w:pPr>
              <w:overflowPunct/>
              <w:autoSpaceDE/>
              <w:autoSpaceDN/>
              <w:adjustRightInd/>
              <w:spacing w:line="240" w:lineRule="auto"/>
              <w:textAlignment w:val="auto"/>
              <w:rPr>
                <w:rFonts w:ascii="Arial" w:hAnsi="Arial" w:cs="Arial"/>
                <w:sz w:val="20"/>
                <w:lang w:val="en-US"/>
              </w:rPr>
            </w:pPr>
            <w:r w:rsidRPr="004953A2">
              <w:rPr>
                <w:rFonts w:ascii="Arial" w:hAnsi="Arial" w:cs="Arial"/>
                <w:sz w:val="20"/>
                <w:lang w:val="en-US"/>
              </w:rPr>
              <w:t> </w:t>
            </w:r>
          </w:p>
        </w:tc>
        <w:tc>
          <w:tcPr>
            <w:tcW w:w="264" w:type="dxa"/>
            <w:tcBorders>
              <w:top w:val="nil"/>
              <w:left w:val="nil"/>
              <w:bottom w:val="nil"/>
              <w:right w:val="nil"/>
            </w:tcBorders>
            <w:shd w:val="clear" w:color="auto" w:fill="auto"/>
            <w:noWrap/>
            <w:hideMark/>
          </w:tcPr>
          <w:p w:rsidR="004953A2" w:rsidRPr="004953A2" w:rsidRDefault="004953A2" w:rsidP="004953A2">
            <w:pPr>
              <w:overflowPunct/>
              <w:autoSpaceDE/>
              <w:autoSpaceDN/>
              <w:adjustRightInd/>
              <w:spacing w:line="240" w:lineRule="auto"/>
              <w:textAlignment w:val="auto"/>
              <w:rPr>
                <w:rFonts w:ascii="Arial" w:hAnsi="Arial" w:cs="Arial"/>
                <w:sz w:val="20"/>
                <w:lang w:val="en-US"/>
              </w:rPr>
            </w:pPr>
          </w:p>
        </w:tc>
        <w:tc>
          <w:tcPr>
            <w:tcW w:w="1194" w:type="dxa"/>
            <w:tcBorders>
              <w:top w:val="nil"/>
              <w:left w:val="nil"/>
              <w:bottom w:val="single" w:sz="4" w:space="0" w:color="auto"/>
              <w:right w:val="nil"/>
            </w:tcBorders>
            <w:shd w:val="clear" w:color="auto" w:fill="auto"/>
            <w:noWrap/>
            <w:vAlign w:val="bottom"/>
            <w:hideMark/>
          </w:tcPr>
          <w:p w:rsidR="004953A2" w:rsidRPr="004953A2" w:rsidRDefault="004953A2" w:rsidP="004953A2">
            <w:pPr>
              <w:overflowPunct/>
              <w:autoSpaceDE/>
              <w:autoSpaceDN/>
              <w:adjustRightInd/>
              <w:spacing w:line="240" w:lineRule="auto"/>
              <w:textAlignment w:val="auto"/>
              <w:rPr>
                <w:rFonts w:ascii="Arial" w:hAnsi="Arial" w:cs="Arial"/>
                <w:sz w:val="20"/>
                <w:lang w:val="en-US"/>
              </w:rPr>
            </w:pPr>
            <w:r w:rsidRPr="004953A2">
              <w:rPr>
                <w:rFonts w:ascii="Arial" w:hAnsi="Arial" w:cs="Arial"/>
                <w:sz w:val="20"/>
                <w:lang w:val="en-US"/>
              </w:rPr>
              <w:t> </w:t>
            </w:r>
          </w:p>
        </w:tc>
        <w:tc>
          <w:tcPr>
            <w:tcW w:w="264" w:type="dxa"/>
            <w:tcBorders>
              <w:top w:val="nil"/>
              <w:left w:val="nil"/>
              <w:bottom w:val="nil"/>
              <w:right w:val="nil"/>
            </w:tcBorders>
            <w:shd w:val="clear" w:color="auto" w:fill="auto"/>
            <w:noWrap/>
            <w:vAlign w:val="bottom"/>
            <w:hideMark/>
          </w:tcPr>
          <w:p w:rsidR="004953A2" w:rsidRPr="004953A2" w:rsidRDefault="004953A2" w:rsidP="004953A2">
            <w:pPr>
              <w:overflowPunct/>
              <w:autoSpaceDE/>
              <w:autoSpaceDN/>
              <w:adjustRightInd/>
              <w:spacing w:line="240" w:lineRule="auto"/>
              <w:textAlignment w:val="auto"/>
              <w:rPr>
                <w:rFonts w:ascii="Arial" w:hAnsi="Arial" w:cs="Arial"/>
                <w:sz w:val="20"/>
                <w:lang w:val="en-US"/>
              </w:rPr>
            </w:pPr>
          </w:p>
        </w:tc>
        <w:tc>
          <w:tcPr>
            <w:tcW w:w="264" w:type="dxa"/>
            <w:tcBorders>
              <w:top w:val="nil"/>
              <w:left w:val="nil"/>
              <w:bottom w:val="nil"/>
              <w:right w:val="nil"/>
            </w:tcBorders>
            <w:shd w:val="clear" w:color="auto" w:fill="auto"/>
            <w:noWrap/>
            <w:vAlign w:val="bottom"/>
            <w:hideMark/>
          </w:tcPr>
          <w:p w:rsidR="004953A2" w:rsidRPr="004953A2" w:rsidRDefault="004953A2" w:rsidP="004953A2">
            <w:pPr>
              <w:overflowPunct/>
              <w:autoSpaceDE/>
              <w:autoSpaceDN/>
              <w:adjustRightInd/>
              <w:spacing w:line="240" w:lineRule="auto"/>
              <w:textAlignment w:val="auto"/>
              <w:rPr>
                <w:rFonts w:ascii="Arial" w:hAnsi="Arial" w:cs="Arial"/>
                <w:i/>
                <w:iCs/>
                <w:sz w:val="20"/>
                <w:lang w:val="en-US"/>
              </w:rPr>
            </w:pPr>
          </w:p>
        </w:tc>
        <w:tc>
          <w:tcPr>
            <w:tcW w:w="964" w:type="dxa"/>
            <w:tcBorders>
              <w:top w:val="nil"/>
              <w:left w:val="nil"/>
              <w:bottom w:val="single" w:sz="4" w:space="0" w:color="auto"/>
              <w:right w:val="single" w:sz="4" w:space="0" w:color="auto"/>
            </w:tcBorders>
            <w:shd w:val="clear" w:color="auto" w:fill="auto"/>
            <w:noWrap/>
            <w:vAlign w:val="bottom"/>
            <w:hideMark/>
          </w:tcPr>
          <w:p w:rsidR="004953A2" w:rsidRPr="004953A2" w:rsidRDefault="004953A2" w:rsidP="004953A2">
            <w:pPr>
              <w:overflowPunct/>
              <w:autoSpaceDE/>
              <w:autoSpaceDN/>
              <w:adjustRightInd/>
              <w:spacing w:line="240" w:lineRule="auto"/>
              <w:textAlignment w:val="auto"/>
              <w:rPr>
                <w:rFonts w:ascii="Arial" w:hAnsi="Arial" w:cs="Arial"/>
                <w:sz w:val="20"/>
                <w:lang w:val="en-US"/>
              </w:rPr>
            </w:pPr>
            <w:r w:rsidRPr="004953A2">
              <w:rPr>
                <w:rFonts w:ascii="Arial" w:hAnsi="Arial" w:cs="Arial"/>
                <w:sz w:val="20"/>
                <w:lang w:val="en-US"/>
              </w:rPr>
              <w:t> </w:t>
            </w:r>
          </w:p>
        </w:tc>
      </w:tr>
      <w:tr w:rsidR="004953A2" w:rsidRPr="004953A2" w:rsidTr="004953A2">
        <w:trPr>
          <w:trHeight w:val="152"/>
        </w:trPr>
        <w:tc>
          <w:tcPr>
            <w:tcW w:w="3737" w:type="dxa"/>
            <w:tcBorders>
              <w:top w:val="nil"/>
              <w:left w:val="single" w:sz="4" w:space="0" w:color="auto"/>
              <w:bottom w:val="nil"/>
              <w:right w:val="nil"/>
            </w:tcBorders>
            <w:shd w:val="clear" w:color="auto" w:fill="auto"/>
            <w:hideMark/>
          </w:tcPr>
          <w:p w:rsidR="004953A2" w:rsidRPr="004953A2" w:rsidRDefault="004953A2" w:rsidP="004953A2">
            <w:pPr>
              <w:overflowPunct/>
              <w:autoSpaceDE/>
              <w:autoSpaceDN/>
              <w:adjustRightInd/>
              <w:spacing w:line="240" w:lineRule="auto"/>
              <w:textAlignment w:val="auto"/>
              <w:rPr>
                <w:rFonts w:ascii="Arial" w:hAnsi="Arial" w:cs="Arial"/>
                <w:sz w:val="16"/>
                <w:szCs w:val="16"/>
                <w:lang w:val="en-US"/>
              </w:rPr>
            </w:pPr>
            <w:r w:rsidRPr="004953A2">
              <w:rPr>
                <w:rFonts w:ascii="Arial" w:hAnsi="Arial" w:cs="Arial"/>
                <w:sz w:val="16"/>
                <w:szCs w:val="16"/>
                <w:lang w:val="en-US"/>
              </w:rPr>
              <w:t>(in thousands of USD)</w:t>
            </w:r>
          </w:p>
        </w:tc>
        <w:tc>
          <w:tcPr>
            <w:tcW w:w="964" w:type="dxa"/>
            <w:tcBorders>
              <w:top w:val="nil"/>
              <w:left w:val="nil"/>
              <w:bottom w:val="nil"/>
              <w:right w:val="nil"/>
            </w:tcBorders>
            <w:shd w:val="clear" w:color="auto" w:fill="auto"/>
            <w:noWrap/>
            <w:hideMark/>
          </w:tcPr>
          <w:p w:rsidR="004953A2" w:rsidRPr="004953A2" w:rsidRDefault="004953A2" w:rsidP="004953A2">
            <w:pPr>
              <w:overflowPunct/>
              <w:autoSpaceDE/>
              <w:autoSpaceDN/>
              <w:adjustRightInd/>
              <w:spacing w:line="240" w:lineRule="auto"/>
              <w:textAlignment w:val="auto"/>
              <w:rPr>
                <w:rFonts w:ascii="Arial" w:hAnsi="Arial" w:cs="Arial"/>
                <w:sz w:val="20"/>
                <w:lang w:val="en-US"/>
              </w:rPr>
            </w:pPr>
          </w:p>
        </w:tc>
        <w:tc>
          <w:tcPr>
            <w:tcW w:w="264" w:type="dxa"/>
            <w:tcBorders>
              <w:top w:val="nil"/>
              <w:left w:val="nil"/>
              <w:bottom w:val="nil"/>
              <w:right w:val="nil"/>
            </w:tcBorders>
            <w:shd w:val="clear" w:color="auto" w:fill="auto"/>
            <w:noWrap/>
            <w:hideMark/>
          </w:tcPr>
          <w:p w:rsidR="004953A2" w:rsidRPr="004953A2" w:rsidRDefault="004953A2" w:rsidP="004953A2">
            <w:pPr>
              <w:overflowPunct/>
              <w:autoSpaceDE/>
              <w:autoSpaceDN/>
              <w:adjustRightInd/>
              <w:spacing w:line="240" w:lineRule="auto"/>
              <w:textAlignment w:val="auto"/>
              <w:rPr>
                <w:rFonts w:ascii="Arial" w:hAnsi="Arial" w:cs="Arial"/>
                <w:sz w:val="20"/>
                <w:lang w:val="en-US"/>
              </w:rPr>
            </w:pPr>
          </w:p>
        </w:tc>
        <w:tc>
          <w:tcPr>
            <w:tcW w:w="1102" w:type="dxa"/>
            <w:tcBorders>
              <w:top w:val="nil"/>
              <w:left w:val="nil"/>
              <w:bottom w:val="nil"/>
              <w:right w:val="nil"/>
            </w:tcBorders>
            <w:shd w:val="clear" w:color="auto" w:fill="auto"/>
            <w:noWrap/>
            <w:hideMark/>
          </w:tcPr>
          <w:p w:rsidR="004953A2" w:rsidRPr="004953A2" w:rsidRDefault="004953A2" w:rsidP="004953A2">
            <w:pPr>
              <w:overflowPunct/>
              <w:autoSpaceDE/>
              <w:autoSpaceDN/>
              <w:adjustRightInd/>
              <w:spacing w:line="240" w:lineRule="auto"/>
              <w:textAlignment w:val="auto"/>
              <w:rPr>
                <w:rFonts w:ascii="Arial" w:hAnsi="Arial" w:cs="Arial"/>
                <w:sz w:val="20"/>
                <w:lang w:val="en-US"/>
              </w:rPr>
            </w:pPr>
          </w:p>
        </w:tc>
        <w:tc>
          <w:tcPr>
            <w:tcW w:w="264" w:type="dxa"/>
            <w:tcBorders>
              <w:top w:val="nil"/>
              <w:left w:val="nil"/>
              <w:bottom w:val="nil"/>
              <w:right w:val="nil"/>
            </w:tcBorders>
            <w:shd w:val="clear" w:color="auto" w:fill="auto"/>
            <w:noWrap/>
            <w:hideMark/>
          </w:tcPr>
          <w:p w:rsidR="004953A2" w:rsidRPr="004953A2" w:rsidRDefault="004953A2" w:rsidP="004953A2">
            <w:pPr>
              <w:overflowPunct/>
              <w:autoSpaceDE/>
              <w:autoSpaceDN/>
              <w:adjustRightInd/>
              <w:spacing w:line="240" w:lineRule="auto"/>
              <w:textAlignment w:val="auto"/>
              <w:rPr>
                <w:rFonts w:ascii="Arial" w:hAnsi="Arial" w:cs="Arial"/>
                <w:sz w:val="20"/>
                <w:lang w:val="en-US"/>
              </w:rPr>
            </w:pPr>
          </w:p>
        </w:tc>
        <w:tc>
          <w:tcPr>
            <w:tcW w:w="1194" w:type="dxa"/>
            <w:tcBorders>
              <w:top w:val="nil"/>
              <w:left w:val="nil"/>
              <w:bottom w:val="nil"/>
              <w:right w:val="nil"/>
            </w:tcBorders>
            <w:shd w:val="clear" w:color="auto" w:fill="auto"/>
            <w:noWrap/>
            <w:hideMark/>
          </w:tcPr>
          <w:p w:rsidR="004953A2" w:rsidRPr="004953A2" w:rsidRDefault="004953A2" w:rsidP="004953A2">
            <w:pPr>
              <w:overflowPunct/>
              <w:autoSpaceDE/>
              <w:autoSpaceDN/>
              <w:adjustRightInd/>
              <w:spacing w:line="240" w:lineRule="auto"/>
              <w:textAlignment w:val="auto"/>
              <w:rPr>
                <w:rFonts w:ascii="Arial" w:hAnsi="Arial" w:cs="Arial"/>
                <w:sz w:val="20"/>
                <w:lang w:val="en-US"/>
              </w:rPr>
            </w:pPr>
          </w:p>
        </w:tc>
        <w:tc>
          <w:tcPr>
            <w:tcW w:w="264" w:type="dxa"/>
            <w:tcBorders>
              <w:top w:val="nil"/>
              <w:left w:val="nil"/>
              <w:bottom w:val="nil"/>
              <w:right w:val="nil"/>
            </w:tcBorders>
            <w:shd w:val="clear" w:color="auto" w:fill="auto"/>
            <w:noWrap/>
            <w:vAlign w:val="bottom"/>
            <w:hideMark/>
          </w:tcPr>
          <w:p w:rsidR="004953A2" w:rsidRPr="004953A2" w:rsidRDefault="004953A2" w:rsidP="004953A2">
            <w:pPr>
              <w:overflowPunct/>
              <w:autoSpaceDE/>
              <w:autoSpaceDN/>
              <w:adjustRightInd/>
              <w:spacing w:line="240" w:lineRule="auto"/>
              <w:textAlignment w:val="auto"/>
              <w:rPr>
                <w:rFonts w:ascii="Arial" w:hAnsi="Arial" w:cs="Arial"/>
                <w:sz w:val="20"/>
                <w:lang w:val="en-US"/>
              </w:rPr>
            </w:pPr>
          </w:p>
        </w:tc>
        <w:tc>
          <w:tcPr>
            <w:tcW w:w="264" w:type="dxa"/>
            <w:tcBorders>
              <w:top w:val="nil"/>
              <w:left w:val="nil"/>
              <w:bottom w:val="nil"/>
              <w:right w:val="nil"/>
            </w:tcBorders>
            <w:shd w:val="clear" w:color="auto" w:fill="auto"/>
            <w:noWrap/>
            <w:vAlign w:val="bottom"/>
            <w:hideMark/>
          </w:tcPr>
          <w:p w:rsidR="004953A2" w:rsidRPr="004953A2" w:rsidRDefault="004953A2" w:rsidP="004953A2">
            <w:pPr>
              <w:overflowPunct/>
              <w:autoSpaceDE/>
              <w:autoSpaceDN/>
              <w:adjustRightInd/>
              <w:spacing w:line="240" w:lineRule="auto"/>
              <w:textAlignment w:val="auto"/>
              <w:rPr>
                <w:rFonts w:ascii="Arial" w:hAnsi="Arial" w:cs="Arial"/>
                <w:b/>
                <w:bCs/>
                <w:sz w:val="20"/>
                <w:lang w:val="en-US"/>
              </w:rPr>
            </w:pPr>
          </w:p>
        </w:tc>
        <w:tc>
          <w:tcPr>
            <w:tcW w:w="964" w:type="dxa"/>
            <w:tcBorders>
              <w:top w:val="nil"/>
              <w:left w:val="nil"/>
              <w:bottom w:val="nil"/>
              <w:right w:val="single" w:sz="4" w:space="0" w:color="auto"/>
            </w:tcBorders>
            <w:shd w:val="clear" w:color="auto" w:fill="auto"/>
            <w:noWrap/>
            <w:vAlign w:val="bottom"/>
            <w:hideMark/>
          </w:tcPr>
          <w:p w:rsidR="004953A2" w:rsidRPr="004953A2" w:rsidRDefault="004953A2" w:rsidP="004953A2">
            <w:pPr>
              <w:overflowPunct/>
              <w:autoSpaceDE/>
              <w:autoSpaceDN/>
              <w:adjustRightInd/>
              <w:spacing w:line="240" w:lineRule="auto"/>
              <w:textAlignment w:val="auto"/>
              <w:rPr>
                <w:rFonts w:ascii="Arial" w:hAnsi="Arial" w:cs="Arial"/>
                <w:sz w:val="20"/>
                <w:lang w:val="en-US"/>
              </w:rPr>
            </w:pPr>
            <w:r w:rsidRPr="004953A2">
              <w:rPr>
                <w:rFonts w:ascii="Arial" w:hAnsi="Arial" w:cs="Arial"/>
                <w:sz w:val="20"/>
                <w:lang w:val="en-US"/>
              </w:rPr>
              <w:t> </w:t>
            </w:r>
          </w:p>
        </w:tc>
      </w:tr>
      <w:tr w:rsidR="004953A2" w:rsidRPr="004953A2" w:rsidTr="004953A2">
        <w:trPr>
          <w:trHeight w:val="152"/>
        </w:trPr>
        <w:tc>
          <w:tcPr>
            <w:tcW w:w="3737" w:type="dxa"/>
            <w:tcBorders>
              <w:top w:val="nil"/>
              <w:left w:val="single" w:sz="4" w:space="0" w:color="auto"/>
              <w:bottom w:val="nil"/>
              <w:right w:val="nil"/>
            </w:tcBorders>
            <w:shd w:val="clear" w:color="auto" w:fill="auto"/>
            <w:noWrap/>
            <w:hideMark/>
          </w:tcPr>
          <w:p w:rsidR="004953A2" w:rsidRPr="004953A2" w:rsidRDefault="004953A2" w:rsidP="004953A2">
            <w:pPr>
              <w:overflowPunct/>
              <w:autoSpaceDE/>
              <w:autoSpaceDN/>
              <w:adjustRightInd/>
              <w:spacing w:line="240" w:lineRule="auto"/>
              <w:textAlignment w:val="auto"/>
              <w:rPr>
                <w:rFonts w:ascii="Arial" w:hAnsi="Arial" w:cs="Arial"/>
                <w:sz w:val="20"/>
                <w:lang w:val="en-US"/>
              </w:rPr>
            </w:pPr>
            <w:r w:rsidRPr="004953A2">
              <w:rPr>
                <w:rFonts w:ascii="Arial" w:hAnsi="Arial" w:cs="Arial"/>
                <w:sz w:val="20"/>
                <w:lang w:val="en-US"/>
              </w:rPr>
              <w:t> </w:t>
            </w:r>
          </w:p>
        </w:tc>
        <w:tc>
          <w:tcPr>
            <w:tcW w:w="964" w:type="dxa"/>
            <w:tcBorders>
              <w:top w:val="nil"/>
              <w:left w:val="nil"/>
              <w:bottom w:val="nil"/>
              <w:right w:val="nil"/>
            </w:tcBorders>
            <w:shd w:val="clear" w:color="auto" w:fill="auto"/>
            <w:noWrap/>
            <w:hideMark/>
          </w:tcPr>
          <w:p w:rsidR="004953A2" w:rsidRPr="004953A2" w:rsidRDefault="004953A2" w:rsidP="004953A2">
            <w:pPr>
              <w:overflowPunct/>
              <w:autoSpaceDE/>
              <w:autoSpaceDN/>
              <w:adjustRightInd/>
              <w:spacing w:line="240" w:lineRule="auto"/>
              <w:textAlignment w:val="auto"/>
              <w:rPr>
                <w:rFonts w:ascii="Arial" w:hAnsi="Arial" w:cs="Arial"/>
                <w:sz w:val="20"/>
                <w:lang w:val="en-US"/>
              </w:rPr>
            </w:pPr>
          </w:p>
        </w:tc>
        <w:tc>
          <w:tcPr>
            <w:tcW w:w="264" w:type="dxa"/>
            <w:tcBorders>
              <w:top w:val="nil"/>
              <w:left w:val="nil"/>
              <w:bottom w:val="nil"/>
              <w:right w:val="nil"/>
            </w:tcBorders>
            <w:shd w:val="clear" w:color="auto" w:fill="auto"/>
            <w:noWrap/>
            <w:hideMark/>
          </w:tcPr>
          <w:p w:rsidR="004953A2" w:rsidRPr="004953A2" w:rsidRDefault="004953A2" w:rsidP="004953A2">
            <w:pPr>
              <w:overflowPunct/>
              <w:autoSpaceDE/>
              <w:autoSpaceDN/>
              <w:adjustRightInd/>
              <w:spacing w:line="240" w:lineRule="auto"/>
              <w:textAlignment w:val="auto"/>
              <w:rPr>
                <w:rFonts w:ascii="Arial" w:hAnsi="Arial" w:cs="Arial"/>
                <w:sz w:val="20"/>
                <w:lang w:val="en-US"/>
              </w:rPr>
            </w:pPr>
          </w:p>
        </w:tc>
        <w:tc>
          <w:tcPr>
            <w:tcW w:w="1102" w:type="dxa"/>
            <w:tcBorders>
              <w:top w:val="nil"/>
              <w:left w:val="nil"/>
              <w:bottom w:val="nil"/>
              <w:right w:val="nil"/>
            </w:tcBorders>
            <w:shd w:val="clear" w:color="auto" w:fill="auto"/>
            <w:noWrap/>
            <w:hideMark/>
          </w:tcPr>
          <w:p w:rsidR="004953A2" w:rsidRPr="004953A2" w:rsidRDefault="004953A2" w:rsidP="004953A2">
            <w:pPr>
              <w:overflowPunct/>
              <w:autoSpaceDE/>
              <w:autoSpaceDN/>
              <w:adjustRightInd/>
              <w:spacing w:line="240" w:lineRule="auto"/>
              <w:textAlignment w:val="auto"/>
              <w:rPr>
                <w:rFonts w:ascii="Arial" w:hAnsi="Arial" w:cs="Arial"/>
                <w:sz w:val="20"/>
                <w:lang w:val="en-US"/>
              </w:rPr>
            </w:pPr>
          </w:p>
        </w:tc>
        <w:tc>
          <w:tcPr>
            <w:tcW w:w="264" w:type="dxa"/>
            <w:tcBorders>
              <w:top w:val="nil"/>
              <w:left w:val="nil"/>
              <w:bottom w:val="nil"/>
              <w:right w:val="nil"/>
            </w:tcBorders>
            <w:shd w:val="clear" w:color="auto" w:fill="auto"/>
            <w:noWrap/>
            <w:hideMark/>
          </w:tcPr>
          <w:p w:rsidR="004953A2" w:rsidRPr="004953A2" w:rsidRDefault="004953A2" w:rsidP="004953A2">
            <w:pPr>
              <w:overflowPunct/>
              <w:autoSpaceDE/>
              <w:autoSpaceDN/>
              <w:adjustRightInd/>
              <w:spacing w:line="240" w:lineRule="auto"/>
              <w:textAlignment w:val="auto"/>
              <w:rPr>
                <w:rFonts w:ascii="Arial" w:hAnsi="Arial" w:cs="Arial"/>
                <w:sz w:val="20"/>
                <w:lang w:val="en-US"/>
              </w:rPr>
            </w:pPr>
          </w:p>
        </w:tc>
        <w:tc>
          <w:tcPr>
            <w:tcW w:w="1194" w:type="dxa"/>
            <w:tcBorders>
              <w:top w:val="nil"/>
              <w:left w:val="nil"/>
              <w:bottom w:val="nil"/>
              <w:right w:val="nil"/>
            </w:tcBorders>
            <w:shd w:val="clear" w:color="auto" w:fill="auto"/>
            <w:noWrap/>
            <w:hideMark/>
          </w:tcPr>
          <w:p w:rsidR="004953A2" w:rsidRPr="004953A2" w:rsidRDefault="004953A2" w:rsidP="004953A2">
            <w:pPr>
              <w:overflowPunct/>
              <w:autoSpaceDE/>
              <w:autoSpaceDN/>
              <w:adjustRightInd/>
              <w:spacing w:line="240" w:lineRule="auto"/>
              <w:textAlignment w:val="auto"/>
              <w:rPr>
                <w:rFonts w:ascii="Arial" w:hAnsi="Arial" w:cs="Arial"/>
                <w:sz w:val="20"/>
                <w:lang w:val="en-US"/>
              </w:rPr>
            </w:pPr>
          </w:p>
        </w:tc>
        <w:tc>
          <w:tcPr>
            <w:tcW w:w="264" w:type="dxa"/>
            <w:tcBorders>
              <w:top w:val="nil"/>
              <w:left w:val="nil"/>
              <w:bottom w:val="nil"/>
              <w:right w:val="nil"/>
            </w:tcBorders>
            <w:shd w:val="clear" w:color="auto" w:fill="auto"/>
            <w:noWrap/>
            <w:hideMark/>
          </w:tcPr>
          <w:p w:rsidR="004953A2" w:rsidRPr="004953A2" w:rsidRDefault="004953A2" w:rsidP="004953A2">
            <w:pPr>
              <w:overflowPunct/>
              <w:autoSpaceDE/>
              <w:autoSpaceDN/>
              <w:adjustRightInd/>
              <w:spacing w:line="240" w:lineRule="auto"/>
              <w:textAlignment w:val="auto"/>
              <w:rPr>
                <w:rFonts w:ascii="Arial" w:hAnsi="Arial" w:cs="Arial"/>
                <w:sz w:val="20"/>
                <w:lang w:val="en-US"/>
              </w:rPr>
            </w:pPr>
          </w:p>
        </w:tc>
        <w:tc>
          <w:tcPr>
            <w:tcW w:w="264" w:type="dxa"/>
            <w:tcBorders>
              <w:top w:val="nil"/>
              <w:left w:val="nil"/>
              <w:bottom w:val="nil"/>
              <w:right w:val="nil"/>
            </w:tcBorders>
            <w:shd w:val="clear" w:color="auto" w:fill="auto"/>
            <w:noWrap/>
            <w:hideMark/>
          </w:tcPr>
          <w:p w:rsidR="004953A2" w:rsidRPr="004953A2" w:rsidRDefault="004953A2" w:rsidP="004953A2">
            <w:pPr>
              <w:overflowPunct/>
              <w:autoSpaceDE/>
              <w:autoSpaceDN/>
              <w:adjustRightInd/>
              <w:spacing w:line="240" w:lineRule="auto"/>
              <w:textAlignment w:val="auto"/>
              <w:rPr>
                <w:rFonts w:ascii="Arial" w:hAnsi="Arial" w:cs="Arial"/>
                <w:sz w:val="20"/>
                <w:lang w:val="en-US"/>
              </w:rPr>
            </w:pPr>
          </w:p>
        </w:tc>
        <w:tc>
          <w:tcPr>
            <w:tcW w:w="964" w:type="dxa"/>
            <w:tcBorders>
              <w:top w:val="nil"/>
              <w:left w:val="nil"/>
              <w:bottom w:val="nil"/>
              <w:right w:val="single" w:sz="4" w:space="0" w:color="auto"/>
            </w:tcBorders>
            <w:shd w:val="clear" w:color="auto" w:fill="auto"/>
            <w:noWrap/>
            <w:hideMark/>
          </w:tcPr>
          <w:p w:rsidR="004953A2" w:rsidRPr="004953A2" w:rsidRDefault="004953A2" w:rsidP="004953A2">
            <w:pPr>
              <w:overflowPunct/>
              <w:autoSpaceDE/>
              <w:autoSpaceDN/>
              <w:adjustRightInd/>
              <w:spacing w:line="240" w:lineRule="auto"/>
              <w:textAlignment w:val="auto"/>
              <w:rPr>
                <w:rFonts w:ascii="Arial" w:hAnsi="Arial" w:cs="Arial"/>
                <w:sz w:val="20"/>
                <w:lang w:val="en-US"/>
              </w:rPr>
            </w:pPr>
            <w:r w:rsidRPr="004953A2">
              <w:rPr>
                <w:rFonts w:ascii="Arial" w:hAnsi="Arial" w:cs="Arial"/>
                <w:sz w:val="20"/>
                <w:lang w:val="en-US"/>
              </w:rPr>
              <w:t> </w:t>
            </w:r>
          </w:p>
        </w:tc>
      </w:tr>
      <w:tr w:rsidR="004953A2" w:rsidRPr="004953A2" w:rsidTr="004953A2">
        <w:trPr>
          <w:trHeight w:val="152"/>
        </w:trPr>
        <w:tc>
          <w:tcPr>
            <w:tcW w:w="3737" w:type="dxa"/>
            <w:tcBorders>
              <w:top w:val="nil"/>
              <w:left w:val="single" w:sz="4" w:space="0" w:color="auto"/>
              <w:bottom w:val="nil"/>
              <w:right w:val="nil"/>
            </w:tcBorders>
            <w:shd w:val="clear" w:color="auto" w:fill="auto"/>
            <w:hideMark/>
          </w:tcPr>
          <w:p w:rsidR="00BA7FFB" w:rsidRDefault="00BA7FFB" w:rsidP="004953A2">
            <w:pPr>
              <w:overflowPunct/>
              <w:autoSpaceDE/>
              <w:autoSpaceDN/>
              <w:adjustRightInd/>
              <w:spacing w:line="240" w:lineRule="auto"/>
              <w:textAlignment w:val="auto"/>
              <w:rPr>
                <w:rFonts w:ascii="Arial" w:hAnsi="Arial" w:cs="Arial"/>
                <w:sz w:val="20"/>
                <w:lang w:val="en-US"/>
              </w:rPr>
            </w:pPr>
          </w:p>
          <w:p w:rsidR="004953A2" w:rsidRPr="004953A2" w:rsidRDefault="004953A2" w:rsidP="004953A2">
            <w:pPr>
              <w:overflowPunct/>
              <w:autoSpaceDE/>
              <w:autoSpaceDN/>
              <w:adjustRightInd/>
              <w:spacing w:line="240" w:lineRule="auto"/>
              <w:textAlignment w:val="auto"/>
              <w:rPr>
                <w:rFonts w:ascii="Arial" w:hAnsi="Arial" w:cs="Arial"/>
                <w:sz w:val="20"/>
                <w:lang w:val="en-US"/>
              </w:rPr>
            </w:pPr>
            <w:r w:rsidRPr="004953A2">
              <w:rPr>
                <w:rFonts w:ascii="Arial" w:hAnsi="Arial" w:cs="Arial"/>
                <w:sz w:val="20"/>
                <w:lang w:val="en-US"/>
              </w:rPr>
              <w:t>Balance at 1 January 2011</w:t>
            </w:r>
          </w:p>
        </w:tc>
        <w:tc>
          <w:tcPr>
            <w:tcW w:w="964" w:type="dxa"/>
            <w:tcBorders>
              <w:top w:val="nil"/>
              <w:left w:val="nil"/>
              <w:bottom w:val="nil"/>
              <w:right w:val="nil"/>
            </w:tcBorders>
            <w:shd w:val="clear" w:color="auto" w:fill="auto"/>
            <w:noWrap/>
            <w:vAlign w:val="bottom"/>
            <w:hideMark/>
          </w:tcPr>
          <w:p w:rsidR="004953A2" w:rsidRPr="004953A2" w:rsidRDefault="004953A2" w:rsidP="00BA7FFB">
            <w:pPr>
              <w:overflowPunct/>
              <w:autoSpaceDE/>
              <w:autoSpaceDN/>
              <w:adjustRightInd/>
              <w:spacing w:line="240" w:lineRule="auto"/>
              <w:jc w:val="right"/>
              <w:textAlignment w:val="auto"/>
              <w:rPr>
                <w:rFonts w:ascii="Arial" w:hAnsi="Arial" w:cs="Arial"/>
                <w:sz w:val="20"/>
                <w:lang w:val="en-US"/>
              </w:rPr>
            </w:pPr>
            <w:r w:rsidRPr="004953A2">
              <w:rPr>
                <w:rFonts w:ascii="Arial" w:hAnsi="Arial" w:cs="Arial"/>
                <w:sz w:val="20"/>
                <w:lang w:val="en-US"/>
              </w:rPr>
              <w:t xml:space="preserve">            6</w:t>
            </w:r>
            <w:r w:rsidR="00BA7FFB">
              <w:rPr>
                <w:rFonts w:ascii="Arial" w:hAnsi="Arial" w:cs="Arial"/>
                <w:sz w:val="20"/>
                <w:lang w:val="en-US"/>
              </w:rPr>
              <w:t>0</w:t>
            </w:r>
            <w:r w:rsidRPr="004953A2">
              <w:rPr>
                <w:rFonts w:ascii="Arial" w:hAnsi="Arial" w:cs="Arial"/>
                <w:sz w:val="20"/>
                <w:lang w:val="en-US"/>
              </w:rPr>
              <w:t xml:space="preserve"> </w:t>
            </w:r>
          </w:p>
        </w:tc>
        <w:tc>
          <w:tcPr>
            <w:tcW w:w="264" w:type="dxa"/>
            <w:tcBorders>
              <w:top w:val="nil"/>
              <w:left w:val="nil"/>
              <w:bottom w:val="nil"/>
              <w:right w:val="nil"/>
            </w:tcBorders>
            <w:shd w:val="clear" w:color="auto" w:fill="auto"/>
            <w:noWrap/>
            <w:vAlign w:val="bottom"/>
            <w:hideMark/>
          </w:tcPr>
          <w:p w:rsidR="004953A2" w:rsidRPr="004953A2" w:rsidRDefault="004953A2" w:rsidP="004953A2">
            <w:pPr>
              <w:overflowPunct/>
              <w:autoSpaceDE/>
              <w:autoSpaceDN/>
              <w:adjustRightInd/>
              <w:spacing w:line="240" w:lineRule="auto"/>
              <w:jc w:val="right"/>
              <w:textAlignment w:val="auto"/>
              <w:rPr>
                <w:rFonts w:ascii="Arial" w:hAnsi="Arial" w:cs="Arial"/>
                <w:sz w:val="20"/>
                <w:lang w:val="en-US"/>
              </w:rPr>
            </w:pPr>
          </w:p>
        </w:tc>
        <w:tc>
          <w:tcPr>
            <w:tcW w:w="1102" w:type="dxa"/>
            <w:tcBorders>
              <w:top w:val="nil"/>
              <w:left w:val="nil"/>
              <w:bottom w:val="nil"/>
              <w:right w:val="nil"/>
            </w:tcBorders>
            <w:shd w:val="clear" w:color="auto" w:fill="auto"/>
            <w:noWrap/>
            <w:vAlign w:val="bottom"/>
            <w:hideMark/>
          </w:tcPr>
          <w:p w:rsidR="004953A2" w:rsidRPr="004953A2" w:rsidRDefault="00060C6E" w:rsidP="004953A2">
            <w:pPr>
              <w:overflowPunct/>
              <w:autoSpaceDE/>
              <w:autoSpaceDN/>
              <w:adjustRightInd/>
              <w:spacing w:line="240" w:lineRule="auto"/>
              <w:jc w:val="right"/>
              <w:textAlignment w:val="auto"/>
              <w:rPr>
                <w:rFonts w:ascii="Arial" w:hAnsi="Arial" w:cs="Arial"/>
                <w:sz w:val="20"/>
                <w:lang w:val="en-US"/>
              </w:rPr>
            </w:pPr>
            <w:r>
              <w:rPr>
                <w:rFonts w:ascii="Arial" w:hAnsi="Arial" w:cs="Arial"/>
                <w:sz w:val="20"/>
                <w:lang w:val="en-US"/>
              </w:rPr>
              <w:t>48</w:t>
            </w:r>
            <w:r w:rsidR="00BA7FFB">
              <w:rPr>
                <w:rFonts w:ascii="Arial" w:hAnsi="Arial" w:cs="Arial"/>
                <w:sz w:val="20"/>
                <w:lang w:val="en-US"/>
              </w:rPr>
              <w:t>9</w:t>
            </w:r>
          </w:p>
        </w:tc>
        <w:tc>
          <w:tcPr>
            <w:tcW w:w="264" w:type="dxa"/>
            <w:tcBorders>
              <w:top w:val="nil"/>
              <w:left w:val="nil"/>
              <w:bottom w:val="nil"/>
              <w:right w:val="nil"/>
            </w:tcBorders>
            <w:shd w:val="clear" w:color="auto" w:fill="auto"/>
            <w:noWrap/>
            <w:vAlign w:val="bottom"/>
            <w:hideMark/>
          </w:tcPr>
          <w:p w:rsidR="004953A2" w:rsidRPr="004953A2" w:rsidRDefault="004953A2" w:rsidP="004953A2">
            <w:pPr>
              <w:overflowPunct/>
              <w:autoSpaceDE/>
              <w:autoSpaceDN/>
              <w:adjustRightInd/>
              <w:spacing w:line="240" w:lineRule="auto"/>
              <w:jc w:val="right"/>
              <w:textAlignment w:val="auto"/>
              <w:rPr>
                <w:rFonts w:ascii="Arial" w:hAnsi="Arial" w:cs="Arial"/>
                <w:sz w:val="20"/>
                <w:lang w:val="en-US"/>
              </w:rPr>
            </w:pPr>
          </w:p>
        </w:tc>
        <w:tc>
          <w:tcPr>
            <w:tcW w:w="1194" w:type="dxa"/>
            <w:tcBorders>
              <w:top w:val="nil"/>
              <w:left w:val="nil"/>
              <w:bottom w:val="nil"/>
              <w:right w:val="nil"/>
            </w:tcBorders>
            <w:shd w:val="clear" w:color="auto" w:fill="auto"/>
            <w:noWrap/>
            <w:vAlign w:val="bottom"/>
            <w:hideMark/>
          </w:tcPr>
          <w:p w:rsidR="004953A2" w:rsidRPr="004953A2" w:rsidRDefault="004953A2" w:rsidP="00060C6E">
            <w:pPr>
              <w:overflowPunct/>
              <w:autoSpaceDE/>
              <w:autoSpaceDN/>
              <w:adjustRightInd/>
              <w:spacing w:line="240" w:lineRule="auto"/>
              <w:jc w:val="right"/>
              <w:textAlignment w:val="auto"/>
              <w:rPr>
                <w:rFonts w:ascii="Arial" w:hAnsi="Arial" w:cs="Arial"/>
                <w:sz w:val="20"/>
                <w:lang w:val="en-US"/>
              </w:rPr>
            </w:pPr>
            <w:r w:rsidRPr="004953A2">
              <w:rPr>
                <w:rFonts w:ascii="Arial" w:hAnsi="Arial" w:cs="Arial"/>
                <w:sz w:val="20"/>
                <w:lang w:val="en-US"/>
              </w:rPr>
              <w:t xml:space="preserve"> </w:t>
            </w:r>
            <w:r w:rsidR="00060C6E">
              <w:rPr>
                <w:rFonts w:ascii="Arial" w:hAnsi="Arial" w:cs="Arial"/>
                <w:sz w:val="20"/>
                <w:lang w:val="en-US"/>
              </w:rPr>
              <w:t>3’090</w:t>
            </w:r>
            <w:r w:rsidR="00060C6E" w:rsidRPr="004953A2">
              <w:rPr>
                <w:rFonts w:ascii="Arial" w:hAnsi="Arial" w:cs="Arial"/>
                <w:sz w:val="20"/>
                <w:lang w:val="en-US"/>
              </w:rPr>
              <w:t xml:space="preserve"> </w:t>
            </w:r>
          </w:p>
        </w:tc>
        <w:tc>
          <w:tcPr>
            <w:tcW w:w="264" w:type="dxa"/>
            <w:tcBorders>
              <w:top w:val="nil"/>
              <w:left w:val="nil"/>
              <w:bottom w:val="nil"/>
              <w:right w:val="nil"/>
            </w:tcBorders>
            <w:shd w:val="clear" w:color="auto" w:fill="auto"/>
            <w:noWrap/>
            <w:vAlign w:val="bottom"/>
            <w:hideMark/>
          </w:tcPr>
          <w:p w:rsidR="004953A2" w:rsidRPr="004953A2" w:rsidRDefault="004953A2" w:rsidP="004953A2">
            <w:pPr>
              <w:overflowPunct/>
              <w:autoSpaceDE/>
              <w:autoSpaceDN/>
              <w:adjustRightInd/>
              <w:spacing w:line="240" w:lineRule="auto"/>
              <w:jc w:val="right"/>
              <w:textAlignment w:val="auto"/>
              <w:rPr>
                <w:rFonts w:ascii="Arial" w:hAnsi="Arial" w:cs="Arial"/>
                <w:sz w:val="20"/>
                <w:lang w:val="en-US"/>
              </w:rPr>
            </w:pPr>
          </w:p>
        </w:tc>
        <w:tc>
          <w:tcPr>
            <w:tcW w:w="264" w:type="dxa"/>
            <w:tcBorders>
              <w:top w:val="nil"/>
              <w:left w:val="nil"/>
              <w:bottom w:val="nil"/>
              <w:right w:val="nil"/>
            </w:tcBorders>
            <w:shd w:val="clear" w:color="auto" w:fill="auto"/>
            <w:noWrap/>
            <w:vAlign w:val="bottom"/>
            <w:hideMark/>
          </w:tcPr>
          <w:p w:rsidR="004953A2" w:rsidRPr="004953A2" w:rsidRDefault="004953A2" w:rsidP="004953A2">
            <w:pPr>
              <w:overflowPunct/>
              <w:autoSpaceDE/>
              <w:autoSpaceDN/>
              <w:adjustRightInd/>
              <w:spacing w:line="240" w:lineRule="auto"/>
              <w:textAlignment w:val="auto"/>
              <w:rPr>
                <w:rFonts w:ascii="Arial" w:hAnsi="Arial" w:cs="Arial"/>
                <w:i/>
                <w:iCs/>
                <w:sz w:val="20"/>
                <w:lang w:val="en-US"/>
              </w:rPr>
            </w:pPr>
          </w:p>
        </w:tc>
        <w:tc>
          <w:tcPr>
            <w:tcW w:w="964" w:type="dxa"/>
            <w:tcBorders>
              <w:top w:val="nil"/>
              <w:left w:val="nil"/>
              <w:bottom w:val="nil"/>
              <w:right w:val="single" w:sz="4" w:space="0" w:color="auto"/>
            </w:tcBorders>
            <w:shd w:val="clear" w:color="auto" w:fill="auto"/>
            <w:noWrap/>
            <w:vAlign w:val="bottom"/>
            <w:hideMark/>
          </w:tcPr>
          <w:p w:rsidR="004953A2" w:rsidRPr="004953A2" w:rsidRDefault="004953A2" w:rsidP="00060C6E">
            <w:pPr>
              <w:overflowPunct/>
              <w:autoSpaceDE/>
              <w:autoSpaceDN/>
              <w:adjustRightInd/>
              <w:spacing w:line="240" w:lineRule="auto"/>
              <w:jc w:val="right"/>
              <w:textAlignment w:val="auto"/>
              <w:rPr>
                <w:rFonts w:ascii="Arial" w:hAnsi="Arial" w:cs="Arial"/>
                <w:sz w:val="20"/>
                <w:lang w:val="en-US"/>
              </w:rPr>
            </w:pPr>
            <w:r w:rsidRPr="004953A2">
              <w:rPr>
                <w:rFonts w:ascii="Arial" w:hAnsi="Arial" w:cs="Arial"/>
                <w:sz w:val="20"/>
                <w:lang w:val="en-US"/>
              </w:rPr>
              <w:t xml:space="preserve"> </w:t>
            </w:r>
            <w:r w:rsidR="00060C6E" w:rsidRPr="004953A2">
              <w:rPr>
                <w:rFonts w:ascii="Arial" w:hAnsi="Arial" w:cs="Arial"/>
                <w:sz w:val="20"/>
                <w:lang w:val="en-US"/>
              </w:rPr>
              <w:t>3'6</w:t>
            </w:r>
            <w:r w:rsidR="00060C6E">
              <w:rPr>
                <w:rFonts w:ascii="Arial" w:hAnsi="Arial" w:cs="Arial"/>
                <w:sz w:val="20"/>
                <w:lang w:val="en-US"/>
              </w:rPr>
              <w:t>39</w:t>
            </w:r>
            <w:r w:rsidR="00060C6E" w:rsidRPr="004953A2">
              <w:rPr>
                <w:rFonts w:ascii="Arial" w:hAnsi="Arial" w:cs="Arial"/>
                <w:sz w:val="20"/>
                <w:lang w:val="en-US"/>
              </w:rPr>
              <w:t xml:space="preserve"> </w:t>
            </w:r>
          </w:p>
        </w:tc>
      </w:tr>
      <w:tr w:rsidR="00BA7FFB" w:rsidRPr="004953A2" w:rsidTr="004953A2">
        <w:trPr>
          <w:trHeight w:val="152"/>
        </w:trPr>
        <w:tc>
          <w:tcPr>
            <w:tcW w:w="3737" w:type="dxa"/>
            <w:tcBorders>
              <w:top w:val="nil"/>
              <w:left w:val="single" w:sz="4" w:space="0" w:color="auto"/>
              <w:bottom w:val="nil"/>
              <w:right w:val="nil"/>
            </w:tcBorders>
            <w:shd w:val="clear" w:color="auto" w:fill="auto"/>
            <w:hideMark/>
          </w:tcPr>
          <w:p w:rsidR="00BA7FFB" w:rsidRDefault="00BA7FFB" w:rsidP="004953A2">
            <w:pPr>
              <w:overflowPunct/>
              <w:autoSpaceDE/>
              <w:autoSpaceDN/>
              <w:adjustRightInd/>
              <w:spacing w:line="240" w:lineRule="auto"/>
              <w:textAlignment w:val="auto"/>
              <w:rPr>
                <w:rFonts w:ascii="Arial" w:hAnsi="Arial" w:cs="Arial"/>
                <w:sz w:val="20"/>
                <w:lang w:val="en-US"/>
              </w:rPr>
            </w:pPr>
          </w:p>
        </w:tc>
        <w:tc>
          <w:tcPr>
            <w:tcW w:w="964" w:type="dxa"/>
            <w:tcBorders>
              <w:top w:val="nil"/>
              <w:left w:val="nil"/>
              <w:bottom w:val="nil"/>
              <w:right w:val="nil"/>
            </w:tcBorders>
            <w:shd w:val="clear" w:color="auto" w:fill="auto"/>
            <w:noWrap/>
            <w:vAlign w:val="bottom"/>
            <w:hideMark/>
          </w:tcPr>
          <w:p w:rsidR="00BA7FFB" w:rsidRPr="004953A2" w:rsidRDefault="00BA7FFB" w:rsidP="004953A2">
            <w:pPr>
              <w:overflowPunct/>
              <w:autoSpaceDE/>
              <w:autoSpaceDN/>
              <w:adjustRightInd/>
              <w:spacing w:line="240" w:lineRule="auto"/>
              <w:jc w:val="right"/>
              <w:textAlignment w:val="auto"/>
              <w:rPr>
                <w:rFonts w:ascii="Arial" w:hAnsi="Arial" w:cs="Arial"/>
                <w:sz w:val="20"/>
                <w:lang w:val="en-US"/>
              </w:rPr>
            </w:pPr>
          </w:p>
        </w:tc>
        <w:tc>
          <w:tcPr>
            <w:tcW w:w="264" w:type="dxa"/>
            <w:tcBorders>
              <w:top w:val="nil"/>
              <w:left w:val="nil"/>
              <w:bottom w:val="nil"/>
              <w:right w:val="nil"/>
            </w:tcBorders>
            <w:shd w:val="clear" w:color="auto" w:fill="auto"/>
            <w:noWrap/>
            <w:vAlign w:val="bottom"/>
            <w:hideMark/>
          </w:tcPr>
          <w:p w:rsidR="00BA7FFB" w:rsidRPr="004953A2" w:rsidRDefault="00BA7FFB" w:rsidP="004953A2">
            <w:pPr>
              <w:overflowPunct/>
              <w:autoSpaceDE/>
              <w:autoSpaceDN/>
              <w:adjustRightInd/>
              <w:spacing w:line="240" w:lineRule="auto"/>
              <w:jc w:val="right"/>
              <w:textAlignment w:val="auto"/>
              <w:rPr>
                <w:rFonts w:ascii="Arial" w:hAnsi="Arial" w:cs="Arial"/>
                <w:sz w:val="20"/>
                <w:lang w:val="en-US"/>
              </w:rPr>
            </w:pPr>
          </w:p>
        </w:tc>
        <w:tc>
          <w:tcPr>
            <w:tcW w:w="1102" w:type="dxa"/>
            <w:tcBorders>
              <w:top w:val="nil"/>
              <w:left w:val="nil"/>
              <w:bottom w:val="nil"/>
              <w:right w:val="nil"/>
            </w:tcBorders>
            <w:shd w:val="clear" w:color="auto" w:fill="auto"/>
            <w:noWrap/>
            <w:vAlign w:val="bottom"/>
            <w:hideMark/>
          </w:tcPr>
          <w:p w:rsidR="00BA7FFB" w:rsidRPr="004953A2" w:rsidRDefault="00BA7FFB" w:rsidP="00060C6E">
            <w:pPr>
              <w:overflowPunct/>
              <w:autoSpaceDE/>
              <w:autoSpaceDN/>
              <w:adjustRightInd/>
              <w:spacing w:line="240" w:lineRule="auto"/>
              <w:jc w:val="right"/>
              <w:textAlignment w:val="auto"/>
              <w:rPr>
                <w:rFonts w:ascii="Arial" w:hAnsi="Arial" w:cs="Arial"/>
                <w:sz w:val="20"/>
                <w:lang w:val="en-US"/>
              </w:rPr>
            </w:pPr>
          </w:p>
        </w:tc>
        <w:tc>
          <w:tcPr>
            <w:tcW w:w="264" w:type="dxa"/>
            <w:tcBorders>
              <w:top w:val="nil"/>
              <w:left w:val="nil"/>
              <w:bottom w:val="nil"/>
              <w:right w:val="nil"/>
            </w:tcBorders>
            <w:shd w:val="clear" w:color="auto" w:fill="auto"/>
            <w:noWrap/>
            <w:vAlign w:val="bottom"/>
            <w:hideMark/>
          </w:tcPr>
          <w:p w:rsidR="00BA7FFB" w:rsidRPr="004953A2" w:rsidRDefault="00BA7FFB" w:rsidP="004953A2">
            <w:pPr>
              <w:overflowPunct/>
              <w:autoSpaceDE/>
              <w:autoSpaceDN/>
              <w:adjustRightInd/>
              <w:spacing w:line="240" w:lineRule="auto"/>
              <w:jc w:val="right"/>
              <w:textAlignment w:val="auto"/>
              <w:rPr>
                <w:rFonts w:ascii="Arial" w:hAnsi="Arial" w:cs="Arial"/>
                <w:sz w:val="20"/>
                <w:lang w:val="en-US"/>
              </w:rPr>
            </w:pPr>
          </w:p>
        </w:tc>
        <w:tc>
          <w:tcPr>
            <w:tcW w:w="1194" w:type="dxa"/>
            <w:tcBorders>
              <w:top w:val="nil"/>
              <w:left w:val="nil"/>
              <w:bottom w:val="nil"/>
              <w:right w:val="nil"/>
            </w:tcBorders>
            <w:shd w:val="clear" w:color="auto" w:fill="auto"/>
            <w:noWrap/>
            <w:vAlign w:val="bottom"/>
            <w:hideMark/>
          </w:tcPr>
          <w:p w:rsidR="00BA7FFB" w:rsidRPr="004953A2" w:rsidRDefault="00BA7FFB" w:rsidP="00060C6E">
            <w:pPr>
              <w:overflowPunct/>
              <w:autoSpaceDE/>
              <w:autoSpaceDN/>
              <w:adjustRightInd/>
              <w:spacing w:line="240" w:lineRule="auto"/>
              <w:jc w:val="right"/>
              <w:textAlignment w:val="auto"/>
              <w:rPr>
                <w:rFonts w:ascii="Arial" w:hAnsi="Arial" w:cs="Arial"/>
                <w:sz w:val="20"/>
                <w:lang w:val="en-US"/>
              </w:rPr>
            </w:pPr>
          </w:p>
        </w:tc>
        <w:tc>
          <w:tcPr>
            <w:tcW w:w="264" w:type="dxa"/>
            <w:tcBorders>
              <w:top w:val="nil"/>
              <w:left w:val="nil"/>
              <w:bottom w:val="nil"/>
              <w:right w:val="nil"/>
            </w:tcBorders>
            <w:shd w:val="clear" w:color="auto" w:fill="auto"/>
            <w:noWrap/>
            <w:vAlign w:val="bottom"/>
            <w:hideMark/>
          </w:tcPr>
          <w:p w:rsidR="00BA7FFB" w:rsidRPr="004953A2" w:rsidRDefault="00BA7FFB" w:rsidP="004953A2">
            <w:pPr>
              <w:overflowPunct/>
              <w:autoSpaceDE/>
              <w:autoSpaceDN/>
              <w:adjustRightInd/>
              <w:spacing w:line="240" w:lineRule="auto"/>
              <w:jc w:val="right"/>
              <w:textAlignment w:val="auto"/>
              <w:rPr>
                <w:rFonts w:ascii="Arial" w:hAnsi="Arial" w:cs="Arial"/>
                <w:sz w:val="20"/>
                <w:lang w:val="en-US"/>
              </w:rPr>
            </w:pPr>
          </w:p>
        </w:tc>
        <w:tc>
          <w:tcPr>
            <w:tcW w:w="264" w:type="dxa"/>
            <w:tcBorders>
              <w:top w:val="nil"/>
              <w:left w:val="nil"/>
              <w:bottom w:val="nil"/>
              <w:right w:val="nil"/>
            </w:tcBorders>
            <w:shd w:val="clear" w:color="auto" w:fill="auto"/>
            <w:noWrap/>
            <w:hideMark/>
          </w:tcPr>
          <w:p w:rsidR="00BA7FFB" w:rsidRPr="004953A2" w:rsidRDefault="00BA7FFB" w:rsidP="004953A2">
            <w:pPr>
              <w:overflowPunct/>
              <w:autoSpaceDE/>
              <w:autoSpaceDN/>
              <w:adjustRightInd/>
              <w:spacing w:line="240" w:lineRule="auto"/>
              <w:textAlignment w:val="auto"/>
              <w:rPr>
                <w:rFonts w:ascii="Arial" w:hAnsi="Arial" w:cs="Arial"/>
                <w:sz w:val="20"/>
                <w:lang w:val="en-US"/>
              </w:rPr>
            </w:pPr>
          </w:p>
        </w:tc>
        <w:tc>
          <w:tcPr>
            <w:tcW w:w="964" w:type="dxa"/>
            <w:tcBorders>
              <w:top w:val="nil"/>
              <w:left w:val="nil"/>
              <w:bottom w:val="nil"/>
              <w:right w:val="single" w:sz="4" w:space="0" w:color="auto"/>
            </w:tcBorders>
            <w:shd w:val="clear" w:color="auto" w:fill="auto"/>
            <w:noWrap/>
            <w:vAlign w:val="bottom"/>
            <w:hideMark/>
          </w:tcPr>
          <w:p w:rsidR="00BA7FFB" w:rsidRPr="004953A2" w:rsidRDefault="00BA7FFB" w:rsidP="004953A2">
            <w:pPr>
              <w:overflowPunct/>
              <w:autoSpaceDE/>
              <w:autoSpaceDN/>
              <w:adjustRightInd/>
              <w:spacing w:line="240" w:lineRule="auto"/>
              <w:jc w:val="right"/>
              <w:textAlignment w:val="auto"/>
              <w:rPr>
                <w:rFonts w:ascii="Arial" w:hAnsi="Arial" w:cs="Arial"/>
                <w:sz w:val="20"/>
                <w:lang w:val="en-US"/>
              </w:rPr>
            </w:pPr>
          </w:p>
        </w:tc>
      </w:tr>
      <w:tr w:rsidR="00BA7FFB" w:rsidRPr="004953A2" w:rsidTr="004953A2">
        <w:trPr>
          <w:trHeight w:val="152"/>
        </w:trPr>
        <w:tc>
          <w:tcPr>
            <w:tcW w:w="3737" w:type="dxa"/>
            <w:tcBorders>
              <w:top w:val="nil"/>
              <w:left w:val="single" w:sz="4" w:space="0" w:color="auto"/>
              <w:bottom w:val="nil"/>
              <w:right w:val="nil"/>
            </w:tcBorders>
            <w:shd w:val="clear" w:color="auto" w:fill="auto"/>
            <w:hideMark/>
          </w:tcPr>
          <w:p w:rsidR="00BA7FFB" w:rsidRDefault="00BA7FFB" w:rsidP="004953A2">
            <w:pPr>
              <w:overflowPunct/>
              <w:autoSpaceDE/>
              <w:autoSpaceDN/>
              <w:adjustRightInd/>
              <w:spacing w:line="240" w:lineRule="auto"/>
              <w:textAlignment w:val="auto"/>
              <w:rPr>
                <w:rFonts w:ascii="Arial" w:hAnsi="Arial" w:cs="Arial"/>
                <w:sz w:val="20"/>
                <w:lang w:val="en-US"/>
              </w:rPr>
            </w:pPr>
            <w:r>
              <w:rPr>
                <w:rFonts w:ascii="Arial" w:hAnsi="Arial" w:cs="Arial"/>
                <w:sz w:val="20"/>
                <w:lang w:val="en-US"/>
              </w:rPr>
              <w:t>Currency translation</w:t>
            </w:r>
          </w:p>
        </w:tc>
        <w:tc>
          <w:tcPr>
            <w:tcW w:w="964" w:type="dxa"/>
            <w:tcBorders>
              <w:top w:val="nil"/>
              <w:left w:val="nil"/>
              <w:bottom w:val="nil"/>
              <w:right w:val="nil"/>
            </w:tcBorders>
            <w:shd w:val="clear" w:color="auto" w:fill="auto"/>
            <w:noWrap/>
            <w:vAlign w:val="bottom"/>
            <w:hideMark/>
          </w:tcPr>
          <w:p w:rsidR="00BA7FFB" w:rsidRPr="004953A2" w:rsidRDefault="00BA7FFB" w:rsidP="004953A2">
            <w:pPr>
              <w:overflowPunct/>
              <w:autoSpaceDE/>
              <w:autoSpaceDN/>
              <w:adjustRightInd/>
              <w:spacing w:line="240" w:lineRule="auto"/>
              <w:jc w:val="right"/>
              <w:textAlignment w:val="auto"/>
              <w:rPr>
                <w:rFonts w:ascii="Arial" w:hAnsi="Arial" w:cs="Arial"/>
                <w:sz w:val="20"/>
                <w:lang w:val="en-US"/>
              </w:rPr>
            </w:pPr>
            <w:r>
              <w:rPr>
                <w:rFonts w:ascii="Arial" w:hAnsi="Arial" w:cs="Arial"/>
                <w:sz w:val="20"/>
                <w:lang w:val="en-US"/>
              </w:rPr>
              <w:t>(1)</w:t>
            </w:r>
          </w:p>
        </w:tc>
        <w:tc>
          <w:tcPr>
            <w:tcW w:w="264" w:type="dxa"/>
            <w:tcBorders>
              <w:top w:val="nil"/>
              <w:left w:val="nil"/>
              <w:bottom w:val="nil"/>
              <w:right w:val="nil"/>
            </w:tcBorders>
            <w:shd w:val="clear" w:color="auto" w:fill="auto"/>
            <w:noWrap/>
            <w:vAlign w:val="bottom"/>
            <w:hideMark/>
          </w:tcPr>
          <w:p w:rsidR="00BA7FFB" w:rsidRPr="004953A2" w:rsidRDefault="00BA7FFB" w:rsidP="004953A2">
            <w:pPr>
              <w:overflowPunct/>
              <w:autoSpaceDE/>
              <w:autoSpaceDN/>
              <w:adjustRightInd/>
              <w:spacing w:line="240" w:lineRule="auto"/>
              <w:jc w:val="right"/>
              <w:textAlignment w:val="auto"/>
              <w:rPr>
                <w:rFonts w:ascii="Arial" w:hAnsi="Arial" w:cs="Arial"/>
                <w:sz w:val="20"/>
                <w:lang w:val="en-US"/>
              </w:rPr>
            </w:pPr>
          </w:p>
        </w:tc>
        <w:tc>
          <w:tcPr>
            <w:tcW w:w="1102" w:type="dxa"/>
            <w:tcBorders>
              <w:top w:val="nil"/>
              <w:left w:val="nil"/>
              <w:bottom w:val="nil"/>
              <w:right w:val="nil"/>
            </w:tcBorders>
            <w:shd w:val="clear" w:color="auto" w:fill="auto"/>
            <w:noWrap/>
            <w:vAlign w:val="bottom"/>
            <w:hideMark/>
          </w:tcPr>
          <w:p w:rsidR="00BA7FFB" w:rsidRPr="004953A2" w:rsidRDefault="00BA7FFB" w:rsidP="00060C6E">
            <w:pPr>
              <w:overflowPunct/>
              <w:autoSpaceDE/>
              <w:autoSpaceDN/>
              <w:adjustRightInd/>
              <w:spacing w:line="240" w:lineRule="auto"/>
              <w:jc w:val="right"/>
              <w:textAlignment w:val="auto"/>
              <w:rPr>
                <w:rFonts w:ascii="Arial" w:hAnsi="Arial" w:cs="Arial"/>
                <w:sz w:val="20"/>
                <w:lang w:val="en-US"/>
              </w:rPr>
            </w:pPr>
            <w:r>
              <w:rPr>
                <w:rFonts w:ascii="Arial" w:hAnsi="Arial" w:cs="Arial"/>
                <w:sz w:val="20"/>
                <w:lang w:val="en-US"/>
              </w:rPr>
              <w:t>1</w:t>
            </w:r>
          </w:p>
        </w:tc>
        <w:tc>
          <w:tcPr>
            <w:tcW w:w="264" w:type="dxa"/>
            <w:tcBorders>
              <w:top w:val="nil"/>
              <w:left w:val="nil"/>
              <w:bottom w:val="nil"/>
              <w:right w:val="nil"/>
            </w:tcBorders>
            <w:shd w:val="clear" w:color="auto" w:fill="auto"/>
            <w:noWrap/>
            <w:vAlign w:val="bottom"/>
            <w:hideMark/>
          </w:tcPr>
          <w:p w:rsidR="00BA7FFB" w:rsidRPr="004953A2" w:rsidRDefault="00BA7FFB" w:rsidP="004953A2">
            <w:pPr>
              <w:overflowPunct/>
              <w:autoSpaceDE/>
              <w:autoSpaceDN/>
              <w:adjustRightInd/>
              <w:spacing w:line="240" w:lineRule="auto"/>
              <w:jc w:val="right"/>
              <w:textAlignment w:val="auto"/>
              <w:rPr>
                <w:rFonts w:ascii="Arial" w:hAnsi="Arial" w:cs="Arial"/>
                <w:sz w:val="20"/>
                <w:lang w:val="en-US"/>
              </w:rPr>
            </w:pPr>
          </w:p>
        </w:tc>
        <w:tc>
          <w:tcPr>
            <w:tcW w:w="1194" w:type="dxa"/>
            <w:tcBorders>
              <w:top w:val="nil"/>
              <w:left w:val="nil"/>
              <w:bottom w:val="nil"/>
              <w:right w:val="nil"/>
            </w:tcBorders>
            <w:shd w:val="clear" w:color="auto" w:fill="auto"/>
            <w:noWrap/>
            <w:vAlign w:val="bottom"/>
            <w:hideMark/>
          </w:tcPr>
          <w:p w:rsidR="00BA7FFB" w:rsidRPr="004953A2" w:rsidRDefault="000104B8" w:rsidP="00060C6E">
            <w:pPr>
              <w:overflowPunct/>
              <w:autoSpaceDE/>
              <w:autoSpaceDN/>
              <w:adjustRightInd/>
              <w:spacing w:line="240" w:lineRule="auto"/>
              <w:jc w:val="right"/>
              <w:textAlignment w:val="auto"/>
              <w:rPr>
                <w:rFonts w:ascii="Arial" w:hAnsi="Arial" w:cs="Arial"/>
                <w:sz w:val="20"/>
                <w:lang w:val="en-US"/>
              </w:rPr>
            </w:pPr>
            <w:r>
              <w:rPr>
                <w:rFonts w:ascii="Arial" w:hAnsi="Arial" w:cs="Arial"/>
                <w:sz w:val="20"/>
                <w:lang w:val="en-US"/>
              </w:rPr>
              <w:t>-</w:t>
            </w:r>
          </w:p>
        </w:tc>
        <w:tc>
          <w:tcPr>
            <w:tcW w:w="264" w:type="dxa"/>
            <w:tcBorders>
              <w:top w:val="nil"/>
              <w:left w:val="nil"/>
              <w:bottom w:val="nil"/>
              <w:right w:val="nil"/>
            </w:tcBorders>
            <w:shd w:val="clear" w:color="auto" w:fill="auto"/>
            <w:noWrap/>
            <w:vAlign w:val="bottom"/>
            <w:hideMark/>
          </w:tcPr>
          <w:p w:rsidR="00BA7FFB" w:rsidRPr="004953A2" w:rsidRDefault="00BA7FFB" w:rsidP="004953A2">
            <w:pPr>
              <w:overflowPunct/>
              <w:autoSpaceDE/>
              <w:autoSpaceDN/>
              <w:adjustRightInd/>
              <w:spacing w:line="240" w:lineRule="auto"/>
              <w:jc w:val="right"/>
              <w:textAlignment w:val="auto"/>
              <w:rPr>
                <w:rFonts w:ascii="Arial" w:hAnsi="Arial" w:cs="Arial"/>
                <w:sz w:val="20"/>
                <w:lang w:val="en-US"/>
              </w:rPr>
            </w:pPr>
          </w:p>
        </w:tc>
        <w:tc>
          <w:tcPr>
            <w:tcW w:w="264" w:type="dxa"/>
            <w:tcBorders>
              <w:top w:val="nil"/>
              <w:left w:val="nil"/>
              <w:bottom w:val="nil"/>
              <w:right w:val="nil"/>
            </w:tcBorders>
            <w:shd w:val="clear" w:color="auto" w:fill="auto"/>
            <w:noWrap/>
            <w:hideMark/>
          </w:tcPr>
          <w:p w:rsidR="00BA7FFB" w:rsidRPr="004953A2" w:rsidRDefault="00BA7FFB" w:rsidP="004953A2">
            <w:pPr>
              <w:overflowPunct/>
              <w:autoSpaceDE/>
              <w:autoSpaceDN/>
              <w:adjustRightInd/>
              <w:spacing w:line="240" w:lineRule="auto"/>
              <w:textAlignment w:val="auto"/>
              <w:rPr>
                <w:rFonts w:ascii="Arial" w:hAnsi="Arial" w:cs="Arial"/>
                <w:sz w:val="20"/>
                <w:lang w:val="en-US"/>
              </w:rPr>
            </w:pPr>
          </w:p>
        </w:tc>
        <w:tc>
          <w:tcPr>
            <w:tcW w:w="964" w:type="dxa"/>
            <w:tcBorders>
              <w:top w:val="nil"/>
              <w:left w:val="nil"/>
              <w:bottom w:val="nil"/>
              <w:right w:val="single" w:sz="4" w:space="0" w:color="auto"/>
            </w:tcBorders>
            <w:shd w:val="clear" w:color="auto" w:fill="auto"/>
            <w:noWrap/>
            <w:vAlign w:val="bottom"/>
            <w:hideMark/>
          </w:tcPr>
          <w:p w:rsidR="00BA7FFB" w:rsidRPr="004953A2" w:rsidRDefault="000104B8" w:rsidP="004953A2">
            <w:pPr>
              <w:overflowPunct/>
              <w:autoSpaceDE/>
              <w:autoSpaceDN/>
              <w:adjustRightInd/>
              <w:spacing w:line="240" w:lineRule="auto"/>
              <w:jc w:val="right"/>
              <w:textAlignment w:val="auto"/>
              <w:rPr>
                <w:rFonts w:ascii="Arial" w:hAnsi="Arial" w:cs="Arial"/>
                <w:sz w:val="20"/>
                <w:lang w:val="en-US"/>
              </w:rPr>
            </w:pPr>
            <w:r>
              <w:rPr>
                <w:rFonts w:ascii="Arial" w:hAnsi="Arial" w:cs="Arial"/>
                <w:sz w:val="20"/>
                <w:lang w:val="en-US"/>
              </w:rPr>
              <w:t>-</w:t>
            </w:r>
          </w:p>
        </w:tc>
      </w:tr>
      <w:tr w:rsidR="004953A2" w:rsidRPr="004953A2" w:rsidTr="004953A2">
        <w:trPr>
          <w:trHeight w:val="152"/>
        </w:trPr>
        <w:tc>
          <w:tcPr>
            <w:tcW w:w="3737" w:type="dxa"/>
            <w:tcBorders>
              <w:top w:val="nil"/>
              <w:left w:val="single" w:sz="4" w:space="0" w:color="auto"/>
              <w:bottom w:val="nil"/>
              <w:right w:val="nil"/>
            </w:tcBorders>
            <w:shd w:val="clear" w:color="auto" w:fill="auto"/>
            <w:hideMark/>
          </w:tcPr>
          <w:p w:rsidR="00BA7FFB" w:rsidRDefault="00BA7FFB" w:rsidP="004953A2">
            <w:pPr>
              <w:overflowPunct/>
              <w:autoSpaceDE/>
              <w:autoSpaceDN/>
              <w:adjustRightInd/>
              <w:spacing w:line="240" w:lineRule="auto"/>
              <w:textAlignment w:val="auto"/>
              <w:rPr>
                <w:rFonts w:ascii="Arial" w:hAnsi="Arial" w:cs="Arial"/>
                <w:sz w:val="20"/>
                <w:lang w:val="en-US"/>
              </w:rPr>
            </w:pPr>
          </w:p>
          <w:p w:rsidR="004953A2" w:rsidRPr="004953A2" w:rsidRDefault="004953A2" w:rsidP="004953A2">
            <w:pPr>
              <w:overflowPunct/>
              <w:autoSpaceDE/>
              <w:autoSpaceDN/>
              <w:adjustRightInd/>
              <w:spacing w:line="240" w:lineRule="auto"/>
              <w:textAlignment w:val="auto"/>
              <w:rPr>
                <w:rFonts w:ascii="Arial" w:hAnsi="Arial" w:cs="Arial"/>
                <w:sz w:val="20"/>
                <w:lang w:val="en-US"/>
              </w:rPr>
            </w:pPr>
            <w:r w:rsidRPr="004953A2">
              <w:rPr>
                <w:rFonts w:ascii="Arial" w:hAnsi="Arial" w:cs="Arial"/>
                <w:sz w:val="20"/>
                <w:lang w:val="en-US"/>
              </w:rPr>
              <w:t>Profit appropriation</w:t>
            </w:r>
          </w:p>
        </w:tc>
        <w:tc>
          <w:tcPr>
            <w:tcW w:w="964" w:type="dxa"/>
            <w:tcBorders>
              <w:top w:val="nil"/>
              <w:left w:val="nil"/>
              <w:bottom w:val="nil"/>
              <w:right w:val="nil"/>
            </w:tcBorders>
            <w:shd w:val="clear" w:color="auto" w:fill="auto"/>
            <w:noWrap/>
            <w:vAlign w:val="bottom"/>
            <w:hideMark/>
          </w:tcPr>
          <w:p w:rsidR="004953A2" w:rsidRPr="004953A2" w:rsidRDefault="004953A2" w:rsidP="004953A2">
            <w:pPr>
              <w:overflowPunct/>
              <w:autoSpaceDE/>
              <w:autoSpaceDN/>
              <w:adjustRightInd/>
              <w:spacing w:line="240" w:lineRule="auto"/>
              <w:jc w:val="right"/>
              <w:textAlignment w:val="auto"/>
              <w:rPr>
                <w:rFonts w:ascii="Arial" w:hAnsi="Arial" w:cs="Arial"/>
                <w:sz w:val="20"/>
                <w:lang w:val="en-US"/>
              </w:rPr>
            </w:pPr>
            <w:r w:rsidRPr="004953A2">
              <w:rPr>
                <w:rFonts w:ascii="Arial" w:hAnsi="Arial" w:cs="Arial"/>
                <w:sz w:val="20"/>
                <w:lang w:val="en-US"/>
              </w:rPr>
              <w:t xml:space="preserve">             -   </w:t>
            </w:r>
          </w:p>
        </w:tc>
        <w:tc>
          <w:tcPr>
            <w:tcW w:w="264" w:type="dxa"/>
            <w:tcBorders>
              <w:top w:val="nil"/>
              <w:left w:val="nil"/>
              <w:bottom w:val="nil"/>
              <w:right w:val="nil"/>
            </w:tcBorders>
            <w:shd w:val="clear" w:color="auto" w:fill="auto"/>
            <w:noWrap/>
            <w:vAlign w:val="bottom"/>
            <w:hideMark/>
          </w:tcPr>
          <w:p w:rsidR="004953A2" w:rsidRPr="004953A2" w:rsidRDefault="004953A2" w:rsidP="004953A2">
            <w:pPr>
              <w:overflowPunct/>
              <w:autoSpaceDE/>
              <w:autoSpaceDN/>
              <w:adjustRightInd/>
              <w:spacing w:line="240" w:lineRule="auto"/>
              <w:jc w:val="right"/>
              <w:textAlignment w:val="auto"/>
              <w:rPr>
                <w:rFonts w:ascii="Arial" w:hAnsi="Arial" w:cs="Arial"/>
                <w:sz w:val="20"/>
                <w:lang w:val="en-US"/>
              </w:rPr>
            </w:pPr>
          </w:p>
        </w:tc>
        <w:tc>
          <w:tcPr>
            <w:tcW w:w="1102" w:type="dxa"/>
            <w:tcBorders>
              <w:top w:val="nil"/>
              <w:left w:val="nil"/>
              <w:bottom w:val="nil"/>
              <w:right w:val="nil"/>
            </w:tcBorders>
            <w:shd w:val="clear" w:color="auto" w:fill="auto"/>
            <w:noWrap/>
            <w:vAlign w:val="bottom"/>
            <w:hideMark/>
          </w:tcPr>
          <w:p w:rsidR="004953A2" w:rsidRPr="004953A2" w:rsidRDefault="004953A2" w:rsidP="00060C6E">
            <w:pPr>
              <w:overflowPunct/>
              <w:autoSpaceDE/>
              <w:autoSpaceDN/>
              <w:adjustRightInd/>
              <w:spacing w:line="240" w:lineRule="auto"/>
              <w:jc w:val="right"/>
              <w:textAlignment w:val="auto"/>
              <w:rPr>
                <w:rFonts w:ascii="Arial" w:hAnsi="Arial" w:cs="Arial"/>
                <w:sz w:val="20"/>
                <w:lang w:val="en-US"/>
              </w:rPr>
            </w:pPr>
            <w:r w:rsidRPr="004953A2">
              <w:rPr>
                <w:rFonts w:ascii="Arial" w:hAnsi="Arial" w:cs="Arial"/>
                <w:sz w:val="20"/>
                <w:lang w:val="en-US"/>
              </w:rPr>
              <w:t xml:space="preserve"> </w:t>
            </w:r>
            <w:r w:rsidR="00060C6E" w:rsidRPr="004953A2">
              <w:rPr>
                <w:rFonts w:ascii="Arial" w:hAnsi="Arial" w:cs="Arial"/>
                <w:sz w:val="20"/>
                <w:lang w:val="en-US"/>
              </w:rPr>
              <w:t>3'</w:t>
            </w:r>
            <w:r w:rsidR="00060C6E">
              <w:rPr>
                <w:rFonts w:ascii="Arial" w:hAnsi="Arial" w:cs="Arial"/>
                <w:sz w:val="20"/>
                <w:lang w:val="en-US"/>
              </w:rPr>
              <w:t>090</w:t>
            </w:r>
            <w:r w:rsidR="00060C6E" w:rsidRPr="004953A2">
              <w:rPr>
                <w:rFonts w:ascii="Arial" w:hAnsi="Arial" w:cs="Arial"/>
                <w:sz w:val="20"/>
                <w:lang w:val="en-US"/>
              </w:rPr>
              <w:t xml:space="preserve"> </w:t>
            </w:r>
          </w:p>
        </w:tc>
        <w:tc>
          <w:tcPr>
            <w:tcW w:w="264" w:type="dxa"/>
            <w:tcBorders>
              <w:top w:val="nil"/>
              <w:left w:val="nil"/>
              <w:bottom w:val="nil"/>
              <w:right w:val="nil"/>
            </w:tcBorders>
            <w:shd w:val="clear" w:color="auto" w:fill="auto"/>
            <w:noWrap/>
            <w:vAlign w:val="bottom"/>
            <w:hideMark/>
          </w:tcPr>
          <w:p w:rsidR="004953A2" w:rsidRPr="004953A2" w:rsidRDefault="004953A2" w:rsidP="004953A2">
            <w:pPr>
              <w:overflowPunct/>
              <w:autoSpaceDE/>
              <w:autoSpaceDN/>
              <w:adjustRightInd/>
              <w:spacing w:line="240" w:lineRule="auto"/>
              <w:jc w:val="right"/>
              <w:textAlignment w:val="auto"/>
              <w:rPr>
                <w:rFonts w:ascii="Arial" w:hAnsi="Arial" w:cs="Arial"/>
                <w:sz w:val="20"/>
                <w:lang w:val="en-US"/>
              </w:rPr>
            </w:pPr>
          </w:p>
        </w:tc>
        <w:tc>
          <w:tcPr>
            <w:tcW w:w="1194" w:type="dxa"/>
            <w:tcBorders>
              <w:top w:val="nil"/>
              <w:left w:val="nil"/>
              <w:bottom w:val="nil"/>
              <w:right w:val="nil"/>
            </w:tcBorders>
            <w:shd w:val="clear" w:color="auto" w:fill="auto"/>
            <w:noWrap/>
            <w:vAlign w:val="bottom"/>
            <w:hideMark/>
          </w:tcPr>
          <w:p w:rsidR="004953A2" w:rsidRPr="004953A2" w:rsidRDefault="004953A2" w:rsidP="00060C6E">
            <w:pPr>
              <w:overflowPunct/>
              <w:autoSpaceDE/>
              <w:autoSpaceDN/>
              <w:adjustRightInd/>
              <w:spacing w:line="240" w:lineRule="auto"/>
              <w:jc w:val="right"/>
              <w:textAlignment w:val="auto"/>
              <w:rPr>
                <w:rFonts w:ascii="Arial" w:hAnsi="Arial" w:cs="Arial"/>
                <w:sz w:val="20"/>
                <w:lang w:val="en-US"/>
              </w:rPr>
            </w:pPr>
            <w:r w:rsidRPr="004953A2">
              <w:rPr>
                <w:rFonts w:ascii="Arial" w:hAnsi="Arial" w:cs="Arial"/>
                <w:sz w:val="20"/>
                <w:lang w:val="en-US"/>
              </w:rPr>
              <w:t xml:space="preserve">( </w:t>
            </w:r>
            <w:r w:rsidR="00060C6E" w:rsidRPr="004953A2">
              <w:rPr>
                <w:rFonts w:ascii="Arial" w:hAnsi="Arial" w:cs="Arial"/>
                <w:sz w:val="20"/>
                <w:lang w:val="en-US"/>
              </w:rPr>
              <w:t>3'</w:t>
            </w:r>
            <w:r w:rsidR="00060C6E">
              <w:rPr>
                <w:rFonts w:ascii="Arial" w:hAnsi="Arial" w:cs="Arial"/>
                <w:sz w:val="20"/>
                <w:lang w:val="en-US"/>
              </w:rPr>
              <w:t>090</w:t>
            </w:r>
            <w:r w:rsidRPr="004953A2">
              <w:rPr>
                <w:rFonts w:ascii="Arial" w:hAnsi="Arial" w:cs="Arial"/>
                <w:sz w:val="20"/>
                <w:lang w:val="en-US"/>
              </w:rPr>
              <w:t>)</w:t>
            </w:r>
          </w:p>
        </w:tc>
        <w:tc>
          <w:tcPr>
            <w:tcW w:w="264" w:type="dxa"/>
            <w:tcBorders>
              <w:top w:val="nil"/>
              <w:left w:val="nil"/>
              <w:bottom w:val="nil"/>
              <w:right w:val="nil"/>
            </w:tcBorders>
            <w:shd w:val="clear" w:color="auto" w:fill="auto"/>
            <w:noWrap/>
            <w:vAlign w:val="bottom"/>
            <w:hideMark/>
          </w:tcPr>
          <w:p w:rsidR="004953A2" w:rsidRPr="004953A2" w:rsidRDefault="004953A2" w:rsidP="004953A2">
            <w:pPr>
              <w:overflowPunct/>
              <w:autoSpaceDE/>
              <w:autoSpaceDN/>
              <w:adjustRightInd/>
              <w:spacing w:line="240" w:lineRule="auto"/>
              <w:jc w:val="right"/>
              <w:textAlignment w:val="auto"/>
              <w:rPr>
                <w:rFonts w:ascii="Arial" w:hAnsi="Arial" w:cs="Arial"/>
                <w:sz w:val="20"/>
                <w:lang w:val="en-US"/>
              </w:rPr>
            </w:pPr>
          </w:p>
        </w:tc>
        <w:tc>
          <w:tcPr>
            <w:tcW w:w="264" w:type="dxa"/>
            <w:tcBorders>
              <w:top w:val="nil"/>
              <w:left w:val="nil"/>
              <w:bottom w:val="nil"/>
              <w:right w:val="nil"/>
            </w:tcBorders>
            <w:shd w:val="clear" w:color="auto" w:fill="auto"/>
            <w:noWrap/>
            <w:hideMark/>
          </w:tcPr>
          <w:p w:rsidR="004953A2" w:rsidRPr="004953A2" w:rsidRDefault="004953A2" w:rsidP="004953A2">
            <w:pPr>
              <w:overflowPunct/>
              <w:autoSpaceDE/>
              <w:autoSpaceDN/>
              <w:adjustRightInd/>
              <w:spacing w:line="240" w:lineRule="auto"/>
              <w:textAlignment w:val="auto"/>
              <w:rPr>
                <w:rFonts w:ascii="Arial" w:hAnsi="Arial" w:cs="Arial"/>
                <w:sz w:val="20"/>
                <w:lang w:val="en-US"/>
              </w:rPr>
            </w:pPr>
          </w:p>
        </w:tc>
        <w:tc>
          <w:tcPr>
            <w:tcW w:w="964" w:type="dxa"/>
            <w:tcBorders>
              <w:top w:val="nil"/>
              <w:left w:val="nil"/>
              <w:bottom w:val="nil"/>
              <w:right w:val="single" w:sz="4" w:space="0" w:color="auto"/>
            </w:tcBorders>
            <w:shd w:val="clear" w:color="auto" w:fill="auto"/>
            <w:noWrap/>
            <w:vAlign w:val="bottom"/>
            <w:hideMark/>
          </w:tcPr>
          <w:p w:rsidR="004953A2" w:rsidRPr="004953A2" w:rsidRDefault="00547338" w:rsidP="004953A2">
            <w:pPr>
              <w:overflowPunct/>
              <w:autoSpaceDE/>
              <w:autoSpaceDN/>
              <w:adjustRightInd/>
              <w:spacing w:line="240" w:lineRule="auto"/>
              <w:jc w:val="right"/>
              <w:textAlignment w:val="auto"/>
              <w:rPr>
                <w:rFonts w:ascii="Arial" w:hAnsi="Arial" w:cs="Arial"/>
                <w:sz w:val="20"/>
                <w:lang w:val="en-US"/>
              </w:rPr>
            </w:pPr>
            <w:r>
              <w:rPr>
                <w:rFonts w:ascii="Arial" w:hAnsi="Arial" w:cs="Arial"/>
                <w:sz w:val="20"/>
                <w:lang w:val="en-US"/>
              </w:rPr>
              <w:t xml:space="preserve"> -</w:t>
            </w:r>
            <w:r w:rsidR="004953A2" w:rsidRPr="004953A2">
              <w:rPr>
                <w:rFonts w:ascii="Arial" w:hAnsi="Arial" w:cs="Arial"/>
                <w:sz w:val="20"/>
                <w:lang w:val="en-US"/>
              </w:rPr>
              <w:t xml:space="preserve"> </w:t>
            </w:r>
          </w:p>
        </w:tc>
      </w:tr>
      <w:tr w:rsidR="004953A2" w:rsidRPr="004953A2" w:rsidTr="004953A2">
        <w:trPr>
          <w:trHeight w:val="152"/>
        </w:trPr>
        <w:tc>
          <w:tcPr>
            <w:tcW w:w="3737" w:type="dxa"/>
            <w:tcBorders>
              <w:top w:val="nil"/>
              <w:left w:val="single" w:sz="4" w:space="0" w:color="auto"/>
              <w:bottom w:val="nil"/>
              <w:right w:val="nil"/>
            </w:tcBorders>
            <w:shd w:val="clear" w:color="auto" w:fill="auto"/>
            <w:hideMark/>
          </w:tcPr>
          <w:p w:rsidR="00BA7FFB" w:rsidRDefault="00BA7FFB" w:rsidP="004953A2">
            <w:pPr>
              <w:overflowPunct/>
              <w:autoSpaceDE/>
              <w:autoSpaceDN/>
              <w:adjustRightInd/>
              <w:spacing w:line="240" w:lineRule="auto"/>
              <w:textAlignment w:val="auto"/>
              <w:rPr>
                <w:rFonts w:ascii="Arial" w:hAnsi="Arial" w:cs="Arial"/>
                <w:sz w:val="20"/>
                <w:lang w:val="en-US"/>
              </w:rPr>
            </w:pPr>
          </w:p>
          <w:p w:rsidR="004953A2" w:rsidRPr="004953A2" w:rsidRDefault="004953A2" w:rsidP="004953A2">
            <w:pPr>
              <w:overflowPunct/>
              <w:autoSpaceDE/>
              <w:autoSpaceDN/>
              <w:adjustRightInd/>
              <w:spacing w:line="240" w:lineRule="auto"/>
              <w:textAlignment w:val="auto"/>
              <w:rPr>
                <w:rFonts w:ascii="Arial" w:hAnsi="Arial" w:cs="Arial"/>
                <w:sz w:val="20"/>
                <w:lang w:val="en-US"/>
              </w:rPr>
            </w:pPr>
            <w:r w:rsidRPr="004953A2">
              <w:rPr>
                <w:rFonts w:ascii="Arial" w:hAnsi="Arial" w:cs="Arial"/>
                <w:sz w:val="20"/>
                <w:lang w:val="en-US"/>
              </w:rPr>
              <w:t>Profit for the year</w:t>
            </w:r>
          </w:p>
        </w:tc>
        <w:tc>
          <w:tcPr>
            <w:tcW w:w="964" w:type="dxa"/>
            <w:tcBorders>
              <w:top w:val="nil"/>
              <w:left w:val="nil"/>
              <w:bottom w:val="nil"/>
              <w:right w:val="nil"/>
            </w:tcBorders>
            <w:shd w:val="clear" w:color="auto" w:fill="auto"/>
            <w:noWrap/>
            <w:vAlign w:val="bottom"/>
            <w:hideMark/>
          </w:tcPr>
          <w:p w:rsidR="004953A2" w:rsidRPr="004953A2" w:rsidRDefault="004953A2" w:rsidP="004953A2">
            <w:pPr>
              <w:overflowPunct/>
              <w:autoSpaceDE/>
              <w:autoSpaceDN/>
              <w:adjustRightInd/>
              <w:spacing w:line="240" w:lineRule="auto"/>
              <w:jc w:val="right"/>
              <w:textAlignment w:val="auto"/>
              <w:rPr>
                <w:rFonts w:ascii="Arial" w:hAnsi="Arial" w:cs="Arial"/>
                <w:sz w:val="20"/>
                <w:lang w:val="en-US"/>
              </w:rPr>
            </w:pPr>
            <w:r w:rsidRPr="004953A2">
              <w:rPr>
                <w:rFonts w:ascii="Arial" w:hAnsi="Arial" w:cs="Arial"/>
                <w:sz w:val="20"/>
                <w:lang w:val="en-US"/>
              </w:rPr>
              <w:t xml:space="preserve">             -   </w:t>
            </w:r>
          </w:p>
        </w:tc>
        <w:tc>
          <w:tcPr>
            <w:tcW w:w="264" w:type="dxa"/>
            <w:tcBorders>
              <w:top w:val="nil"/>
              <w:left w:val="nil"/>
              <w:bottom w:val="nil"/>
              <w:right w:val="nil"/>
            </w:tcBorders>
            <w:shd w:val="clear" w:color="auto" w:fill="auto"/>
            <w:noWrap/>
            <w:vAlign w:val="bottom"/>
            <w:hideMark/>
          </w:tcPr>
          <w:p w:rsidR="004953A2" w:rsidRPr="004953A2" w:rsidRDefault="004953A2" w:rsidP="004953A2">
            <w:pPr>
              <w:overflowPunct/>
              <w:autoSpaceDE/>
              <w:autoSpaceDN/>
              <w:adjustRightInd/>
              <w:spacing w:line="240" w:lineRule="auto"/>
              <w:jc w:val="right"/>
              <w:textAlignment w:val="auto"/>
              <w:rPr>
                <w:rFonts w:ascii="Arial" w:hAnsi="Arial" w:cs="Arial"/>
                <w:sz w:val="20"/>
                <w:lang w:val="en-US"/>
              </w:rPr>
            </w:pPr>
          </w:p>
        </w:tc>
        <w:tc>
          <w:tcPr>
            <w:tcW w:w="1102" w:type="dxa"/>
            <w:tcBorders>
              <w:top w:val="nil"/>
              <w:left w:val="nil"/>
              <w:bottom w:val="nil"/>
              <w:right w:val="nil"/>
            </w:tcBorders>
            <w:shd w:val="clear" w:color="auto" w:fill="auto"/>
            <w:noWrap/>
            <w:vAlign w:val="bottom"/>
            <w:hideMark/>
          </w:tcPr>
          <w:p w:rsidR="004953A2" w:rsidRPr="004953A2" w:rsidRDefault="004953A2" w:rsidP="004953A2">
            <w:pPr>
              <w:overflowPunct/>
              <w:autoSpaceDE/>
              <w:autoSpaceDN/>
              <w:adjustRightInd/>
              <w:spacing w:line="240" w:lineRule="auto"/>
              <w:jc w:val="right"/>
              <w:textAlignment w:val="auto"/>
              <w:rPr>
                <w:rFonts w:ascii="Arial" w:hAnsi="Arial" w:cs="Arial"/>
                <w:sz w:val="20"/>
                <w:lang w:val="en-US"/>
              </w:rPr>
            </w:pPr>
            <w:r w:rsidRPr="004953A2">
              <w:rPr>
                <w:rFonts w:ascii="Arial" w:hAnsi="Arial" w:cs="Arial"/>
                <w:sz w:val="20"/>
                <w:lang w:val="en-US"/>
              </w:rPr>
              <w:t xml:space="preserve">                -   </w:t>
            </w:r>
          </w:p>
        </w:tc>
        <w:tc>
          <w:tcPr>
            <w:tcW w:w="264" w:type="dxa"/>
            <w:tcBorders>
              <w:top w:val="nil"/>
              <w:left w:val="nil"/>
              <w:bottom w:val="nil"/>
              <w:right w:val="nil"/>
            </w:tcBorders>
            <w:shd w:val="clear" w:color="auto" w:fill="auto"/>
            <w:noWrap/>
            <w:vAlign w:val="bottom"/>
            <w:hideMark/>
          </w:tcPr>
          <w:p w:rsidR="004953A2" w:rsidRPr="004953A2" w:rsidRDefault="004953A2" w:rsidP="004953A2">
            <w:pPr>
              <w:overflowPunct/>
              <w:autoSpaceDE/>
              <w:autoSpaceDN/>
              <w:adjustRightInd/>
              <w:spacing w:line="240" w:lineRule="auto"/>
              <w:jc w:val="right"/>
              <w:textAlignment w:val="auto"/>
              <w:rPr>
                <w:rFonts w:ascii="Arial" w:hAnsi="Arial" w:cs="Arial"/>
                <w:sz w:val="20"/>
                <w:lang w:val="en-US"/>
              </w:rPr>
            </w:pPr>
          </w:p>
        </w:tc>
        <w:tc>
          <w:tcPr>
            <w:tcW w:w="1194" w:type="dxa"/>
            <w:tcBorders>
              <w:top w:val="nil"/>
              <w:left w:val="nil"/>
              <w:bottom w:val="nil"/>
              <w:right w:val="nil"/>
            </w:tcBorders>
            <w:shd w:val="clear" w:color="auto" w:fill="auto"/>
            <w:noWrap/>
            <w:vAlign w:val="bottom"/>
            <w:hideMark/>
          </w:tcPr>
          <w:p w:rsidR="004953A2" w:rsidRPr="004953A2" w:rsidRDefault="004953A2" w:rsidP="004953A2">
            <w:pPr>
              <w:overflowPunct/>
              <w:autoSpaceDE/>
              <w:autoSpaceDN/>
              <w:adjustRightInd/>
              <w:spacing w:line="240" w:lineRule="auto"/>
              <w:jc w:val="right"/>
              <w:textAlignment w:val="auto"/>
              <w:rPr>
                <w:rFonts w:ascii="Arial" w:hAnsi="Arial" w:cs="Arial"/>
                <w:sz w:val="20"/>
                <w:lang w:val="en-US"/>
              </w:rPr>
            </w:pPr>
            <w:r w:rsidRPr="004953A2">
              <w:rPr>
                <w:rFonts w:ascii="Arial" w:hAnsi="Arial" w:cs="Arial"/>
                <w:sz w:val="20"/>
                <w:lang w:val="en-US"/>
              </w:rPr>
              <w:t xml:space="preserve"> 1'083 </w:t>
            </w:r>
          </w:p>
        </w:tc>
        <w:tc>
          <w:tcPr>
            <w:tcW w:w="264" w:type="dxa"/>
            <w:tcBorders>
              <w:top w:val="nil"/>
              <w:left w:val="nil"/>
              <w:bottom w:val="nil"/>
              <w:right w:val="nil"/>
            </w:tcBorders>
            <w:shd w:val="clear" w:color="auto" w:fill="auto"/>
            <w:noWrap/>
            <w:vAlign w:val="bottom"/>
            <w:hideMark/>
          </w:tcPr>
          <w:p w:rsidR="004953A2" w:rsidRPr="004953A2" w:rsidRDefault="004953A2" w:rsidP="004953A2">
            <w:pPr>
              <w:overflowPunct/>
              <w:autoSpaceDE/>
              <w:autoSpaceDN/>
              <w:adjustRightInd/>
              <w:spacing w:line="240" w:lineRule="auto"/>
              <w:jc w:val="right"/>
              <w:textAlignment w:val="auto"/>
              <w:rPr>
                <w:rFonts w:ascii="Arial" w:hAnsi="Arial" w:cs="Arial"/>
                <w:sz w:val="20"/>
                <w:lang w:val="en-US"/>
              </w:rPr>
            </w:pPr>
          </w:p>
        </w:tc>
        <w:tc>
          <w:tcPr>
            <w:tcW w:w="264" w:type="dxa"/>
            <w:tcBorders>
              <w:top w:val="nil"/>
              <w:left w:val="nil"/>
              <w:bottom w:val="nil"/>
              <w:right w:val="nil"/>
            </w:tcBorders>
            <w:shd w:val="clear" w:color="auto" w:fill="auto"/>
            <w:noWrap/>
            <w:hideMark/>
          </w:tcPr>
          <w:p w:rsidR="004953A2" w:rsidRPr="004953A2" w:rsidRDefault="004953A2" w:rsidP="004953A2">
            <w:pPr>
              <w:overflowPunct/>
              <w:autoSpaceDE/>
              <w:autoSpaceDN/>
              <w:adjustRightInd/>
              <w:spacing w:line="240" w:lineRule="auto"/>
              <w:textAlignment w:val="auto"/>
              <w:rPr>
                <w:rFonts w:ascii="Arial" w:hAnsi="Arial" w:cs="Arial"/>
                <w:sz w:val="20"/>
                <w:lang w:val="en-US"/>
              </w:rPr>
            </w:pPr>
          </w:p>
        </w:tc>
        <w:tc>
          <w:tcPr>
            <w:tcW w:w="964" w:type="dxa"/>
            <w:tcBorders>
              <w:top w:val="nil"/>
              <w:left w:val="nil"/>
              <w:bottom w:val="nil"/>
              <w:right w:val="single" w:sz="4" w:space="0" w:color="auto"/>
            </w:tcBorders>
            <w:shd w:val="clear" w:color="auto" w:fill="auto"/>
            <w:noWrap/>
            <w:vAlign w:val="bottom"/>
            <w:hideMark/>
          </w:tcPr>
          <w:p w:rsidR="004953A2" w:rsidRPr="004953A2" w:rsidRDefault="004953A2" w:rsidP="004953A2">
            <w:pPr>
              <w:overflowPunct/>
              <w:autoSpaceDE/>
              <w:autoSpaceDN/>
              <w:adjustRightInd/>
              <w:spacing w:line="240" w:lineRule="auto"/>
              <w:jc w:val="right"/>
              <w:textAlignment w:val="auto"/>
              <w:rPr>
                <w:rFonts w:ascii="Arial" w:hAnsi="Arial" w:cs="Arial"/>
                <w:sz w:val="20"/>
                <w:lang w:val="en-US"/>
              </w:rPr>
            </w:pPr>
            <w:r w:rsidRPr="004953A2">
              <w:rPr>
                <w:rFonts w:ascii="Arial" w:hAnsi="Arial" w:cs="Arial"/>
                <w:sz w:val="20"/>
                <w:lang w:val="en-US"/>
              </w:rPr>
              <w:t xml:space="preserve"> 1'083 </w:t>
            </w:r>
          </w:p>
        </w:tc>
      </w:tr>
      <w:tr w:rsidR="004953A2" w:rsidRPr="004953A2" w:rsidTr="004953A2">
        <w:trPr>
          <w:trHeight w:val="152"/>
        </w:trPr>
        <w:tc>
          <w:tcPr>
            <w:tcW w:w="3737" w:type="dxa"/>
            <w:tcBorders>
              <w:top w:val="nil"/>
              <w:left w:val="single" w:sz="4" w:space="0" w:color="auto"/>
              <w:bottom w:val="nil"/>
              <w:right w:val="nil"/>
            </w:tcBorders>
            <w:shd w:val="clear" w:color="auto" w:fill="auto"/>
            <w:noWrap/>
            <w:hideMark/>
          </w:tcPr>
          <w:p w:rsidR="004953A2" w:rsidRPr="004953A2" w:rsidRDefault="004953A2" w:rsidP="004953A2">
            <w:pPr>
              <w:overflowPunct/>
              <w:autoSpaceDE/>
              <w:autoSpaceDN/>
              <w:adjustRightInd/>
              <w:spacing w:line="240" w:lineRule="auto"/>
              <w:textAlignment w:val="auto"/>
              <w:rPr>
                <w:rFonts w:ascii="Arial" w:hAnsi="Arial" w:cs="Arial"/>
                <w:sz w:val="20"/>
                <w:lang w:val="en-US"/>
              </w:rPr>
            </w:pPr>
            <w:r w:rsidRPr="004953A2">
              <w:rPr>
                <w:rFonts w:ascii="Arial" w:hAnsi="Arial" w:cs="Arial"/>
                <w:sz w:val="20"/>
                <w:lang w:val="en-US"/>
              </w:rPr>
              <w:t> </w:t>
            </w:r>
          </w:p>
        </w:tc>
        <w:tc>
          <w:tcPr>
            <w:tcW w:w="964" w:type="dxa"/>
            <w:tcBorders>
              <w:top w:val="nil"/>
              <w:left w:val="nil"/>
              <w:bottom w:val="nil"/>
              <w:right w:val="nil"/>
            </w:tcBorders>
            <w:shd w:val="clear" w:color="auto" w:fill="auto"/>
            <w:noWrap/>
            <w:vAlign w:val="bottom"/>
            <w:hideMark/>
          </w:tcPr>
          <w:p w:rsidR="004953A2" w:rsidRPr="004953A2" w:rsidRDefault="004953A2" w:rsidP="004953A2">
            <w:pPr>
              <w:overflowPunct/>
              <w:autoSpaceDE/>
              <w:autoSpaceDN/>
              <w:adjustRightInd/>
              <w:spacing w:line="240" w:lineRule="auto"/>
              <w:jc w:val="right"/>
              <w:textAlignment w:val="auto"/>
              <w:rPr>
                <w:rFonts w:ascii="Arial" w:hAnsi="Arial" w:cs="Arial"/>
                <w:sz w:val="20"/>
                <w:lang w:val="en-US"/>
              </w:rPr>
            </w:pPr>
          </w:p>
        </w:tc>
        <w:tc>
          <w:tcPr>
            <w:tcW w:w="264" w:type="dxa"/>
            <w:tcBorders>
              <w:top w:val="nil"/>
              <w:left w:val="nil"/>
              <w:bottom w:val="nil"/>
              <w:right w:val="nil"/>
            </w:tcBorders>
            <w:shd w:val="clear" w:color="auto" w:fill="auto"/>
            <w:noWrap/>
            <w:vAlign w:val="bottom"/>
            <w:hideMark/>
          </w:tcPr>
          <w:p w:rsidR="004953A2" w:rsidRPr="004953A2" w:rsidRDefault="004953A2" w:rsidP="004953A2">
            <w:pPr>
              <w:overflowPunct/>
              <w:autoSpaceDE/>
              <w:autoSpaceDN/>
              <w:adjustRightInd/>
              <w:spacing w:line="240" w:lineRule="auto"/>
              <w:jc w:val="right"/>
              <w:textAlignment w:val="auto"/>
              <w:rPr>
                <w:rFonts w:ascii="Arial" w:hAnsi="Arial" w:cs="Arial"/>
                <w:sz w:val="20"/>
                <w:lang w:val="en-US"/>
              </w:rPr>
            </w:pPr>
          </w:p>
        </w:tc>
        <w:tc>
          <w:tcPr>
            <w:tcW w:w="1102" w:type="dxa"/>
            <w:tcBorders>
              <w:top w:val="nil"/>
              <w:left w:val="nil"/>
              <w:bottom w:val="nil"/>
              <w:right w:val="nil"/>
            </w:tcBorders>
            <w:shd w:val="clear" w:color="auto" w:fill="auto"/>
            <w:noWrap/>
            <w:vAlign w:val="bottom"/>
            <w:hideMark/>
          </w:tcPr>
          <w:p w:rsidR="004953A2" w:rsidRPr="004953A2" w:rsidRDefault="004953A2" w:rsidP="004953A2">
            <w:pPr>
              <w:overflowPunct/>
              <w:autoSpaceDE/>
              <w:autoSpaceDN/>
              <w:adjustRightInd/>
              <w:spacing w:line="240" w:lineRule="auto"/>
              <w:jc w:val="right"/>
              <w:textAlignment w:val="auto"/>
              <w:rPr>
                <w:rFonts w:ascii="Arial" w:hAnsi="Arial" w:cs="Arial"/>
                <w:sz w:val="20"/>
                <w:lang w:val="en-US"/>
              </w:rPr>
            </w:pPr>
          </w:p>
        </w:tc>
        <w:tc>
          <w:tcPr>
            <w:tcW w:w="264" w:type="dxa"/>
            <w:tcBorders>
              <w:top w:val="nil"/>
              <w:left w:val="nil"/>
              <w:bottom w:val="nil"/>
              <w:right w:val="nil"/>
            </w:tcBorders>
            <w:shd w:val="clear" w:color="auto" w:fill="auto"/>
            <w:noWrap/>
            <w:vAlign w:val="bottom"/>
            <w:hideMark/>
          </w:tcPr>
          <w:p w:rsidR="004953A2" w:rsidRPr="004953A2" w:rsidRDefault="004953A2" w:rsidP="004953A2">
            <w:pPr>
              <w:overflowPunct/>
              <w:autoSpaceDE/>
              <w:autoSpaceDN/>
              <w:adjustRightInd/>
              <w:spacing w:line="240" w:lineRule="auto"/>
              <w:jc w:val="right"/>
              <w:textAlignment w:val="auto"/>
              <w:rPr>
                <w:rFonts w:ascii="Arial" w:hAnsi="Arial" w:cs="Arial"/>
                <w:sz w:val="20"/>
                <w:lang w:val="en-US"/>
              </w:rPr>
            </w:pPr>
          </w:p>
        </w:tc>
        <w:tc>
          <w:tcPr>
            <w:tcW w:w="1194" w:type="dxa"/>
            <w:tcBorders>
              <w:top w:val="nil"/>
              <w:left w:val="nil"/>
              <w:bottom w:val="nil"/>
              <w:right w:val="nil"/>
            </w:tcBorders>
            <w:shd w:val="clear" w:color="auto" w:fill="auto"/>
            <w:noWrap/>
            <w:vAlign w:val="bottom"/>
            <w:hideMark/>
          </w:tcPr>
          <w:p w:rsidR="004953A2" w:rsidRPr="004953A2" w:rsidRDefault="004953A2" w:rsidP="004953A2">
            <w:pPr>
              <w:overflowPunct/>
              <w:autoSpaceDE/>
              <w:autoSpaceDN/>
              <w:adjustRightInd/>
              <w:spacing w:line="240" w:lineRule="auto"/>
              <w:jc w:val="right"/>
              <w:textAlignment w:val="auto"/>
              <w:rPr>
                <w:rFonts w:ascii="Arial" w:hAnsi="Arial" w:cs="Arial"/>
                <w:sz w:val="20"/>
                <w:lang w:val="en-US"/>
              </w:rPr>
            </w:pPr>
          </w:p>
        </w:tc>
        <w:tc>
          <w:tcPr>
            <w:tcW w:w="264" w:type="dxa"/>
            <w:tcBorders>
              <w:top w:val="nil"/>
              <w:left w:val="nil"/>
              <w:bottom w:val="nil"/>
              <w:right w:val="nil"/>
            </w:tcBorders>
            <w:shd w:val="clear" w:color="auto" w:fill="auto"/>
            <w:noWrap/>
            <w:vAlign w:val="bottom"/>
            <w:hideMark/>
          </w:tcPr>
          <w:p w:rsidR="004953A2" w:rsidRPr="004953A2" w:rsidRDefault="004953A2" w:rsidP="004953A2">
            <w:pPr>
              <w:overflowPunct/>
              <w:autoSpaceDE/>
              <w:autoSpaceDN/>
              <w:adjustRightInd/>
              <w:spacing w:line="240" w:lineRule="auto"/>
              <w:jc w:val="right"/>
              <w:textAlignment w:val="auto"/>
              <w:rPr>
                <w:rFonts w:ascii="Arial" w:hAnsi="Arial" w:cs="Arial"/>
                <w:sz w:val="20"/>
                <w:lang w:val="en-US"/>
              </w:rPr>
            </w:pPr>
          </w:p>
        </w:tc>
        <w:tc>
          <w:tcPr>
            <w:tcW w:w="264" w:type="dxa"/>
            <w:tcBorders>
              <w:top w:val="nil"/>
              <w:left w:val="nil"/>
              <w:bottom w:val="nil"/>
              <w:right w:val="nil"/>
            </w:tcBorders>
            <w:shd w:val="clear" w:color="auto" w:fill="auto"/>
            <w:noWrap/>
            <w:hideMark/>
          </w:tcPr>
          <w:p w:rsidR="004953A2" w:rsidRPr="004953A2" w:rsidRDefault="004953A2" w:rsidP="004953A2">
            <w:pPr>
              <w:overflowPunct/>
              <w:autoSpaceDE/>
              <w:autoSpaceDN/>
              <w:adjustRightInd/>
              <w:spacing w:line="240" w:lineRule="auto"/>
              <w:textAlignment w:val="auto"/>
              <w:rPr>
                <w:rFonts w:ascii="Arial" w:hAnsi="Arial" w:cs="Arial"/>
                <w:sz w:val="20"/>
                <w:lang w:val="en-US"/>
              </w:rPr>
            </w:pPr>
          </w:p>
        </w:tc>
        <w:tc>
          <w:tcPr>
            <w:tcW w:w="964" w:type="dxa"/>
            <w:tcBorders>
              <w:top w:val="nil"/>
              <w:left w:val="nil"/>
              <w:bottom w:val="nil"/>
              <w:right w:val="single" w:sz="4" w:space="0" w:color="auto"/>
            </w:tcBorders>
            <w:shd w:val="clear" w:color="auto" w:fill="auto"/>
            <w:noWrap/>
            <w:vAlign w:val="bottom"/>
            <w:hideMark/>
          </w:tcPr>
          <w:p w:rsidR="004953A2" w:rsidRPr="004953A2" w:rsidRDefault="004953A2" w:rsidP="004953A2">
            <w:pPr>
              <w:overflowPunct/>
              <w:autoSpaceDE/>
              <w:autoSpaceDN/>
              <w:adjustRightInd/>
              <w:spacing w:line="240" w:lineRule="auto"/>
              <w:jc w:val="right"/>
              <w:textAlignment w:val="auto"/>
              <w:rPr>
                <w:rFonts w:ascii="Arial" w:hAnsi="Arial" w:cs="Arial"/>
                <w:sz w:val="20"/>
                <w:lang w:val="en-US"/>
              </w:rPr>
            </w:pPr>
            <w:r w:rsidRPr="004953A2">
              <w:rPr>
                <w:rFonts w:ascii="Arial" w:hAnsi="Arial" w:cs="Arial"/>
                <w:sz w:val="20"/>
                <w:lang w:val="en-US"/>
              </w:rPr>
              <w:t> </w:t>
            </w:r>
          </w:p>
        </w:tc>
      </w:tr>
      <w:tr w:rsidR="004953A2" w:rsidRPr="004953A2" w:rsidTr="004953A2">
        <w:trPr>
          <w:trHeight w:val="159"/>
        </w:trPr>
        <w:tc>
          <w:tcPr>
            <w:tcW w:w="3737" w:type="dxa"/>
            <w:tcBorders>
              <w:top w:val="nil"/>
              <w:left w:val="single" w:sz="4" w:space="0" w:color="auto"/>
              <w:bottom w:val="nil"/>
              <w:right w:val="nil"/>
            </w:tcBorders>
            <w:shd w:val="clear" w:color="auto" w:fill="auto"/>
            <w:hideMark/>
          </w:tcPr>
          <w:p w:rsidR="004953A2" w:rsidRPr="004953A2" w:rsidRDefault="004953A2" w:rsidP="004953A2">
            <w:pPr>
              <w:overflowPunct/>
              <w:autoSpaceDE/>
              <w:autoSpaceDN/>
              <w:adjustRightInd/>
              <w:spacing w:line="240" w:lineRule="auto"/>
              <w:textAlignment w:val="auto"/>
              <w:rPr>
                <w:rFonts w:ascii="Arial" w:hAnsi="Arial" w:cs="Arial"/>
                <w:sz w:val="20"/>
                <w:lang w:val="en-US"/>
              </w:rPr>
            </w:pPr>
            <w:r w:rsidRPr="004953A2">
              <w:rPr>
                <w:rFonts w:ascii="Arial" w:hAnsi="Arial" w:cs="Arial"/>
                <w:sz w:val="20"/>
                <w:lang w:val="en-US"/>
              </w:rPr>
              <w:t>Balance at 31 December 2011</w:t>
            </w:r>
          </w:p>
        </w:tc>
        <w:tc>
          <w:tcPr>
            <w:tcW w:w="964" w:type="dxa"/>
            <w:tcBorders>
              <w:top w:val="single" w:sz="4" w:space="0" w:color="auto"/>
              <w:left w:val="nil"/>
              <w:bottom w:val="double" w:sz="6" w:space="0" w:color="auto"/>
              <w:right w:val="nil"/>
            </w:tcBorders>
            <w:shd w:val="clear" w:color="auto" w:fill="auto"/>
            <w:noWrap/>
            <w:vAlign w:val="bottom"/>
            <w:hideMark/>
          </w:tcPr>
          <w:p w:rsidR="004953A2" w:rsidRPr="004953A2" w:rsidRDefault="004953A2" w:rsidP="00BA7FFB">
            <w:pPr>
              <w:overflowPunct/>
              <w:autoSpaceDE/>
              <w:autoSpaceDN/>
              <w:adjustRightInd/>
              <w:spacing w:line="240" w:lineRule="auto"/>
              <w:jc w:val="right"/>
              <w:textAlignment w:val="auto"/>
              <w:rPr>
                <w:rFonts w:ascii="Arial" w:hAnsi="Arial" w:cs="Arial"/>
                <w:sz w:val="20"/>
                <w:lang w:val="en-US"/>
              </w:rPr>
            </w:pPr>
            <w:r w:rsidRPr="004953A2">
              <w:rPr>
                <w:rFonts w:ascii="Arial" w:hAnsi="Arial" w:cs="Arial"/>
                <w:sz w:val="20"/>
                <w:lang w:val="en-US"/>
              </w:rPr>
              <w:t xml:space="preserve"> </w:t>
            </w:r>
            <w:r w:rsidR="00BA7FFB">
              <w:rPr>
                <w:rFonts w:ascii="Arial" w:hAnsi="Arial" w:cs="Arial"/>
                <w:sz w:val="20"/>
                <w:lang w:val="en-US"/>
              </w:rPr>
              <w:t>59</w:t>
            </w:r>
            <w:r w:rsidR="00BA7FFB" w:rsidRPr="004953A2">
              <w:rPr>
                <w:rFonts w:ascii="Arial" w:hAnsi="Arial" w:cs="Arial"/>
                <w:sz w:val="20"/>
                <w:lang w:val="en-US"/>
              </w:rPr>
              <w:t xml:space="preserve"> </w:t>
            </w:r>
          </w:p>
        </w:tc>
        <w:tc>
          <w:tcPr>
            <w:tcW w:w="264" w:type="dxa"/>
            <w:tcBorders>
              <w:top w:val="nil"/>
              <w:left w:val="nil"/>
              <w:bottom w:val="nil"/>
              <w:right w:val="nil"/>
            </w:tcBorders>
            <w:shd w:val="clear" w:color="auto" w:fill="auto"/>
            <w:noWrap/>
            <w:vAlign w:val="bottom"/>
            <w:hideMark/>
          </w:tcPr>
          <w:p w:rsidR="004953A2" w:rsidRPr="004953A2" w:rsidRDefault="004953A2" w:rsidP="004953A2">
            <w:pPr>
              <w:overflowPunct/>
              <w:autoSpaceDE/>
              <w:autoSpaceDN/>
              <w:adjustRightInd/>
              <w:spacing w:line="240" w:lineRule="auto"/>
              <w:jc w:val="right"/>
              <w:textAlignment w:val="auto"/>
              <w:rPr>
                <w:rFonts w:ascii="Arial" w:hAnsi="Arial" w:cs="Arial"/>
                <w:sz w:val="20"/>
                <w:lang w:val="en-US"/>
              </w:rPr>
            </w:pPr>
          </w:p>
        </w:tc>
        <w:tc>
          <w:tcPr>
            <w:tcW w:w="1102" w:type="dxa"/>
            <w:tcBorders>
              <w:top w:val="single" w:sz="4" w:space="0" w:color="auto"/>
              <w:left w:val="nil"/>
              <w:bottom w:val="double" w:sz="6" w:space="0" w:color="auto"/>
              <w:right w:val="nil"/>
            </w:tcBorders>
            <w:shd w:val="clear" w:color="auto" w:fill="auto"/>
            <w:noWrap/>
            <w:vAlign w:val="bottom"/>
            <w:hideMark/>
          </w:tcPr>
          <w:p w:rsidR="004953A2" w:rsidRPr="004953A2" w:rsidRDefault="004953A2" w:rsidP="00BA7FFB">
            <w:pPr>
              <w:overflowPunct/>
              <w:autoSpaceDE/>
              <w:autoSpaceDN/>
              <w:adjustRightInd/>
              <w:spacing w:line="240" w:lineRule="auto"/>
              <w:jc w:val="right"/>
              <w:textAlignment w:val="auto"/>
              <w:rPr>
                <w:rFonts w:ascii="Arial" w:hAnsi="Arial" w:cs="Arial"/>
                <w:sz w:val="20"/>
                <w:lang w:val="en-US"/>
              </w:rPr>
            </w:pPr>
            <w:r w:rsidRPr="004953A2">
              <w:rPr>
                <w:rFonts w:ascii="Arial" w:hAnsi="Arial" w:cs="Arial"/>
                <w:sz w:val="20"/>
                <w:lang w:val="en-US"/>
              </w:rPr>
              <w:t xml:space="preserve"> </w:t>
            </w:r>
            <w:r w:rsidR="00BA7FFB" w:rsidRPr="004953A2">
              <w:rPr>
                <w:rFonts w:ascii="Arial" w:hAnsi="Arial" w:cs="Arial"/>
                <w:sz w:val="20"/>
                <w:lang w:val="en-US"/>
              </w:rPr>
              <w:t>3'5</w:t>
            </w:r>
            <w:r w:rsidR="00BA7FFB">
              <w:rPr>
                <w:rFonts w:ascii="Arial" w:hAnsi="Arial" w:cs="Arial"/>
                <w:sz w:val="20"/>
                <w:lang w:val="en-US"/>
              </w:rPr>
              <w:t>80</w:t>
            </w:r>
            <w:r w:rsidR="00BA7FFB" w:rsidRPr="004953A2">
              <w:rPr>
                <w:rFonts w:ascii="Arial" w:hAnsi="Arial" w:cs="Arial"/>
                <w:sz w:val="20"/>
                <w:lang w:val="en-US"/>
              </w:rPr>
              <w:t xml:space="preserve"> </w:t>
            </w:r>
          </w:p>
        </w:tc>
        <w:tc>
          <w:tcPr>
            <w:tcW w:w="264" w:type="dxa"/>
            <w:tcBorders>
              <w:top w:val="nil"/>
              <w:left w:val="nil"/>
              <w:bottom w:val="nil"/>
              <w:right w:val="nil"/>
            </w:tcBorders>
            <w:shd w:val="clear" w:color="auto" w:fill="auto"/>
            <w:noWrap/>
            <w:vAlign w:val="bottom"/>
            <w:hideMark/>
          </w:tcPr>
          <w:p w:rsidR="004953A2" w:rsidRPr="004953A2" w:rsidRDefault="004953A2" w:rsidP="004953A2">
            <w:pPr>
              <w:overflowPunct/>
              <w:autoSpaceDE/>
              <w:autoSpaceDN/>
              <w:adjustRightInd/>
              <w:spacing w:line="240" w:lineRule="auto"/>
              <w:jc w:val="right"/>
              <w:textAlignment w:val="auto"/>
              <w:rPr>
                <w:rFonts w:ascii="Arial" w:hAnsi="Arial" w:cs="Arial"/>
                <w:sz w:val="20"/>
                <w:lang w:val="en-US"/>
              </w:rPr>
            </w:pPr>
          </w:p>
        </w:tc>
        <w:tc>
          <w:tcPr>
            <w:tcW w:w="1194" w:type="dxa"/>
            <w:tcBorders>
              <w:top w:val="single" w:sz="4" w:space="0" w:color="auto"/>
              <w:left w:val="nil"/>
              <w:bottom w:val="double" w:sz="6" w:space="0" w:color="auto"/>
              <w:right w:val="nil"/>
            </w:tcBorders>
            <w:shd w:val="clear" w:color="auto" w:fill="auto"/>
            <w:noWrap/>
            <w:vAlign w:val="bottom"/>
            <w:hideMark/>
          </w:tcPr>
          <w:p w:rsidR="004953A2" w:rsidRPr="004953A2" w:rsidRDefault="004953A2" w:rsidP="004953A2">
            <w:pPr>
              <w:overflowPunct/>
              <w:autoSpaceDE/>
              <w:autoSpaceDN/>
              <w:adjustRightInd/>
              <w:spacing w:line="240" w:lineRule="auto"/>
              <w:jc w:val="right"/>
              <w:textAlignment w:val="auto"/>
              <w:rPr>
                <w:rFonts w:ascii="Arial" w:hAnsi="Arial" w:cs="Arial"/>
                <w:sz w:val="20"/>
                <w:lang w:val="en-US"/>
              </w:rPr>
            </w:pPr>
            <w:r w:rsidRPr="004953A2">
              <w:rPr>
                <w:rFonts w:ascii="Arial" w:hAnsi="Arial" w:cs="Arial"/>
                <w:sz w:val="20"/>
                <w:lang w:val="en-US"/>
              </w:rPr>
              <w:t xml:space="preserve"> 1'083 </w:t>
            </w:r>
          </w:p>
        </w:tc>
        <w:tc>
          <w:tcPr>
            <w:tcW w:w="264" w:type="dxa"/>
            <w:tcBorders>
              <w:top w:val="nil"/>
              <w:left w:val="nil"/>
              <w:bottom w:val="nil"/>
              <w:right w:val="nil"/>
            </w:tcBorders>
            <w:shd w:val="clear" w:color="auto" w:fill="auto"/>
            <w:noWrap/>
            <w:vAlign w:val="bottom"/>
            <w:hideMark/>
          </w:tcPr>
          <w:p w:rsidR="004953A2" w:rsidRPr="004953A2" w:rsidRDefault="004953A2" w:rsidP="004953A2">
            <w:pPr>
              <w:overflowPunct/>
              <w:autoSpaceDE/>
              <w:autoSpaceDN/>
              <w:adjustRightInd/>
              <w:spacing w:line="240" w:lineRule="auto"/>
              <w:jc w:val="right"/>
              <w:textAlignment w:val="auto"/>
              <w:rPr>
                <w:rFonts w:ascii="Arial" w:hAnsi="Arial" w:cs="Arial"/>
                <w:sz w:val="20"/>
                <w:lang w:val="en-US"/>
              </w:rPr>
            </w:pPr>
          </w:p>
        </w:tc>
        <w:tc>
          <w:tcPr>
            <w:tcW w:w="264" w:type="dxa"/>
            <w:tcBorders>
              <w:top w:val="nil"/>
              <w:left w:val="nil"/>
              <w:bottom w:val="nil"/>
              <w:right w:val="nil"/>
            </w:tcBorders>
            <w:shd w:val="clear" w:color="auto" w:fill="auto"/>
            <w:noWrap/>
            <w:hideMark/>
          </w:tcPr>
          <w:p w:rsidR="004953A2" w:rsidRPr="004953A2" w:rsidRDefault="004953A2" w:rsidP="004953A2">
            <w:pPr>
              <w:overflowPunct/>
              <w:autoSpaceDE/>
              <w:autoSpaceDN/>
              <w:adjustRightInd/>
              <w:spacing w:line="240" w:lineRule="auto"/>
              <w:textAlignment w:val="auto"/>
              <w:rPr>
                <w:rFonts w:ascii="Arial" w:hAnsi="Arial" w:cs="Arial"/>
                <w:sz w:val="20"/>
                <w:lang w:val="en-US"/>
              </w:rPr>
            </w:pPr>
          </w:p>
        </w:tc>
        <w:tc>
          <w:tcPr>
            <w:tcW w:w="964" w:type="dxa"/>
            <w:tcBorders>
              <w:top w:val="single" w:sz="4" w:space="0" w:color="auto"/>
              <w:left w:val="nil"/>
              <w:bottom w:val="double" w:sz="6" w:space="0" w:color="auto"/>
              <w:right w:val="single" w:sz="4" w:space="0" w:color="auto"/>
            </w:tcBorders>
            <w:shd w:val="clear" w:color="auto" w:fill="auto"/>
            <w:noWrap/>
            <w:vAlign w:val="bottom"/>
            <w:hideMark/>
          </w:tcPr>
          <w:p w:rsidR="004953A2" w:rsidRPr="004953A2" w:rsidRDefault="004953A2" w:rsidP="00060C6E">
            <w:pPr>
              <w:overflowPunct/>
              <w:autoSpaceDE/>
              <w:autoSpaceDN/>
              <w:adjustRightInd/>
              <w:spacing w:line="240" w:lineRule="auto"/>
              <w:jc w:val="right"/>
              <w:textAlignment w:val="auto"/>
              <w:rPr>
                <w:rFonts w:ascii="Arial" w:hAnsi="Arial" w:cs="Arial"/>
                <w:sz w:val="20"/>
                <w:lang w:val="en-US"/>
              </w:rPr>
            </w:pPr>
            <w:r w:rsidRPr="004953A2">
              <w:rPr>
                <w:rFonts w:ascii="Arial" w:hAnsi="Arial" w:cs="Arial"/>
                <w:sz w:val="20"/>
                <w:lang w:val="en-US"/>
              </w:rPr>
              <w:t xml:space="preserve"> </w:t>
            </w:r>
            <w:r w:rsidR="00060C6E" w:rsidRPr="004953A2">
              <w:rPr>
                <w:rFonts w:ascii="Arial" w:hAnsi="Arial" w:cs="Arial"/>
                <w:sz w:val="20"/>
                <w:lang w:val="en-US"/>
              </w:rPr>
              <w:t>4'72</w:t>
            </w:r>
            <w:r w:rsidR="00060C6E">
              <w:rPr>
                <w:rFonts w:ascii="Arial" w:hAnsi="Arial" w:cs="Arial"/>
                <w:sz w:val="20"/>
                <w:lang w:val="en-US"/>
              </w:rPr>
              <w:t>2</w:t>
            </w:r>
            <w:r w:rsidR="00060C6E" w:rsidRPr="004953A2">
              <w:rPr>
                <w:rFonts w:ascii="Arial" w:hAnsi="Arial" w:cs="Arial"/>
                <w:sz w:val="20"/>
                <w:lang w:val="en-US"/>
              </w:rPr>
              <w:t xml:space="preserve"> </w:t>
            </w:r>
          </w:p>
        </w:tc>
      </w:tr>
      <w:tr w:rsidR="004953A2" w:rsidRPr="004953A2" w:rsidTr="004953A2">
        <w:trPr>
          <w:trHeight w:val="98"/>
        </w:trPr>
        <w:tc>
          <w:tcPr>
            <w:tcW w:w="3737" w:type="dxa"/>
            <w:tcBorders>
              <w:top w:val="nil"/>
              <w:left w:val="single" w:sz="4" w:space="0" w:color="auto"/>
              <w:bottom w:val="nil"/>
              <w:right w:val="nil"/>
            </w:tcBorders>
            <w:shd w:val="clear" w:color="auto" w:fill="auto"/>
            <w:noWrap/>
            <w:hideMark/>
          </w:tcPr>
          <w:p w:rsidR="004953A2" w:rsidRPr="004953A2" w:rsidRDefault="004953A2" w:rsidP="004953A2">
            <w:pPr>
              <w:overflowPunct/>
              <w:autoSpaceDE/>
              <w:autoSpaceDN/>
              <w:adjustRightInd/>
              <w:spacing w:line="240" w:lineRule="auto"/>
              <w:textAlignment w:val="auto"/>
              <w:rPr>
                <w:rFonts w:ascii="Arial" w:hAnsi="Arial" w:cs="Arial"/>
                <w:sz w:val="20"/>
                <w:lang w:val="en-US"/>
              </w:rPr>
            </w:pPr>
            <w:r w:rsidRPr="004953A2">
              <w:rPr>
                <w:rFonts w:ascii="Arial" w:hAnsi="Arial" w:cs="Arial"/>
                <w:sz w:val="20"/>
                <w:lang w:val="en-US"/>
              </w:rPr>
              <w:t> </w:t>
            </w:r>
          </w:p>
        </w:tc>
        <w:tc>
          <w:tcPr>
            <w:tcW w:w="964" w:type="dxa"/>
            <w:tcBorders>
              <w:top w:val="nil"/>
              <w:left w:val="nil"/>
              <w:bottom w:val="nil"/>
              <w:right w:val="nil"/>
            </w:tcBorders>
            <w:shd w:val="clear" w:color="auto" w:fill="auto"/>
            <w:noWrap/>
            <w:hideMark/>
          </w:tcPr>
          <w:p w:rsidR="004953A2" w:rsidRPr="004953A2" w:rsidRDefault="004953A2" w:rsidP="004953A2">
            <w:pPr>
              <w:overflowPunct/>
              <w:autoSpaceDE/>
              <w:autoSpaceDN/>
              <w:adjustRightInd/>
              <w:spacing w:line="240" w:lineRule="auto"/>
              <w:textAlignment w:val="auto"/>
              <w:rPr>
                <w:rFonts w:ascii="Arial" w:hAnsi="Arial" w:cs="Arial"/>
                <w:sz w:val="20"/>
                <w:lang w:val="en-US"/>
              </w:rPr>
            </w:pPr>
            <w:r w:rsidRPr="004953A2">
              <w:rPr>
                <w:rFonts w:ascii="Arial" w:hAnsi="Arial" w:cs="Arial"/>
                <w:sz w:val="20"/>
                <w:lang w:val="en-US"/>
              </w:rPr>
              <w:t> </w:t>
            </w:r>
          </w:p>
        </w:tc>
        <w:tc>
          <w:tcPr>
            <w:tcW w:w="264" w:type="dxa"/>
            <w:tcBorders>
              <w:top w:val="nil"/>
              <w:left w:val="nil"/>
              <w:bottom w:val="nil"/>
              <w:right w:val="nil"/>
            </w:tcBorders>
            <w:shd w:val="clear" w:color="auto" w:fill="auto"/>
            <w:noWrap/>
            <w:hideMark/>
          </w:tcPr>
          <w:p w:rsidR="004953A2" w:rsidRPr="004953A2" w:rsidRDefault="004953A2" w:rsidP="004953A2">
            <w:pPr>
              <w:overflowPunct/>
              <w:autoSpaceDE/>
              <w:autoSpaceDN/>
              <w:adjustRightInd/>
              <w:spacing w:line="240" w:lineRule="auto"/>
              <w:textAlignment w:val="auto"/>
              <w:rPr>
                <w:rFonts w:ascii="Arial" w:hAnsi="Arial" w:cs="Arial"/>
                <w:sz w:val="20"/>
                <w:lang w:val="en-US"/>
              </w:rPr>
            </w:pPr>
            <w:r w:rsidRPr="004953A2">
              <w:rPr>
                <w:rFonts w:ascii="Arial" w:hAnsi="Arial" w:cs="Arial"/>
                <w:sz w:val="20"/>
                <w:lang w:val="en-US"/>
              </w:rPr>
              <w:t> </w:t>
            </w:r>
          </w:p>
        </w:tc>
        <w:tc>
          <w:tcPr>
            <w:tcW w:w="1102" w:type="dxa"/>
            <w:tcBorders>
              <w:top w:val="nil"/>
              <w:left w:val="nil"/>
              <w:bottom w:val="nil"/>
              <w:right w:val="nil"/>
            </w:tcBorders>
            <w:shd w:val="clear" w:color="auto" w:fill="auto"/>
            <w:noWrap/>
            <w:hideMark/>
          </w:tcPr>
          <w:p w:rsidR="004953A2" w:rsidRPr="004953A2" w:rsidRDefault="004953A2" w:rsidP="004953A2">
            <w:pPr>
              <w:overflowPunct/>
              <w:autoSpaceDE/>
              <w:autoSpaceDN/>
              <w:adjustRightInd/>
              <w:spacing w:line="240" w:lineRule="auto"/>
              <w:textAlignment w:val="auto"/>
              <w:rPr>
                <w:rFonts w:ascii="Arial" w:hAnsi="Arial" w:cs="Arial"/>
                <w:sz w:val="20"/>
                <w:lang w:val="en-US"/>
              </w:rPr>
            </w:pPr>
            <w:r w:rsidRPr="004953A2">
              <w:rPr>
                <w:rFonts w:ascii="Arial" w:hAnsi="Arial" w:cs="Arial"/>
                <w:sz w:val="20"/>
                <w:lang w:val="en-US"/>
              </w:rPr>
              <w:t> </w:t>
            </w:r>
          </w:p>
        </w:tc>
        <w:tc>
          <w:tcPr>
            <w:tcW w:w="264" w:type="dxa"/>
            <w:tcBorders>
              <w:top w:val="nil"/>
              <w:left w:val="nil"/>
              <w:bottom w:val="nil"/>
              <w:right w:val="nil"/>
            </w:tcBorders>
            <w:shd w:val="clear" w:color="auto" w:fill="auto"/>
            <w:noWrap/>
            <w:hideMark/>
          </w:tcPr>
          <w:p w:rsidR="004953A2" w:rsidRPr="004953A2" w:rsidRDefault="004953A2" w:rsidP="004953A2">
            <w:pPr>
              <w:overflowPunct/>
              <w:autoSpaceDE/>
              <w:autoSpaceDN/>
              <w:adjustRightInd/>
              <w:spacing w:line="240" w:lineRule="auto"/>
              <w:textAlignment w:val="auto"/>
              <w:rPr>
                <w:rFonts w:ascii="Arial" w:hAnsi="Arial" w:cs="Arial"/>
                <w:sz w:val="20"/>
                <w:lang w:val="en-US"/>
              </w:rPr>
            </w:pPr>
            <w:r w:rsidRPr="004953A2">
              <w:rPr>
                <w:rFonts w:ascii="Arial" w:hAnsi="Arial" w:cs="Arial"/>
                <w:sz w:val="20"/>
                <w:lang w:val="en-US"/>
              </w:rPr>
              <w:t> </w:t>
            </w:r>
          </w:p>
        </w:tc>
        <w:tc>
          <w:tcPr>
            <w:tcW w:w="1194" w:type="dxa"/>
            <w:tcBorders>
              <w:top w:val="nil"/>
              <w:left w:val="nil"/>
              <w:bottom w:val="nil"/>
              <w:right w:val="nil"/>
            </w:tcBorders>
            <w:shd w:val="clear" w:color="auto" w:fill="auto"/>
            <w:noWrap/>
            <w:hideMark/>
          </w:tcPr>
          <w:p w:rsidR="004953A2" w:rsidRPr="004953A2" w:rsidRDefault="004953A2" w:rsidP="004953A2">
            <w:pPr>
              <w:overflowPunct/>
              <w:autoSpaceDE/>
              <w:autoSpaceDN/>
              <w:adjustRightInd/>
              <w:spacing w:line="240" w:lineRule="auto"/>
              <w:textAlignment w:val="auto"/>
              <w:rPr>
                <w:rFonts w:ascii="Arial" w:hAnsi="Arial" w:cs="Arial"/>
                <w:sz w:val="20"/>
                <w:lang w:val="en-US"/>
              </w:rPr>
            </w:pPr>
            <w:r w:rsidRPr="004953A2">
              <w:rPr>
                <w:rFonts w:ascii="Arial" w:hAnsi="Arial" w:cs="Arial"/>
                <w:sz w:val="20"/>
                <w:lang w:val="en-US"/>
              </w:rPr>
              <w:t> </w:t>
            </w:r>
          </w:p>
        </w:tc>
        <w:tc>
          <w:tcPr>
            <w:tcW w:w="264" w:type="dxa"/>
            <w:tcBorders>
              <w:top w:val="nil"/>
              <w:left w:val="nil"/>
              <w:bottom w:val="nil"/>
              <w:right w:val="nil"/>
            </w:tcBorders>
            <w:shd w:val="clear" w:color="auto" w:fill="auto"/>
            <w:noWrap/>
            <w:hideMark/>
          </w:tcPr>
          <w:p w:rsidR="004953A2" w:rsidRPr="004953A2" w:rsidRDefault="004953A2" w:rsidP="004953A2">
            <w:pPr>
              <w:overflowPunct/>
              <w:autoSpaceDE/>
              <w:autoSpaceDN/>
              <w:adjustRightInd/>
              <w:spacing w:line="240" w:lineRule="auto"/>
              <w:textAlignment w:val="auto"/>
              <w:rPr>
                <w:rFonts w:ascii="Arial" w:hAnsi="Arial" w:cs="Arial"/>
                <w:sz w:val="20"/>
                <w:lang w:val="en-US"/>
              </w:rPr>
            </w:pPr>
            <w:r w:rsidRPr="004953A2">
              <w:rPr>
                <w:rFonts w:ascii="Arial" w:hAnsi="Arial" w:cs="Arial"/>
                <w:sz w:val="20"/>
                <w:lang w:val="en-US"/>
              </w:rPr>
              <w:t> </w:t>
            </w:r>
          </w:p>
        </w:tc>
        <w:tc>
          <w:tcPr>
            <w:tcW w:w="264" w:type="dxa"/>
            <w:tcBorders>
              <w:top w:val="nil"/>
              <w:left w:val="nil"/>
              <w:bottom w:val="nil"/>
              <w:right w:val="nil"/>
            </w:tcBorders>
            <w:shd w:val="clear" w:color="auto" w:fill="auto"/>
            <w:noWrap/>
            <w:hideMark/>
          </w:tcPr>
          <w:p w:rsidR="004953A2" w:rsidRPr="004953A2" w:rsidRDefault="004953A2" w:rsidP="004953A2">
            <w:pPr>
              <w:overflowPunct/>
              <w:autoSpaceDE/>
              <w:autoSpaceDN/>
              <w:adjustRightInd/>
              <w:spacing w:line="240" w:lineRule="auto"/>
              <w:textAlignment w:val="auto"/>
              <w:rPr>
                <w:rFonts w:ascii="Arial" w:hAnsi="Arial" w:cs="Arial"/>
                <w:sz w:val="20"/>
                <w:lang w:val="en-US"/>
              </w:rPr>
            </w:pPr>
            <w:r w:rsidRPr="004953A2">
              <w:rPr>
                <w:rFonts w:ascii="Arial" w:hAnsi="Arial" w:cs="Arial"/>
                <w:sz w:val="20"/>
                <w:lang w:val="en-US"/>
              </w:rPr>
              <w:t> </w:t>
            </w:r>
          </w:p>
        </w:tc>
        <w:tc>
          <w:tcPr>
            <w:tcW w:w="964" w:type="dxa"/>
            <w:tcBorders>
              <w:top w:val="nil"/>
              <w:left w:val="nil"/>
              <w:bottom w:val="nil"/>
              <w:right w:val="single" w:sz="4" w:space="0" w:color="auto"/>
            </w:tcBorders>
            <w:shd w:val="clear" w:color="auto" w:fill="auto"/>
            <w:noWrap/>
            <w:hideMark/>
          </w:tcPr>
          <w:p w:rsidR="004953A2" w:rsidRPr="004953A2" w:rsidRDefault="004953A2" w:rsidP="004953A2">
            <w:pPr>
              <w:overflowPunct/>
              <w:autoSpaceDE/>
              <w:autoSpaceDN/>
              <w:adjustRightInd/>
              <w:spacing w:line="240" w:lineRule="auto"/>
              <w:textAlignment w:val="auto"/>
              <w:rPr>
                <w:rFonts w:ascii="Arial" w:hAnsi="Arial" w:cs="Arial"/>
                <w:sz w:val="20"/>
                <w:lang w:val="en-US"/>
              </w:rPr>
            </w:pPr>
            <w:r w:rsidRPr="004953A2">
              <w:rPr>
                <w:rFonts w:ascii="Arial" w:hAnsi="Arial" w:cs="Arial"/>
                <w:sz w:val="20"/>
                <w:lang w:val="en-US"/>
              </w:rPr>
              <w:t> </w:t>
            </w:r>
          </w:p>
        </w:tc>
      </w:tr>
      <w:tr w:rsidR="00974386" w:rsidRPr="004953A2" w:rsidTr="004953A2">
        <w:trPr>
          <w:trHeight w:val="98"/>
        </w:trPr>
        <w:tc>
          <w:tcPr>
            <w:tcW w:w="3737" w:type="dxa"/>
            <w:tcBorders>
              <w:top w:val="nil"/>
              <w:left w:val="single" w:sz="4" w:space="0" w:color="auto"/>
              <w:bottom w:val="nil"/>
              <w:right w:val="nil"/>
            </w:tcBorders>
            <w:shd w:val="clear" w:color="auto" w:fill="auto"/>
            <w:noWrap/>
            <w:hideMark/>
          </w:tcPr>
          <w:p w:rsidR="00974386" w:rsidRPr="004953A2" w:rsidRDefault="00974386" w:rsidP="004953A2">
            <w:pPr>
              <w:overflowPunct/>
              <w:autoSpaceDE/>
              <w:autoSpaceDN/>
              <w:adjustRightInd/>
              <w:spacing w:line="240" w:lineRule="auto"/>
              <w:textAlignment w:val="auto"/>
              <w:rPr>
                <w:rFonts w:ascii="Arial" w:hAnsi="Arial" w:cs="Arial"/>
                <w:sz w:val="20"/>
                <w:lang w:val="en-US"/>
              </w:rPr>
            </w:pPr>
          </w:p>
        </w:tc>
        <w:tc>
          <w:tcPr>
            <w:tcW w:w="964" w:type="dxa"/>
            <w:tcBorders>
              <w:top w:val="nil"/>
              <w:left w:val="nil"/>
              <w:bottom w:val="nil"/>
              <w:right w:val="nil"/>
            </w:tcBorders>
            <w:shd w:val="clear" w:color="auto" w:fill="auto"/>
            <w:noWrap/>
            <w:hideMark/>
          </w:tcPr>
          <w:p w:rsidR="00974386" w:rsidRPr="004953A2" w:rsidRDefault="00974386" w:rsidP="004953A2">
            <w:pPr>
              <w:overflowPunct/>
              <w:autoSpaceDE/>
              <w:autoSpaceDN/>
              <w:adjustRightInd/>
              <w:spacing w:line="240" w:lineRule="auto"/>
              <w:textAlignment w:val="auto"/>
              <w:rPr>
                <w:rFonts w:ascii="Arial" w:hAnsi="Arial" w:cs="Arial"/>
                <w:sz w:val="20"/>
                <w:lang w:val="en-US"/>
              </w:rPr>
            </w:pPr>
          </w:p>
        </w:tc>
        <w:tc>
          <w:tcPr>
            <w:tcW w:w="264" w:type="dxa"/>
            <w:tcBorders>
              <w:top w:val="nil"/>
              <w:left w:val="nil"/>
              <w:bottom w:val="nil"/>
              <w:right w:val="nil"/>
            </w:tcBorders>
            <w:shd w:val="clear" w:color="auto" w:fill="auto"/>
            <w:noWrap/>
            <w:hideMark/>
          </w:tcPr>
          <w:p w:rsidR="00974386" w:rsidRPr="004953A2" w:rsidRDefault="00974386" w:rsidP="004953A2">
            <w:pPr>
              <w:overflowPunct/>
              <w:autoSpaceDE/>
              <w:autoSpaceDN/>
              <w:adjustRightInd/>
              <w:spacing w:line="240" w:lineRule="auto"/>
              <w:textAlignment w:val="auto"/>
              <w:rPr>
                <w:rFonts w:ascii="Arial" w:hAnsi="Arial" w:cs="Arial"/>
                <w:sz w:val="20"/>
                <w:lang w:val="en-US"/>
              </w:rPr>
            </w:pPr>
          </w:p>
        </w:tc>
        <w:tc>
          <w:tcPr>
            <w:tcW w:w="1102" w:type="dxa"/>
            <w:tcBorders>
              <w:top w:val="nil"/>
              <w:left w:val="nil"/>
              <w:bottom w:val="nil"/>
              <w:right w:val="nil"/>
            </w:tcBorders>
            <w:shd w:val="clear" w:color="auto" w:fill="auto"/>
            <w:noWrap/>
            <w:hideMark/>
          </w:tcPr>
          <w:p w:rsidR="00974386" w:rsidRPr="004953A2" w:rsidRDefault="00974386" w:rsidP="004953A2">
            <w:pPr>
              <w:overflowPunct/>
              <w:autoSpaceDE/>
              <w:autoSpaceDN/>
              <w:adjustRightInd/>
              <w:spacing w:line="240" w:lineRule="auto"/>
              <w:textAlignment w:val="auto"/>
              <w:rPr>
                <w:rFonts w:ascii="Arial" w:hAnsi="Arial" w:cs="Arial"/>
                <w:sz w:val="20"/>
                <w:lang w:val="en-US"/>
              </w:rPr>
            </w:pPr>
          </w:p>
        </w:tc>
        <w:tc>
          <w:tcPr>
            <w:tcW w:w="264" w:type="dxa"/>
            <w:tcBorders>
              <w:top w:val="nil"/>
              <w:left w:val="nil"/>
              <w:bottom w:val="nil"/>
              <w:right w:val="nil"/>
            </w:tcBorders>
            <w:shd w:val="clear" w:color="auto" w:fill="auto"/>
            <w:noWrap/>
            <w:hideMark/>
          </w:tcPr>
          <w:p w:rsidR="00974386" w:rsidRPr="004953A2" w:rsidRDefault="00974386" w:rsidP="004953A2">
            <w:pPr>
              <w:overflowPunct/>
              <w:autoSpaceDE/>
              <w:autoSpaceDN/>
              <w:adjustRightInd/>
              <w:spacing w:line="240" w:lineRule="auto"/>
              <w:textAlignment w:val="auto"/>
              <w:rPr>
                <w:rFonts w:ascii="Arial" w:hAnsi="Arial" w:cs="Arial"/>
                <w:sz w:val="20"/>
                <w:lang w:val="en-US"/>
              </w:rPr>
            </w:pPr>
          </w:p>
        </w:tc>
        <w:tc>
          <w:tcPr>
            <w:tcW w:w="1194" w:type="dxa"/>
            <w:tcBorders>
              <w:top w:val="nil"/>
              <w:left w:val="nil"/>
              <w:bottom w:val="nil"/>
              <w:right w:val="nil"/>
            </w:tcBorders>
            <w:shd w:val="clear" w:color="auto" w:fill="auto"/>
            <w:noWrap/>
            <w:hideMark/>
          </w:tcPr>
          <w:p w:rsidR="00974386" w:rsidRPr="004953A2" w:rsidRDefault="00974386" w:rsidP="004953A2">
            <w:pPr>
              <w:overflowPunct/>
              <w:autoSpaceDE/>
              <w:autoSpaceDN/>
              <w:adjustRightInd/>
              <w:spacing w:line="240" w:lineRule="auto"/>
              <w:textAlignment w:val="auto"/>
              <w:rPr>
                <w:rFonts w:ascii="Arial" w:hAnsi="Arial" w:cs="Arial"/>
                <w:sz w:val="20"/>
                <w:lang w:val="en-US"/>
              </w:rPr>
            </w:pPr>
          </w:p>
        </w:tc>
        <w:tc>
          <w:tcPr>
            <w:tcW w:w="264" w:type="dxa"/>
            <w:tcBorders>
              <w:top w:val="nil"/>
              <w:left w:val="nil"/>
              <w:bottom w:val="nil"/>
              <w:right w:val="nil"/>
            </w:tcBorders>
            <w:shd w:val="clear" w:color="auto" w:fill="auto"/>
            <w:noWrap/>
            <w:hideMark/>
          </w:tcPr>
          <w:p w:rsidR="00974386" w:rsidRPr="004953A2" w:rsidRDefault="00974386" w:rsidP="004953A2">
            <w:pPr>
              <w:overflowPunct/>
              <w:autoSpaceDE/>
              <w:autoSpaceDN/>
              <w:adjustRightInd/>
              <w:spacing w:line="240" w:lineRule="auto"/>
              <w:textAlignment w:val="auto"/>
              <w:rPr>
                <w:rFonts w:ascii="Arial" w:hAnsi="Arial" w:cs="Arial"/>
                <w:sz w:val="20"/>
                <w:lang w:val="en-US"/>
              </w:rPr>
            </w:pPr>
          </w:p>
        </w:tc>
        <w:tc>
          <w:tcPr>
            <w:tcW w:w="264" w:type="dxa"/>
            <w:tcBorders>
              <w:top w:val="nil"/>
              <w:left w:val="nil"/>
              <w:bottom w:val="nil"/>
              <w:right w:val="nil"/>
            </w:tcBorders>
            <w:shd w:val="clear" w:color="auto" w:fill="auto"/>
            <w:noWrap/>
            <w:hideMark/>
          </w:tcPr>
          <w:p w:rsidR="00974386" w:rsidRPr="004953A2" w:rsidRDefault="00974386" w:rsidP="004953A2">
            <w:pPr>
              <w:overflowPunct/>
              <w:autoSpaceDE/>
              <w:autoSpaceDN/>
              <w:adjustRightInd/>
              <w:spacing w:line="240" w:lineRule="auto"/>
              <w:textAlignment w:val="auto"/>
              <w:rPr>
                <w:rFonts w:ascii="Arial" w:hAnsi="Arial" w:cs="Arial"/>
                <w:sz w:val="20"/>
                <w:lang w:val="en-US"/>
              </w:rPr>
            </w:pPr>
          </w:p>
        </w:tc>
        <w:tc>
          <w:tcPr>
            <w:tcW w:w="964" w:type="dxa"/>
            <w:tcBorders>
              <w:top w:val="nil"/>
              <w:left w:val="nil"/>
              <w:bottom w:val="nil"/>
              <w:right w:val="single" w:sz="4" w:space="0" w:color="auto"/>
            </w:tcBorders>
            <w:shd w:val="clear" w:color="auto" w:fill="auto"/>
            <w:noWrap/>
            <w:hideMark/>
          </w:tcPr>
          <w:p w:rsidR="00974386" w:rsidRPr="004953A2" w:rsidRDefault="00974386" w:rsidP="004953A2">
            <w:pPr>
              <w:overflowPunct/>
              <w:autoSpaceDE/>
              <w:autoSpaceDN/>
              <w:adjustRightInd/>
              <w:spacing w:line="240" w:lineRule="auto"/>
              <w:textAlignment w:val="auto"/>
              <w:rPr>
                <w:rFonts w:ascii="Arial" w:hAnsi="Arial" w:cs="Arial"/>
                <w:sz w:val="20"/>
                <w:lang w:val="en-US"/>
              </w:rPr>
            </w:pPr>
          </w:p>
        </w:tc>
      </w:tr>
      <w:tr w:rsidR="004953A2" w:rsidRPr="004953A2" w:rsidTr="004953A2">
        <w:trPr>
          <w:trHeight w:val="31"/>
        </w:trPr>
        <w:tc>
          <w:tcPr>
            <w:tcW w:w="3737" w:type="dxa"/>
            <w:tcBorders>
              <w:top w:val="nil"/>
              <w:left w:val="single" w:sz="4" w:space="0" w:color="auto"/>
              <w:bottom w:val="single" w:sz="4" w:space="0" w:color="auto"/>
              <w:right w:val="nil"/>
            </w:tcBorders>
            <w:shd w:val="clear" w:color="auto" w:fill="auto"/>
            <w:noWrap/>
            <w:hideMark/>
          </w:tcPr>
          <w:p w:rsidR="004953A2" w:rsidRPr="004953A2" w:rsidRDefault="004953A2" w:rsidP="004953A2">
            <w:pPr>
              <w:overflowPunct/>
              <w:autoSpaceDE/>
              <w:autoSpaceDN/>
              <w:adjustRightInd/>
              <w:spacing w:line="240" w:lineRule="auto"/>
              <w:textAlignment w:val="auto"/>
              <w:rPr>
                <w:rFonts w:ascii="Arial" w:hAnsi="Arial" w:cs="Arial"/>
                <w:sz w:val="20"/>
                <w:lang w:val="en-US"/>
              </w:rPr>
            </w:pPr>
          </w:p>
        </w:tc>
        <w:tc>
          <w:tcPr>
            <w:tcW w:w="964" w:type="dxa"/>
            <w:tcBorders>
              <w:top w:val="nil"/>
              <w:left w:val="nil"/>
              <w:bottom w:val="single" w:sz="4" w:space="0" w:color="auto"/>
              <w:right w:val="nil"/>
            </w:tcBorders>
            <w:shd w:val="clear" w:color="auto" w:fill="auto"/>
            <w:noWrap/>
            <w:hideMark/>
          </w:tcPr>
          <w:p w:rsidR="004953A2" w:rsidRPr="004953A2" w:rsidRDefault="004953A2" w:rsidP="004953A2">
            <w:pPr>
              <w:overflowPunct/>
              <w:autoSpaceDE/>
              <w:autoSpaceDN/>
              <w:adjustRightInd/>
              <w:spacing w:line="240" w:lineRule="auto"/>
              <w:textAlignment w:val="auto"/>
              <w:rPr>
                <w:rFonts w:ascii="Arial" w:hAnsi="Arial" w:cs="Arial"/>
                <w:sz w:val="20"/>
                <w:lang w:val="en-US"/>
              </w:rPr>
            </w:pPr>
          </w:p>
        </w:tc>
        <w:tc>
          <w:tcPr>
            <w:tcW w:w="264" w:type="dxa"/>
            <w:tcBorders>
              <w:top w:val="nil"/>
              <w:left w:val="nil"/>
              <w:bottom w:val="single" w:sz="4" w:space="0" w:color="auto"/>
              <w:right w:val="nil"/>
            </w:tcBorders>
            <w:shd w:val="clear" w:color="auto" w:fill="auto"/>
            <w:noWrap/>
            <w:hideMark/>
          </w:tcPr>
          <w:p w:rsidR="004953A2" w:rsidRPr="004953A2" w:rsidRDefault="004953A2" w:rsidP="004953A2">
            <w:pPr>
              <w:overflowPunct/>
              <w:autoSpaceDE/>
              <w:autoSpaceDN/>
              <w:adjustRightInd/>
              <w:spacing w:line="240" w:lineRule="auto"/>
              <w:textAlignment w:val="auto"/>
              <w:rPr>
                <w:rFonts w:ascii="Arial" w:hAnsi="Arial" w:cs="Arial"/>
                <w:sz w:val="20"/>
                <w:lang w:val="en-US"/>
              </w:rPr>
            </w:pPr>
          </w:p>
        </w:tc>
        <w:tc>
          <w:tcPr>
            <w:tcW w:w="1102" w:type="dxa"/>
            <w:tcBorders>
              <w:top w:val="nil"/>
              <w:left w:val="nil"/>
              <w:bottom w:val="single" w:sz="4" w:space="0" w:color="auto"/>
              <w:right w:val="nil"/>
            </w:tcBorders>
            <w:shd w:val="clear" w:color="auto" w:fill="auto"/>
            <w:noWrap/>
            <w:hideMark/>
          </w:tcPr>
          <w:p w:rsidR="004953A2" w:rsidRPr="004953A2" w:rsidRDefault="004953A2" w:rsidP="004953A2">
            <w:pPr>
              <w:overflowPunct/>
              <w:autoSpaceDE/>
              <w:autoSpaceDN/>
              <w:adjustRightInd/>
              <w:spacing w:line="240" w:lineRule="auto"/>
              <w:textAlignment w:val="auto"/>
              <w:rPr>
                <w:rFonts w:ascii="Arial" w:hAnsi="Arial" w:cs="Arial"/>
                <w:sz w:val="20"/>
                <w:lang w:val="en-US"/>
              </w:rPr>
            </w:pPr>
          </w:p>
        </w:tc>
        <w:tc>
          <w:tcPr>
            <w:tcW w:w="264" w:type="dxa"/>
            <w:tcBorders>
              <w:top w:val="nil"/>
              <w:left w:val="nil"/>
              <w:bottom w:val="single" w:sz="4" w:space="0" w:color="auto"/>
              <w:right w:val="nil"/>
            </w:tcBorders>
            <w:shd w:val="clear" w:color="auto" w:fill="auto"/>
            <w:noWrap/>
            <w:hideMark/>
          </w:tcPr>
          <w:p w:rsidR="004953A2" w:rsidRPr="004953A2" w:rsidRDefault="004953A2" w:rsidP="004953A2">
            <w:pPr>
              <w:overflowPunct/>
              <w:autoSpaceDE/>
              <w:autoSpaceDN/>
              <w:adjustRightInd/>
              <w:spacing w:line="240" w:lineRule="auto"/>
              <w:textAlignment w:val="auto"/>
              <w:rPr>
                <w:rFonts w:ascii="Arial" w:hAnsi="Arial" w:cs="Arial"/>
                <w:sz w:val="20"/>
                <w:lang w:val="en-US"/>
              </w:rPr>
            </w:pPr>
          </w:p>
        </w:tc>
        <w:tc>
          <w:tcPr>
            <w:tcW w:w="1194" w:type="dxa"/>
            <w:tcBorders>
              <w:top w:val="nil"/>
              <w:left w:val="nil"/>
              <w:bottom w:val="single" w:sz="4" w:space="0" w:color="auto"/>
              <w:right w:val="nil"/>
            </w:tcBorders>
            <w:shd w:val="clear" w:color="auto" w:fill="auto"/>
            <w:noWrap/>
            <w:hideMark/>
          </w:tcPr>
          <w:p w:rsidR="004953A2" w:rsidRPr="004953A2" w:rsidRDefault="004953A2" w:rsidP="004953A2">
            <w:pPr>
              <w:overflowPunct/>
              <w:autoSpaceDE/>
              <w:autoSpaceDN/>
              <w:adjustRightInd/>
              <w:spacing w:line="240" w:lineRule="auto"/>
              <w:textAlignment w:val="auto"/>
              <w:rPr>
                <w:rFonts w:ascii="Arial" w:hAnsi="Arial" w:cs="Arial"/>
                <w:sz w:val="20"/>
                <w:lang w:val="en-US"/>
              </w:rPr>
            </w:pPr>
          </w:p>
        </w:tc>
        <w:tc>
          <w:tcPr>
            <w:tcW w:w="264" w:type="dxa"/>
            <w:tcBorders>
              <w:top w:val="nil"/>
              <w:left w:val="nil"/>
              <w:bottom w:val="single" w:sz="4" w:space="0" w:color="auto"/>
              <w:right w:val="nil"/>
            </w:tcBorders>
            <w:shd w:val="clear" w:color="auto" w:fill="auto"/>
            <w:noWrap/>
            <w:hideMark/>
          </w:tcPr>
          <w:p w:rsidR="004953A2" w:rsidRPr="004953A2" w:rsidRDefault="004953A2" w:rsidP="004953A2">
            <w:pPr>
              <w:overflowPunct/>
              <w:autoSpaceDE/>
              <w:autoSpaceDN/>
              <w:adjustRightInd/>
              <w:spacing w:line="240" w:lineRule="auto"/>
              <w:textAlignment w:val="auto"/>
              <w:rPr>
                <w:rFonts w:ascii="Arial" w:hAnsi="Arial" w:cs="Arial"/>
                <w:sz w:val="20"/>
                <w:lang w:val="en-US"/>
              </w:rPr>
            </w:pPr>
          </w:p>
        </w:tc>
        <w:tc>
          <w:tcPr>
            <w:tcW w:w="264" w:type="dxa"/>
            <w:tcBorders>
              <w:top w:val="nil"/>
              <w:left w:val="nil"/>
              <w:bottom w:val="single" w:sz="4" w:space="0" w:color="auto"/>
              <w:right w:val="nil"/>
            </w:tcBorders>
            <w:shd w:val="clear" w:color="auto" w:fill="auto"/>
            <w:noWrap/>
            <w:hideMark/>
          </w:tcPr>
          <w:p w:rsidR="004953A2" w:rsidRPr="004953A2" w:rsidRDefault="004953A2" w:rsidP="004953A2">
            <w:pPr>
              <w:overflowPunct/>
              <w:autoSpaceDE/>
              <w:autoSpaceDN/>
              <w:adjustRightInd/>
              <w:spacing w:line="240" w:lineRule="auto"/>
              <w:textAlignment w:val="auto"/>
              <w:rPr>
                <w:rFonts w:ascii="Arial" w:hAnsi="Arial" w:cs="Arial"/>
                <w:sz w:val="20"/>
                <w:lang w:val="en-US"/>
              </w:rPr>
            </w:pPr>
          </w:p>
        </w:tc>
        <w:tc>
          <w:tcPr>
            <w:tcW w:w="964" w:type="dxa"/>
            <w:tcBorders>
              <w:top w:val="nil"/>
              <w:left w:val="nil"/>
              <w:bottom w:val="single" w:sz="4" w:space="0" w:color="auto"/>
              <w:right w:val="single" w:sz="4" w:space="0" w:color="auto"/>
            </w:tcBorders>
            <w:shd w:val="clear" w:color="auto" w:fill="auto"/>
            <w:noWrap/>
            <w:hideMark/>
          </w:tcPr>
          <w:p w:rsidR="004953A2" w:rsidRPr="004953A2" w:rsidRDefault="004953A2" w:rsidP="004953A2">
            <w:pPr>
              <w:overflowPunct/>
              <w:autoSpaceDE/>
              <w:autoSpaceDN/>
              <w:adjustRightInd/>
              <w:spacing w:line="240" w:lineRule="auto"/>
              <w:textAlignment w:val="auto"/>
              <w:rPr>
                <w:rFonts w:ascii="Arial" w:hAnsi="Arial" w:cs="Arial"/>
                <w:sz w:val="20"/>
                <w:lang w:val="en-US"/>
              </w:rPr>
            </w:pPr>
          </w:p>
        </w:tc>
      </w:tr>
    </w:tbl>
    <w:p w:rsidR="00974386" w:rsidRDefault="00974386" w:rsidP="004953A2">
      <w:pPr>
        <w:pStyle w:val="Style000"/>
        <w:rPr>
          <w:rFonts w:cs="Arial"/>
          <w:b/>
        </w:rPr>
      </w:pPr>
    </w:p>
    <w:p w:rsidR="00974386" w:rsidRDefault="00974386" w:rsidP="004953A2">
      <w:pPr>
        <w:pStyle w:val="Style000"/>
        <w:rPr>
          <w:rFonts w:cs="Arial"/>
          <w:b/>
        </w:rPr>
      </w:pPr>
    </w:p>
    <w:p w:rsidR="00974386" w:rsidRDefault="00974386" w:rsidP="004953A2">
      <w:pPr>
        <w:pStyle w:val="Style000"/>
        <w:rPr>
          <w:rFonts w:cs="Arial"/>
          <w:b/>
        </w:rPr>
      </w:pPr>
    </w:p>
    <w:p w:rsidR="003E3AB9" w:rsidRPr="004953A2" w:rsidRDefault="003E3AB9" w:rsidP="004953A2">
      <w:pPr>
        <w:pStyle w:val="Style000"/>
        <w:rPr>
          <w:rFonts w:cs="Arial"/>
          <w:b/>
        </w:rPr>
      </w:pPr>
      <w:r w:rsidRPr="004953A2">
        <w:rPr>
          <w:rFonts w:cs="Arial"/>
          <w:b/>
        </w:rPr>
        <w:t>Paid-up and called-up share capital</w:t>
      </w:r>
    </w:p>
    <w:p w:rsidR="003E3AB9" w:rsidRPr="00D756D3" w:rsidRDefault="001C4978" w:rsidP="00431517">
      <w:pPr>
        <w:pStyle w:val="Style000"/>
        <w:rPr>
          <w:rFonts w:cs="Arial"/>
        </w:rPr>
      </w:pPr>
      <w:r w:rsidRPr="00D756D3">
        <w:rPr>
          <w:rStyle w:val="Style000Char"/>
          <w:rFonts w:cs="Arial"/>
        </w:rPr>
        <w:t>Issued share capital is equal to the paid-up and called-up share capital</w:t>
      </w:r>
      <w:r>
        <w:rPr>
          <w:rStyle w:val="Style000Char"/>
          <w:rFonts w:cs="Arial"/>
        </w:rPr>
        <w:t xml:space="preserve"> of 45,000 ordinary shares of </w:t>
      </w:r>
      <w:r>
        <w:rPr>
          <w:rFonts w:cs="Arial"/>
        </w:rPr>
        <w:t>€ 1.</w:t>
      </w:r>
      <w:r w:rsidRPr="0030339B">
        <w:rPr>
          <w:rFonts w:cs="Arial"/>
        </w:rPr>
        <w:t>00 each</w:t>
      </w:r>
      <w:r w:rsidRPr="00D756D3">
        <w:rPr>
          <w:rStyle w:val="Style000Char"/>
          <w:rFonts w:cs="Arial"/>
        </w:rPr>
        <w:t xml:space="preserve">. </w:t>
      </w:r>
      <w:r w:rsidRPr="00D756D3">
        <w:rPr>
          <w:rFonts w:cs="Arial"/>
        </w:rPr>
        <w:t xml:space="preserve">Shares were paid up in cash in </w:t>
      </w:r>
      <w:fldSimple w:instr=" DOCPROPERTY &quot;eyLopendePeriode&quot; \* MERGEFORMAT ">
        <w:r>
          <w:rPr>
            <w:rFonts w:cs="Arial"/>
          </w:rPr>
          <w:t>200</w:t>
        </w:r>
      </w:fldSimple>
      <w:r>
        <w:rPr>
          <w:rFonts w:cs="Arial"/>
        </w:rPr>
        <w:t>7</w:t>
      </w:r>
      <w:r w:rsidRPr="00D756D3">
        <w:rPr>
          <w:rFonts w:cs="Arial"/>
        </w:rPr>
        <w:t>.</w:t>
      </w:r>
    </w:p>
    <w:p w:rsidR="00BC0AC9" w:rsidRPr="002A3441" w:rsidRDefault="001F69B0" w:rsidP="009E0424">
      <w:pPr>
        <w:pStyle w:val="081"/>
        <w:numPr>
          <w:ilvl w:val="0"/>
          <w:numId w:val="7"/>
        </w:numPr>
        <w:rPr>
          <w:rFonts w:cs="Arial"/>
          <w:bCs/>
          <w:color w:val="FF0000"/>
        </w:rPr>
      </w:pPr>
      <w:r w:rsidRPr="009049AB">
        <w:rPr>
          <w:rFonts w:cs="Arial"/>
          <w:bCs/>
          <w:szCs w:val="24"/>
        </w:rPr>
        <w:t>Long-term liabilities</w:t>
      </w:r>
    </w:p>
    <w:p w:rsidR="007570ED" w:rsidRDefault="00D86EDE" w:rsidP="00A31866">
      <w:pPr>
        <w:pStyle w:val="Style000"/>
        <w:rPr>
          <w:szCs w:val="22"/>
        </w:rPr>
      </w:pPr>
      <w:r>
        <w:rPr>
          <w:noProof/>
          <w:szCs w:val="22"/>
          <w:lang w:val="nl-NL" w:eastAsia="nl-NL"/>
        </w:rPr>
        <w:drawing>
          <wp:inline distT="0" distB="0" distL="0" distR="0">
            <wp:extent cx="5970270" cy="22504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970270" cy="2250440"/>
                    </a:xfrm>
                    <a:prstGeom prst="rect">
                      <a:avLst/>
                    </a:prstGeom>
                    <a:noFill/>
                    <a:ln w="9525">
                      <a:noFill/>
                      <a:miter lim="800000"/>
                      <a:headEnd/>
                      <a:tailEnd/>
                    </a:ln>
                  </pic:spPr>
                </pic:pic>
              </a:graphicData>
            </a:graphic>
          </wp:inline>
        </w:drawing>
      </w:r>
    </w:p>
    <w:p w:rsidR="00FD23D4" w:rsidRDefault="00D86EDE" w:rsidP="00A31866">
      <w:pPr>
        <w:pStyle w:val="Style000"/>
        <w:rPr>
          <w:szCs w:val="22"/>
        </w:rPr>
      </w:pPr>
      <w:r>
        <w:rPr>
          <w:noProof/>
          <w:szCs w:val="22"/>
          <w:lang w:val="nl-NL" w:eastAsia="nl-NL"/>
        </w:rPr>
        <w:drawing>
          <wp:inline distT="0" distB="0" distL="0" distR="0">
            <wp:extent cx="5970270" cy="183769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970270" cy="1837690"/>
                    </a:xfrm>
                    <a:prstGeom prst="rect">
                      <a:avLst/>
                    </a:prstGeom>
                    <a:noFill/>
                    <a:ln w="9525">
                      <a:noFill/>
                      <a:miter lim="800000"/>
                      <a:headEnd/>
                      <a:tailEnd/>
                    </a:ln>
                  </pic:spPr>
                </pic:pic>
              </a:graphicData>
            </a:graphic>
          </wp:inline>
        </w:drawing>
      </w:r>
    </w:p>
    <w:p w:rsidR="00E47C8C" w:rsidRPr="00B105A9" w:rsidRDefault="00E47C8C" w:rsidP="00E47C8C">
      <w:pPr>
        <w:pStyle w:val="Style000"/>
        <w:rPr>
          <w:szCs w:val="22"/>
        </w:rPr>
      </w:pPr>
      <w:r w:rsidRPr="00B105A9">
        <w:rPr>
          <w:szCs w:val="22"/>
        </w:rPr>
        <w:t xml:space="preserve">The Company partly finances its intra-group financing activity through the issuance of debt securities. </w:t>
      </w:r>
      <w:r w:rsidRPr="00B105A9">
        <w:t xml:space="preserve">In 2005 a Eurobond was issued with a face </w:t>
      </w:r>
      <w:r w:rsidR="00E32455">
        <w:t>value</w:t>
      </w:r>
      <w:r w:rsidR="00E32455" w:rsidRPr="00B105A9">
        <w:t xml:space="preserve"> </w:t>
      </w:r>
      <w:r w:rsidRPr="00B105A9">
        <w:t xml:space="preserve">of EUR 500,000,000 due on </w:t>
      </w:r>
      <w:r w:rsidR="00BD5B1C">
        <w:t xml:space="preserve">22 </w:t>
      </w:r>
      <w:r w:rsidRPr="00B105A9">
        <w:t>Apri</w:t>
      </w:r>
      <w:r w:rsidR="00BD5B1C">
        <w:t>l</w:t>
      </w:r>
      <w:r w:rsidRPr="00B105A9">
        <w:t xml:space="preserve"> 2015, bearing interest at a fixed rate of 4,125</w:t>
      </w:r>
      <w:r w:rsidRPr="00795CB2">
        <w:t xml:space="preserve">%. In 2006 a second Eurobond was issued with a face </w:t>
      </w:r>
      <w:r w:rsidR="00E32455" w:rsidRPr="00795CB2">
        <w:t xml:space="preserve">value </w:t>
      </w:r>
      <w:r w:rsidRPr="00795CB2">
        <w:t>of EUR 500,000,000 bearing interest at a fixed rate of 4,125%</w:t>
      </w:r>
      <w:r w:rsidR="00795CB2" w:rsidRPr="00795CB2">
        <w:t>. This bond matured on 21 September 2011 and has been reported</w:t>
      </w:r>
      <w:r w:rsidRPr="00795CB2">
        <w:t xml:space="preserve"> as </w:t>
      </w:r>
      <w:r w:rsidR="0048461F" w:rsidRPr="00795CB2">
        <w:t xml:space="preserve">a </w:t>
      </w:r>
      <w:r w:rsidRPr="00795CB2">
        <w:t>current liability</w:t>
      </w:r>
      <w:r w:rsidR="00795CB2" w:rsidRPr="00795CB2">
        <w:t xml:space="preserve"> since 2010</w:t>
      </w:r>
      <w:r w:rsidRPr="00795CB2">
        <w:t>. In 20</w:t>
      </w:r>
      <w:r w:rsidR="00FF661B" w:rsidRPr="00795CB2">
        <w:t>09</w:t>
      </w:r>
      <w:r w:rsidRPr="00795CB2">
        <w:t xml:space="preserve"> a third Eurobond was issued with a face </w:t>
      </w:r>
      <w:r w:rsidR="00E32455" w:rsidRPr="00795CB2">
        <w:t xml:space="preserve">value </w:t>
      </w:r>
      <w:r w:rsidRPr="00795CB2">
        <w:t xml:space="preserve">of EUR 500,000,000 due on </w:t>
      </w:r>
      <w:r w:rsidR="00BD5B1C" w:rsidRPr="00795CB2">
        <w:t xml:space="preserve">30 </w:t>
      </w:r>
      <w:r w:rsidRPr="00795CB2">
        <w:t>June 2014</w:t>
      </w:r>
      <w:r w:rsidR="00BD5B1C" w:rsidRPr="00795CB2">
        <w:t>,</w:t>
      </w:r>
      <w:r w:rsidRPr="00795CB2">
        <w:t xml:space="preserve"> bearing interest at a fixed rate of 4</w:t>
      </w:r>
      <w:r w:rsidRPr="00B105A9">
        <w:t>,000%.</w:t>
      </w:r>
    </w:p>
    <w:p w:rsidR="00E47C8C" w:rsidRPr="00B105A9" w:rsidRDefault="00E47C8C" w:rsidP="00A31866">
      <w:pPr>
        <w:pStyle w:val="Style000"/>
        <w:rPr>
          <w:szCs w:val="22"/>
        </w:rPr>
      </w:pPr>
    </w:p>
    <w:p w:rsidR="00A31866" w:rsidRDefault="00A31866" w:rsidP="00A31866">
      <w:pPr>
        <w:pStyle w:val="Style000"/>
        <w:rPr>
          <w:szCs w:val="22"/>
        </w:rPr>
      </w:pPr>
      <w:r w:rsidRPr="00B105A9">
        <w:rPr>
          <w:szCs w:val="22"/>
        </w:rPr>
        <w:t xml:space="preserve">In 2005 three tranches of fixed rate notes under a </w:t>
      </w:r>
      <w:r w:rsidR="00E47C8C" w:rsidRPr="00B105A9">
        <w:rPr>
          <w:szCs w:val="22"/>
        </w:rPr>
        <w:t xml:space="preserve">Note Purchase Agreement in the US Private Placement market </w:t>
      </w:r>
      <w:r w:rsidRPr="00B105A9">
        <w:rPr>
          <w:szCs w:val="22"/>
        </w:rPr>
        <w:t>were issued with a group of investors for a total amount of USD 250,000,000. The three tranches mature as follows:</w:t>
      </w:r>
    </w:p>
    <w:p w:rsidR="00974386" w:rsidRDefault="00974386" w:rsidP="00A31866">
      <w:pPr>
        <w:pStyle w:val="Style000"/>
        <w:rPr>
          <w:szCs w:val="22"/>
        </w:rPr>
      </w:pPr>
    </w:p>
    <w:p w:rsidR="009E0424" w:rsidRPr="00B105A9" w:rsidRDefault="009E0424" w:rsidP="00A31866">
      <w:pPr>
        <w:pStyle w:val="Style000"/>
        <w:rPr>
          <w:szCs w:val="22"/>
        </w:rPr>
      </w:pPr>
    </w:p>
    <w:p w:rsidR="00A31866" w:rsidRPr="00B105A9" w:rsidRDefault="00A31866" w:rsidP="00A31866">
      <w:pPr>
        <w:pStyle w:val="Style000"/>
        <w:numPr>
          <w:ilvl w:val="0"/>
          <w:numId w:val="2"/>
        </w:numPr>
        <w:rPr>
          <w:szCs w:val="22"/>
        </w:rPr>
      </w:pPr>
      <w:r w:rsidRPr="00B105A9">
        <w:rPr>
          <w:szCs w:val="22"/>
        </w:rPr>
        <w:t xml:space="preserve">USD 75,000,000 due on </w:t>
      </w:r>
      <w:r w:rsidR="009A15E8">
        <w:rPr>
          <w:szCs w:val="22"/>
        </w:rPr>
        <w:t xml:space="preserve">8 </w:t>
      </w:r>
      <w:r w:rsidRPr="00B105A9">
        <w:rPr>
          <w:szCs w:val="22"/>
        </w:rPr>
        <w:t>December 2020 and bearing interest at a fixed rate of 5.11%.</w:t>
      </w:r>
    </w:p>
    <w:p w:rsidR="00A31866" w:rsidRPr="00B105A9" w:rsidRDefault="00A31866" w:rsidP="00A31866">
      <w:pPr>
        <w:pStyle w:val="Style000"/>
        <w:numPr>
          <w:ilvl w:val="0"/>
          <w:numId w:val="2"/>
        </w:numPr>
      </w:pPr>
      <w:r w:rsidRPr="00B105A9">
        <w:t xml:space="preserve">USD 75,000,000 due on </w:t>
      </w:r>
      <w:r w:rsidR="009A15E8">
        <w:t xml:space="preserve">8 </w:t>
      </w:r>
      <w:r w:rsidRPr="00B105A9">
        <w:t>December 2025 and bearing interest at a fixed rate of 5.35%.</w:t>
      </w:r>
    </w:p>
    <w:p w:rsidR="00A31866" w:rsidRPr="00B105A9" w:rsidRDefault="00A31866" w:rsidP="00A31866">
      <w:pPr>
        <w:pStyle w:val="Style000"/>
        <w:numPr>
          <w:ilvl w:val="0"/>
          <w:numId w:val="2"/>
        </w:numPr>
      </w:pPr>
      <w:r w:rsidRPr="00B105A9">
        <w:t xml:space="preserve">USD 100,000,000 due on </w:t>
      </w:r>
      <w:r w:rsidR="009A15E8">
        <w:t xml:space="preserve">8 </w:t>
      </w:r>
      <w:r w:rsidRPr="00B105A9">
        <w:t>December 2035 and bearing interest at a fixed rate of 5.59%.</w:t>
      </w:r>
    </w:p>
    <w:p w:rsidR="00A31866" w:rsidRPr="00B105A9" w:rsidRDefault="00A31866" w:rsidP="00A31866">
      <w:pPr>
        <w:pStyle w:val="Style000"/>
      </w:pPr>
    </w:p>
    <w:p w:rsidR="00A31866" w:rsidRPr="002872B4" w:rsidRDefault="00A31866" w:rsidP="00A31866">
      <w:pPr>
        <w:pStyle w:val="Style000"/>
      </w:pPr>
      <w:r w:rsidRPr="00B105A9">
        <w:lastRenderedPageBreak/>
        <w:t xml:space="preserve">The Company’s </w:t>
      </w:r>
      <w:r w:rsidR="0025536C" w:rsidRPr="00B105A9">
        <w:t>ultimate</w:t>
      </w:r>
      <w:r w:rsidRPr="00B105A9">
        <w:t xml:space="preserve"> parent, Syngenta </w:t>
      </w:r>
      <w:r w:rsidR="00F00529">
        <w:t>AG</w:t>
      </w:r>
      <w:r w:rsidRPr="00B105A9">
        <w:t>, has fully and unconditionally guaranteed the bonds</w:t>
      </w:r>
      <w:r w:rsidR="00B60E97" w:rsidRPr="00B105A9">
        <w:t xml:space="preserve"> and the </w:t>
      </w:r>
      <w:r w:rsidR="0013663C" w:rsidRPr="00B105A9">
        <w:t>private placement notes</w:t>
      </w:r>
      <w:r w:rsidRPr="00B105A9">
        <w:t>.</w:t>
      </w:r>
    </w:p>
    <w:p w:rsidR="00A31866" w:rsidRPr="002872B4" w:rsidRDefault="00A31866" w:rsidP="00A31866">
      <w:pPr>
        <w:pStyle w:val="Style000"/>
        <w:rPr>
          <w:b/>
          <w:szCs w:val="22"/>
        </w:rPr>
      </w:pPr>
    </w:p>
    <w:p w:rsidR="003E3AB9" w:rsidRDefault="003E3AB9" w:rsidP="00431517">
      <w:pPr>
        <w:pStyle w:val="Style000"/>
        <w:rPr>
          <w:rFonts w:cs="Arial"/>
        </w:rPr>
      </w:pPr>
      <w:r w:rsidRPr="002872B4">
        <w:rPr>
          <w:rFonts w:cs="Arial"/>
        </w:rPr>
        <w:t xml:space="preserve">The effective interest rate has been determined disregarding the discount and premiums, since their impact is only marginal. </w:t>
      </w:r>
      <w:r w:rsidR="00043BE1" w:rsidRPr="002872B4">
        <w:rPr>
          <w:rFonts w:cs="Arial"/>
        </w:rPr>
        <w:t xml:space="preserve"> </w:t>
      </w:r>
      <w:r w:rsidRPr="002872B4">
        <w:rPr>
          <w:rFonts w:cs="Arial"/>
        </w:rPr>
        <w:t>The interest rate is fixed and does not depend on future changes in certain factors.</w:t>
      </w:r>
    </w:p>
    <w:p w:rsidR="003E3AB9" w:rsidRDefault="00735BA9">
      <w:pPr>
        <w:pStyle w:val="081"/>
        <w:rPr>
          <w:rFonts w:cs="Arial"/>
          <w:bCs/>
          <w:color w:val="FF0000"/>
        </w:rPr>
      </w:pPr>
      <w:r>
        <w:rPr>
          <w:rFonts w:cs="Arial"/>
          <w:bCs/>
          <w:szCs w:val="24"/>
        </w:rPr>
        <w:t>6. Current liabilities</w:t>
      </w:r>
    </w:p>
    <w:tbl>
      <w:tblPr>
        <w:tblW w:w="9123" w:type="dxa"/>
        <w:tblInd w:w="103" w:type="dxa"/>
        <w:tblLook w:val="04A0"/>
      </w:tblPr>
      <w:tblGrid>
        <w:gridCol w:w="3373"/>
        <w:gridCol w:w="375"/>
        <w:gridCol w:w="1219"/>
        <w:gridCol w:w="1141"/>
        <w:gridCol w:w="337"/>
        <w:gridCol w:w="272"/>
        <w:gridCol w:w="2406"/>
      </w:tblGrid>
      <w:tr w:rsidR="00735BA9" w:rsidRPr="00735BA9" w:rsidTr="00B66938">
        <w:trPr>
          <w:trHeight w:val="280"/>
        </w:trPr>
        <w:tc>
          <w:tcPr>
            <w:tcW w:w="3373" w:type="dxa"/>
            <w:tcBorders>
              <w:top w:val="single" w:sz="4" w:space="0" w:color="auto"/>
              <w:left w:val="single" w:sz="4" w:space="0" w:color="auto"/>
              <w:bottom w:val="single" w:sz="4" w:space="0" w:color="auto"/>
              <w:right w:val="nil"/>
            </w:tcBorders>
            <w:shd w:val="clear" w:color="auto" w:fill="auto"/>
            <w:noWrap/>
            <w:vAlign w:val="bottom"/>
            <w:hideMark/>
          </w:tcPr>
          <w:p w:rsidR="00735BA9" w:rsidRPr="00735BA9" w:rsidRDefault="00735BA9" w:rsidP="00735BA9">
            <w:pPr>
              <w:overflowPunct/>
              <w:autoSpaceDE/>
              <w:autoSpaceDN/>
              <w:adjustRightInd/>
              <w:spacing w:line="240" w:lineRule="auto"/>
              <w:textAlignment w:val="auto"/>
              <w:rPr>
                <w:rFonts w:ascii="Arial" w:hAnsi="Arial" w:cs="Arial"/>
                <w:i/>
                <w:iCs/>
                <w:sz w:val="20"/>
                <w:lang w:val="en-US"/>
              </w:rPr>
            </w:pPr>
            <w:r w:rsidRPr="00735BA9">
              <w:rPr>
                <w:rFonts w:ascii="Arial" w:hAnsi="Arial" w:cs="Arial"/>
                <w:i/>
                <w:iCs/>
                <w:sz w:val="20"/>
                <w:lang w:val="en-US"/>
              </w:rPr>
              <w:t> </w:t>
            </w:r>
          </w:p>
        </w:tc>
        <w:tc>
          <w:tcPr>
            <w:tcW w:w="375" w:type="dxa"/>
            <w:tcBorders>
              <w:top w:val="single" w:sz="4" w:space="0" w:color="auto"/>
              <w:left w:val="nil"/>
              <w:bottom w:val="nil"/>
              <w:right w:val="nil"/>
            </w:tcBorders>
            <w:shd w:val="clear" w:color="auto" w:fill="auto"/>
            <w:noWrap/>
            <w:vAlign w:val="bottom"/>
            <w:hideMark/>
          </w:tcPr>
          <w:p w:rsidR="00735BA9" w:rsidRPr="00735BA9" w:rsidRDefault="00735BA9" w:rsidP="00735BA9">
            <w:pPr>
              <w:overflowPunct/>
              <w:autoSpaceDE/>
              <w:autoSpaceDN/>
              <w:adjustRightInd/>
              <w:spacing w:line="240" w:lineRule="auto"/>
              <w:textAlignment w:val="auto"/>
              <w:rPr>
                <w:rFonts w:ascii="Arial" w:hAnsi="Arial" w:cs="Arial"/>
                <w:i/>
                <w:iCs/>
                <w:sz w:val="20"/>
                <w:lang w:val="en-US"/>
              </w:rPr>
            </w:pPr>
            <w:r w:rsidRPr="00735BA9">
              <w:rPr>
                <w:rFonts w:ascii="Arial" w:hAnsi="Arial" w:cs="Arial"/>
                <w:i/>
                <w:iCs/>
                <w:sz w:val="20"/>
                <w:lang w:val="en-US"/>
              </w:rPr>
              <w:t> </w:t>
            </w:r>
          </w:p>
        </w:tc>
        <w:tc>
          <w:tcPr>
            <w:tcW w:w="2360" w:type="dxa"/>
            <w:gridSpan w:val="2"/>
            <w:tcBorders>
              <w:top w:val="single" w:sz="4" w:space="0" w:color="auto"/>
              <w:left w:val="nil"/>
              <w:bottom w:val="single" w:sz="4" w:space="0" w:color="auto"/>
              <w:right w:val="nil"/>
            </w:tcBorders>
            <w:shd w:val="clear" w:color="auto" w:fill="auto"/>
            <w:vAlign w:val="bottom"/>
            <w:hideMark/>
          </w:tcPr>
          <w:p w:rsidR="00735BA9" w:rsidRPr="00735BA9" w:rsidRDefault="00735BA9" w:rsidP="00735BA9">
            <w:pPr>
              <w:overflowPunct/>
              <w:autoSpaceDE/>
              <w:autoSpaceDN/>
              <w:adjustRightInd/>
              <w:spacing w:line="240" w:lineRule="auto"/>
              <w:jc w:val="center"/>
              <w:textAlignment w:val="auto"/>
              <w:rPr>
                <w:rFonts w:ascii="Arial" w:hAnsi="Arial" w:cs="Arial"/>
                <w:sz w:val="20"/>
                <w:lang w:val="en-US"/>
              </w:rPr>
            </w:pPr>
            <w:r w:rsidRPr="00735BA9">
              <w:rPr>
                <w:rFonts w:ascii="Arial" w:hAnsi="Arial" w:cs="Arial"/>
                <w:sz w:val="20"/>
                <w:lang w:val="en-US"/>
              </w:rPr>
              <w:t>2011</w:t>
            </w:r>
          </w:p>
        </w:tc>
        <w:tc>
          <w:tcPr>
            <w:tcW w:w="337" w:type="dxa"/>
            <w:tcBorders>
              <w:top w:val="single" w:sz="4" w:space="0" w:color="auto"/>
              <w:left w:val="nil"/>
              <w:bottom w:val="nil"/>
              <w:right w:val="nil"/>
            </w:tcBorders>
            <w:shd w:val="clear" w:color="auto" w:fill="auto"/>
            <w:noWrap/>
            <w:vAlign w:val="bottom"/>
            <w:hideMark/>
          </w:tcPr>
          <w:p w:rsidR="00735BA9" w:rsidRPr="00735BA9" w:rsidRDefault="00735BA9" w:rsidP="00735BA9">
            <w:pPr>
              <w:overflowPunct/>
              <w:autoSpaceDE/>
              <w:autoSpaceDN/>
              <w:adjustRightInd/>
              <w:spacing w:line="240" w:lineRule="auto"/>
              <w:jc w:val="center"/>
              <w:textAlignment w:val="auto"/>
              <w:rPr>
                <w:rFonts w:ascii="Arial" w:hAnsi="Arial" w:cs="Arial"/>
                <w:sz w:val="20"/>
                <w:lang w:val="en-US"/>
              </w:rPr>
            </w:pPr>
            <w:r w:rsidRPr="00735BA9">
              <w:rPr>
                <w:rFonts w:ascii="Arial" w:hAnsi="Arial" w:cs="Arial"/>
                <w:sz w:val="20"/>
                <w:lang w:val="en-US"/>
              </w:rPr>
              <w:t> </w:t>
            </w:r>
          </w:p>
        </w:tc>
        <w:tc>
          <w:tcPr>
            <w:tcW w:w="2678" w:type="dxa"/>
            <w:gridSpan w:val="2"/>
            <w:tcBorders>
              <w:top w:val="single" w:sz="4" w:space="0" w:color="auto"/>
              <w:left w:val="nil"/>
              <w:bottom w:val="single" w:sz="4" w:space="0" w:color="auto"/>
              <w:right w:val="single" w:sz="4" w:space="0" w:color="000000"/>
            </w:tcBorders>
            <w:shd w:val="clear" w:color="auto" w:fill="auto"/>
            <w:vAlign w:val="bottom"/>
            <w:hideMark/>
          </w:tcPr>
          <w:p w:rsidR="00735BA9" w:rsidRPr="00735BA9" w:rsidRDefault="00735BA9" w:rsidP="00735BA9">
            <w:pPr>
              <w:overflowPunct/>
              <w:autoSpaceDE/>
              <w:autoSpaceDN/>
              <w:adjustRightInd/>
              <w:spacing w:line="240" w:lineRule="auto"/>
              <w:jc w:val="center"/>
              <w:textAlignment w:val="auto"/>
              <w:rPr>
                <w:rFonts w:ascii="Arial" w:hAnsi="Arial" w:cs="Arial"/>
                <w:sz w:val="20"/>
                <w:lang w:val="en-US"/>
              </w:rPr>
            </w:pPr>
            <w:r w:rsidRPr="00735BA9">
              <w:rPr>
                <w:rFonts w:ascii="Arial" w:hAnsi="Arial" w:cs="Arial"/>
                <w:sz w:val="20"/>
                <w:lang w:val="en-US"/>
              </w:rPr>
              <w:t>2010</w:t>
            </w:r>
          </w:p>
        </w:tc>
      </w:tr>
      <w:tr w:rsidR="00B66938" w:rsidRPr="00735BA9" w:rsidTr="00B66938">
        <w:trPr>
          <w:trHeight w:val="280"/>
        </w:trPr>
        <w:tc>
          <w:tcPr>
            <w:tcW w:w="3373" w:type="dxa"/>
            <w:tcBorders>
              <w:top w:val="nil"/>
              <w:left w:val="single" w:sz="4" w:space="0" w:color="auto"/>
              <w:bottom w:val="nil"/>
              <w:right w:val="nil"/>
            </w:tcBorders>
            <w:shd w:val="clear" w:color="auto" w:fill="auto"/>
            <w:hideMark/>
          </w:tcPr>
          <w:p w:rsidR="00735BA9" w:rsidRPr="00735BA9" w:rsidRDefault="00735BA9" w:rsidP="00735BA9">
            <w:pPr>
              <w:overflowPunct/>
              <w:autoSpaceDE/>
              <w:autoSpaceDN/>
              <w:adjustRightInd/>
              <w:spacing w:line="240" w:lineRule="auto"/>
              <w:textAlignment w:val="auto"/>
              <w:rPr>
                <w:rFonts w:ascii="Arial" w:hAnsi="Arial" w:cs="Arial"/>
                <w:sz w:val="16"/>
                <w:szCs w:val="16"/>
                <w:lang w:val="en-US"/>
              </w:rPr>
            </w:pPr>
            <w:r w:rsidRPr="00735BA9">
              <w:rPr>
                <w:rFonts w:ascii="Arial" w:hAnsi="Arial" w:cs="Arial"/>
                <w:sz w:val="16"/>
                <w:szCs w:val="16"/>
                <w:lang w:val="en-US"/>
              </w:rPr>
              <w:t>(in thousands of USD)</w:t>
            </w:r>
          </w:p>
        </w:tc>
        <w:tc>
          <w:tcPr>
            <w:tcW w:w="375" w:type="dxa"/>
            <w:tcBorders>
              <w:top w:val="nil"/>
              <w:left w:val="nil"/>
              <w:bottom w:val="nil"/>
              <w:right w:val="nil"/>
            </w:tcBorders>
            <w:shd w:val="clear" w:color="auto" w:fill="auto"/>
            <w:noWrap/>
            <w:hideMark/>
          </w:tcPr>
          <w:p w:rsidR="00735BA9" w:rsidRPr="00735BA9" w:rsidRDefault="00735BA9" w:rsidP="00735BA9">
            <w:pPr>
              <w:overflowPunct/>
              <w:autoSpaceDE/>
              <w:autoSpaceDN/>
              <w:adjustRightInd/>
              <w:spacing w:line="240" w:lineRule="auto"/>
              <w:textAlignment w:val="auto"/>
              <w:rPr>
                <w:rFonts w:ascii="Arial" w:hAnsi="Arial" w:cs="Arial"/>
                <w:sz w:val="20"/>
                <w:lang w:val="en-US"/>
              </w:rPr>
            </w:pPr>
          </w:p>
        </w:tc>
        <w:tc>
          <w:tcPr>
            <w:tcW w:w="1219" w:type="dxa"/>
            <w:tcBorders>
              <w:top w:val="nil"/>
              <w:left w:val="nil"/>
              <w:bottom w:val="nil"/>
              <w:right w:val="nil"/>
            </w:tcBorders>
            <w:shd w:val="clear" w:color="auto" w:fill="auto"/>
            <w:hideMark/>
          </w:tcPr>
          <w:p w:rsidR="00735BA9" w:rsidRPr="00735BA9" w:rsidRDefault="00735BA9" w:rsidP="00735BA9">
            <w:pPr>
              <w:overflowPunct/>
              <w:autoSpaceDE/>
              <w:autoSpaceDN/>
              <w:adjustRightInd/>
              <w:spacing w:line="240" w:lineRule="auto"/>
              <w:textAlignment w:val="auto"/>
              <w:rPr>
                <w:rFonts w:ascii="Arial" w:hAnsi="Arial" w:cs="Arial"/>
                <w:b/>
                <w:bCs/>
                <w:sz w:val="20"/>
                <w:lang w:val="en-US"/>
              </w:rPr>
            </w:pPr>
          </w:p>
        </w:tc>
        <w:tc>
          <w:tcPr>
            <w:tcW w:w="1141" w:type="dxa"/>
            <w:tcBorders>
              <w:top w:val="nil"/>
              <w:left w:val="nil"/>
              <w:bottom w:val="nil"/>
              <w:right w:val="nil"/>
            </w:tcBorders>
            <w:shd w:val="clear" w:color="auto" w:fill="auto"/>
            <w:hideMark/>
          </w:tcPr>
          <w:p w:rsidR="00735BA9" w:rsidRPr="00735BA9" w:rsidRDefault="00735BA9" w:rsidP="00735BA9">
            <w:pPr>
              <w:overflowPunct/>
              <w:autoSpaceDE/>
              <w:autoSpaceDN/>
              <w:adjustRightInd/>
              <w:spacing w:line="240" w:lineRule="auto"/>
              <w:textAlignment w:val="auto"/>
              <w:rPr>
                <w:rFonts w:ascii="Arial" w:hAnsi="Arial" w:cs="Arial"/>
                <w:b/>
                <w:bCs/>
                <w:sz w:val="20"/>
                <w:lang w:val="en-US"/>
              </w:rPr>
            </w:pPr>
          </w:p>
        </w:tc>
        <w:tc>
          <w:tcPr>
            <w:tcW w:w="337" w:type="dxa"/>
            <w:tcBorders>
              <w:top w:val="nil"/>
              <w:left w:val="nil"/>
              <w:bottom w:val="nil"/>
              <w:right w:val="nil"/>
            </w:tcBorders>
            <w:shd w:val="clear" w:color="auto" w:fill="auto"/>
            <w:hideMark/>
          </w:tcPr>
          <w:p w:rsidR="00735BA9" w:rsidRPr="00735BA9" w:rsidRDefault="00735BA9" w:rsidP="00735BA9">
            <w:pPr>
              <w:overflowPunct/>
              <w:autoSpaceDE/>
              <w:autoSpaceDN/>
              <w:adjustRightInd/>
              <w:spacing w:line="240" w:lineRule="auto"/>
              <w:textAlignment w:val="auto"/>
              <w:rPr>
                <w:rFonts w:ascii="Arial" w:hAnsi="Arial" w:cs="Arial"/>
                <w:b/>
                <w:bCs/>
                <w:sz w:val="20"/>
                <w:lang w:val="en-US"/>
              </w:rPr>
            </w:pPr>
          </w:p>
        </w:tc>
        <w:tc>
          <w:tcPr>
            <w:tcW w:w="272" w:type="dxa"/>
            <w:tcBorders>
              <w:top w:val="nil"/>
              <w:left w:val="nil"/>
              <w:bottom w:val="nil"/>
              <w:right w:val="nil"/>
            </w:tcBorders>
            <w:shd w:val="clear" w:color="auto" w:fill="auto"/>
            <w:noWrap/>
            <w:vAlign w:val="bottom"/>
            <w:hideMark/>
          </w:tcPr>
          <w:p w:rsidR="00735BA9" w:rsidRPr="00735BA9" w:rsidRDefault="00735BA9" w:rsidP="00735BA9">
            <w:pPr>
              <w:overflowPunct/>
              <w:autoSpaceDE/>
              <w:autoSpaceDN/>
              <w:adjustRightInd/>
              <w:spacing w:line="240" w:lineRule="auto"/>
              <w:jc w:val="right"/>
              <w:textAlignment w:val="auto"/>
              <w:rPr>
                <w:rFonts w:ascii="Arial" w:hAnsi="Arial" w:cs="Arial"/>
                <w:sz w:val="20"/>
                <w:lang w:val="en-US"/>
              </w:rPr>
            </w:pPr>
          </w:p>
        </w:tc>
        <w:tc>
          <w:tcPr>
            <w:tcW w:w="2406" w:type="dxa"/>
            <w:tcBorders>
              <w:top w:val="nil"/>
              <w:left w:val="nil"/>
              <w:bottom w:val="nil"/>
              <w:right w:val="single" w:sz="4" w:space="0" w:color="auto"/>
            </w:tcBorders>
            <w:shd w:val="clear" w:color="auto" w:fill="auto"/>
            <w:noWrap/>
            <w:vAlign w:val="bottom"/>
            <w:hideMark/>
          </w:tcPr>
          <w:p w:rsidR="00735BA9" w:rsidRPr="00735BA9" w:rsidRDefault="00735BA9" w:rsidP="00735BA9">
            <w:pPr>
              <w:overflowPunct/>
              <w:autoSpaceDE/>
              <w:autoSpaceDN/>
              <w:adjustRightInd/>
              <w:spacing w:line="240" w:lineRule="auto"/>
              <w:jc w:val="right"/>
              <w:textAlignment w:val="auto"/>
              <w:rPr>
                <w:rFonts w:ascii="Arial" w:hAnsi="Arial" w:cs="Arial"/>
                <w:sz w:val="20"/>
                <w:lang w:val="en-US"/>
              </w:rPr>
            </w:pPr>
            <w:r w:rsidRPr="00735BA9">
              <w:rPr>
                <w:rFonts w:ascii="Arial" w:hAnsi="Arial" w:cs="Arial"/>
                <w:sz w:val="20"/>
                <w:lang w:val="en-US"/>
              </w:rPr>
              <w:t> </w:t>
            </w:r>
          </w:p>
        </w:tc>
      </w:tr>
      <w:tr w:rsidR="00735BA9" w:rsidRPr="00735BA9" w:rsidTr="00B66938">
        <w:trPr>
          <w:trHeight w:val="280"/>
        </w:trPr>
        <w:tc>
          <w:tcPr>
            <w:tcW w:w="3373" w:type="dxa"/>
            <w:tcBorders>
              <w:top w:val="nil"/>
              <w:left w:val="single" w:sz="4" w:space="0" w:color="auto"/>
              <w:bottom w:val="nil"/>
              <w:right w:val="nil"/>
            </w:tcBorders>
            <w:shd w:val="clear" w:color="auto" w:fill="auto"/>
            <w:noWrap/>
            <w:hideMark/>
          </w:tcPr>
          <w:p w:rsidR="00735BA9" w:rsidRPr="00735BA9" w:rsidRDefault="00735BA9" w:rsidP="00735BA9">
            <w:pPr>
              <w:overflowPunct/>
              <w:autoSpaceDE/>
              <w:autoSpaceDN/>
              <w:adjustRightInd/>
              <w:spacing w:line="240" w:lineRule="auto"/>
              <w:textAlignment w:val="auto"/>
              <w:rPr>
                <w:rFonts w:ascii="Arial" w:hAnsi="Arial" w:cs="Arial"/>
                <w:sz w:val="20"/>
                <w:lang w:val="en-US"/>
              </w:rPr>
            </w:pPr>
            <w:r w:rsidRPr="00735BA9">
              <w:rPr>
                <w:rFonts w:ascii="Arial" w:hAnsi="Arial" w:cs="Arial"/>
                <w:sz w:val="20"/>
                <w:lang w:val="en-US"/>
              </w:rPr>
              <w:t>Amounts owed to group companies</w:t>
            </w:r>
          </w:p>
        </w:tc>
        <w:tc>
          <w:tcPr>
            <w:tcW w:w="375" w:type="dxa"/>
            <w:tcBorders>
              <w:top w:val="nil"/>
              <w:left w:val="nil"/>
              <w:bottom w:val="nil"/>
              <w:right w:val="nil"/>
            </w:tcBorders>
            <w:shd w:val="clear" w:color="auto" w:fill="auto"/>
            <w:noWrap/>
            <w:hideMark/>
          </w:tcPr>
          <w:p w:rsidR="00735BA9" w:rsidRPr="00735BA9" w:rsidRDefault="00735BA9" w:rsidP="00735BA9">
            <w:pPr>
              <w:overflowPunct/>
              <w:autoSpaceDE/>
              <w:autoSpaceDN/>
              <w:adjustRightInd/>
              <w:spacing w:line="240" w:lineRule="auto"/>
              <w:ind w:firstLineChars="300" w:firstLine="600"/>
              <w:textAlignment w:val="auto"/>
              <w:rPr>
                <w:rFonts w:ascii="Arial" w:hAnsi="Arial" w:cs="Arial"/>
                <w:sz w:val="20"/>
                <w:lang w:val="en-US"/>
              </w:rPr>
            </w:pPr>
          </w:p>
        </w:tc>
        <w:tc>
          <w:tcPr>
            <w:tcW w:w="1219" w:type="dxa"/>
            <w:tcBorders>
              <w:top w:val="nil"/>
              <w:left w:val="nil"/>
              <w:bottom w:val="nil"/>
              <w:right w:val="nil"/>
            </w:tcBorders>
            <w:shd w:val="clear" w:color="auto" w:fill="auto"/>
            <w:noWrap/>
            <w:vAlign w:val="bottom"/>
            <w:hideMark/>
          </w:tcPr>
          <w:p w:rsidR="00735BA9" w:rsidRPr="00735BA9" w:rsidRDefault="00735BA9" w:rsidP="00735BA9">
            <w:pPr>
              <w:overflowPunct/>
              <w:autoSpaceDE/>
              <w:autoSpaceDN/>
              <w:adjustRightInd/>
              <w:spacing w:line="240" w:lineRule="auto"/>
              <w:jc w:val="center"/>
              <w:textAlignment w:val="auto"/>
              <w:rPr>
                <w:rFonts w:ascii="Arial" w:hAnsi="Arial" w:cs="Arial"/>
                <w:sz w:val="20"/>
                <w:lang w:val="en-US"/>
              </w:rPr>
            </w:pPr>
          </w:p>
        </w:tc>
        <w:tc>
          <w:tcPr>
            <w:tcW w:w="1141" w:type="dxa"/>
            <w:tcBorders>
              <w:top w:val="nil"/>
              <w:left w:val="nil"/>
              <w:bottom w:val="nil"/>
              <w:right w:val="nil"/>
            </w:tcBorders>
            <w:shd w:val="clear" w:color="auto" w:fill="auto"/>
            <w:noWrap/>
            <w:hideMark/>
          </w:tcPr>
          <w:p w:rsidR="00735BA9" w:rsidRPr="00735BA9" w:rsidRDefault="00735BA9" w:rsidP="007B6BFC">
            <w:pPr>
              <w:overflowPunct/>
              <w:autoSpaceDE/>
              <w:autoSpaceDN/>
              <w:adjustRightInd/>
              <w:spacing w:line="240" w:lineRule="auto"/>
              <w:jc w:val="right"/>
              <w:textAlignment w:val="auto"/>
              <w:rPr>
                <w:rFonts w:ascii="Arial" w:hAnsi="Arial" w:cs="Arial"/>
                <w:sz w:val="20"/>
                <w:lang w:val="en-US"/>
              </w:rPr>
            </w:pPr>
            <w:r w:rsidRPr="00735BA9">
              <w:rPr>
                <w:rFonts w:ascii="Arial" w:hAnsi="Arial" w:cs="Arial"/>
                <w:sz w:val="20"/>
                <w:lang w:val="en-US"/>
              </w:rPr>
              <w:t xml:space="preserve"> </w:t>
            </w:r>
            <w:r w:rsidR="007B6BFC" w:rsidRPr="00735BA9">
              <w:rPr>
                <w:rFonts w:ascii="Arial" w:hAnsi="Arial" w:cs="Arial"/>
                <w:sz w:val="20"/>
                <w:lang w:val="en-US"/>
              </w:rPr>
              <w:t>1'60</w:t>
            </w:r>
            <w:r w:rsidR="007B6BFC">
              <w:rPr>
                <w:rFonts w:ascii="Arial" w:hAnsi="Arial" w:cs="Arial"/>
                <w:sz w:val="20"/>
                <w:lang w:val="en-US"/>
              </w:rPr>
              <w:t>5</w:t>
            </w:r>
            <w:r w:rsidR="007B6BFC" w:rsidRPr="00735BA9">
              <w:rPr>
                <w:rFonts w:ascii="Arial" w:hAnsi="Arial" w:cs="Arial"/>
                <w:sz w:val="20"/>
                <w:lang w:val="en-US"/>
              </w:rPr>
              <w:t xml:space="preserve"> </w:t>
            </w:r>
          </w:p>
        </w:tc>
        <w:tc>
          <w:tcPr>
            <w:tcW w:w="337" w:type="dxa"/>
            <w:tcBorders>
              <w:top w:val="nil"/>
              <w:left w:val="nil"/>
              <w:bottom w:val="nil"/>
              <w:right w:val="nil"/>
            </w:tcBorders>
            <w:shd w:val="clear" w:color="auto" w:fill="auto"/>
            <w:noWrap/>
            <w:vAlign w:val="bottom"/>
            <w:hideMark/>
          </w:tcPr>
          <w:p w:rsidR="00735BA9" w:rsidRPr="00735BA9" w:rsidRDefault="00735BA9" w:rsidP="00735BA9">
            <w:pPr>
              <w:overflowPunct/>
              <w:autoSpaceDE/>
              <w:autoSpaceDN/>
              <w:adjustRightInd/>
              <w:spacing w:line="240" w:lineRule="auto"/>
              <w:jc w:val="center"/>
              <w:textAlignment w:val="auto"/>
              <w:rPr>
                <w:rFonts w:ascii="Arial" w:hAnsi="Arial" w:cs="Arial"/>
                <w:sz w:val="20"/>
                <w:lang w:val="en-US"/>
              </w:rPr>
            </w:pPr>
          </w:p>
        </w:tc>
        <w:tc>
          <w:tcPr>
            <w:tcW w:w="272" w:type="dxa"/>
            <w:tcBorders>
              <w:top w:val="nil"/>
              <w:left w:val="nil"/>
              <w:bottom w:val="nil"/>
              <w:right w:val="nil"/>
            </w:tcBorders>
            <w:shd w:val="clear" w:color="auto" w:fill="auto"/>
            <w:noWrap/>
            <w:vAlign w:val="bottom"/>
            <w:hideMark/>
          </w:tcPr>
          <w:p w:rsidR="00735BA9" w:rsidRPr="00735BA9" w:rsidRDefault="00735BA9" w:rsidP="00735BA9">
            <w:pPr>
              <w:overflowPunct/>
              <w:autoSpaceDE/>
              <w:autoSpaceDN/>
              <w:adjustRightInd/>
              <w:spacing w:line="240" w:lineRule="auto"/>
              <w:textAlignment w:val="auto"/>
              <w:rPr>
                <w:rFonts w:ascii="Arial" w:hAnsi="Arial" w:cs="Arial"/>
                <w:sz w:val="20"/>
                <w:lang w:val="en-US"/>
              </w:rPr>
            </w:pPr>
          </w:p>
        </w:tc>
        <w:tc>
          <w:tcPr>
            <w:tcW w:w="2406" w:type="dxa"/>
            <w:tcBorders>
              <w:top w:val="nil"/>
              <w:left w:val="nil"/>
              <w:bottom w:val="nil"/>
              <w:right w:val="single" w:sz="4" w:space="0" w:color="auto"/>
            </w:tcBorders>
            <w:shd w:val="clear" w:color="auto" w:fill="auto"/>
            <w:noWrap/>
            <w:hideMark/>
          </w:tcPr>
          <w:p w:rsidR="00735BA9" w:rsidRPr="00735BA9" w:rsidRDefault="00735BA9" w:rsidP="00735BA9">
            <w:pPr>
              <w:overflowPunct/>
              <w:autoSpaceDE/>
              <w:autoSpaceDN/>
              <w:adjustRightInd/>
              <w:spacing w:line="240" w:lineRule="auto"/>
              <w:jc w:val="right"/>
              <w:textAlignment w:val="auto"/>
              <w:rPr>
                <w:rFonts w:ascii="Arial" w:hAnsi="Arial" w:cs="Arial"/>
                <w:sz w:val="20"/>
                <w:lang w:val="en-US"/>
              </w:rPr>
            </w:pPr>
            <w:r w:rsidRPr="00735BA9">
              <w:rPr>
                <w:rFonts w:ascii="Arial" w:hAnsi="Arial" w:cs="Arial"/>
                <w:sz w:val="20"/>
                <w:lang w:val="en-US"/>
              </w:rPr>
              <w:t xml:space="preserve"> 1'687 </w:t>
            </w:r>
          </w:p>
        </w:tc>
      </w:tr>
      <w:tr w:rsidR="00735BA9" w:rsidRPr="00735BA9" w:rsidTr="00B66938">
        <w:trPr>
          <w:trHeight w:val="280"/>
        </w:trPr>
        <w:tc>
          <w:tcPr>
            <w:tcW w:w="3373" w:type="dxa"/>
            <w:tcBorders>
              <w:top w:val="nil"/>
              <w:left w:val="single" w:sz="4" w:space="0" w:color="auto"/>
              <w:bottom w:val="nil"/>
              <w:right w:val="nil"/>
            </w:tcBorders>
            <w:shd w:val="clear" w:color="auto" w:fill="auto"/>
            <w:noWrap/>
            <w:hideMark/>
          </w:tcPr>
          <w:p w:rsidR="00735BA9" w:rsidRPr="00735BA9" w:rsidRDefault="00735BA9" w:rsidP="00735BA9">
            <w:pPr>
              <w:overflowPunct/>
              <w:autoSpaceDE/>
              <w:autoSpaceDN/>
              <w:adjustRightInd/>
              <w:spacing w:line="240" w:lineRule="auto"/>
              <w:textAlignment w:val="auto"/>
              <w:rPr>
                <w:rFonts w:ascii="Arial" w:hAnsi="Arial" w:cs="Arial"/>
                <w:sz w:val="20"/>
                <w:lang w:val="en-US"/>
              </w:rPr>
            </w:pPr>
            <w:r w:rsidRPr="00735BA9">
              <w:rPr>
                <w:rFonts w:ascii="Arial" w:hAnsi="Arial" w:cs="Arial"/>
                <w:sz w:val="20"/>
                <w:lang w:val="en-US"/>
              </w:rPr>
              <w:t>Taxes</w:t>
            </w:r>
          </w:p>
        </w:tc>
        <w:tc>
          <w:tcPr>
            <w:tcW w:w="375" w:type="dxa"/>
            <w:tcBorders>
              <w:top w:val="nil"/>
              <w:left w:val="nil"/>
              <w:bottom w:val="nil"/>
              <w:right w:val="nil"/>
            </w:tcBorders>
            <w:shd w:val="clear" w:color="auto" w:fill="auto"/>
            <w:noWrap/>
            <w:hideMark/>
          </w:tcPr>
          <w:p w:rsidR="00735BA9" w:rsidRPr="00735BA9" w:rsidRDefault="00735BA9" w:rsidP="00735BA9">
            <w:pPr>
              <w:overflowPunct/>
              <w:autoSpaceDE/>
              <w:autoSpaceDN/>
              <w:adjustRightInd/>
              <w:spacing w:line="240" w:lineRule="auto"/>
              <w:ind w:firstLineChars="300" w:firstLine="600"/>
              <w:textAlignment w:val="auto"/>
              <w:rPr>
                <w:rFonts w:ascii="Arial" w:hAnsi="Arial" w:cs="Arial"/>
                <w:sz w:val="20"/>
                <w:lang w:val="en-US"/>
              </w:rPr>
            </w:pPr>
          </w:p>
        </w:tc>
        <w:tc>
          <w:tcPr>
            <w:tcW w:w="1219" w:type="dxa"/>
            <w:tcBorders>
              <w:top w:val="nil"/>
              <w:left w:val="nil"/>
              <w:bottom w:val="nil"/>
              <w:right w:val="nil"/>
            </w:tcBorders>
            <w:shd w:val="clear" w:color="auto" w:fill="auto"/>
            <w:noWrap/>
            <w:vAlign w:val="bottom"/>
            <w:hideMark/>
          </w:tcPr>
          <w:p w:rsidR="00735BA9" w:rsidRPr="00735BA9" w:rsidRDefault="00735BA9" w:rsidP="00735BA9">
            <w:pPr>
              <w:overflowPunct/>
              <w:autoSpaceDE/>
              <w:autoSpaceDN/>
              <w:adjustRightInd/>
              <w:spacing w:line="240" w:lineRule="auto"/>
              <w:jc w:val="center"/>
              <w:textAlignment w:val="auto"/>
              <w:rPr>
                <w:rFonts w:ascii="Arial" w:hAnsi="Arial" w:cs="Arial"/>
                <w:sz w:val="20"/>
                <w:lang w:val="en-US"/>
              </w:rPr>
            </w:pPr>
          </w:p>
        </w:tc>
        <w:tc>
          <w:tcPr>
            <w:tcW w:w="1141" w:type="dxa"/>
            <w:tcBorders>
              <w:top w:val="nil"/>
              <w:left w:val="nil"/>
              <w:bottom w:val="nil"/>
              <w:right w:val="nil"/>
            </w:tcBorders>
            <w:shd w:val="clear" w:color="auto" w:fill="auto"/>
            <w:hideMark/>
          </w:tcPr>
          <w:p w:rsidR="00735BA9" w:rsidRPr="00735BA9" w:rsidRDefault="00735BA9" w:rsidP="00735BA9">
            <w:pPr>
              <w:overflowPunct/>
              <w:autoSpaceDE/>
              <w:autoSpaceDN/>
              <w:adjustRightInd/>
              <w:spacing w:line="240" w:lineRule="auto"/>
              <w:textAlignment w:val="auto"/>
              <w:rPr>
                <w:rFonts w:ascii="Arial" w:hAnsi="Arial" w:cs="Arial"/>
                <w:sz w:val="20"/>
                <w:lang w:val="en-US"/>
              </w:rPr>
            </w:pPr>
            <w:r w:rsidRPr="00735BA9">
              <w:rPr>
                <w:rFonts w:ascii="Arial" w:hAnsi="Arial" w:cs="Arial"/>
                <w:sz w:val="20"/>
                <w:lang w:val="en-US"/>
              </w:rPr>
              <w:t xml:space="preserve">              -   </w:t>
            </w:r>
          </w:p>
        </w:tc>
        <w:tc>
          <w:tcPr>
            <w:tcW w:w="337" w:type="dxa"/>
            <w:tcBorders>
              <w:top w:val="nil"/>
              <w:left w:val="nil"/>
              <w:bottom w:val="nil"/>
              <w:right w:val="nil"/>
            </w:tcBorders>
            <w:shd w:val="clear" w:color="auto" w:fill="auto"/>
            <w:noWrap/>
            <w:vAlign w:val="bottom"/>
            <w:hideMark/>
          </w:tcPr>
          <w:p w:rsidR="00735BA9" w:rsidRPr="00735BA9" w:rsidRDefault="00735BA9" w:rsidP="00735BA9">
            <w:pPr>
              <w:overflowPunct/>
              <w:autoSpaceDE/>
              <w:autoSpaceDN/>
              <w:adjustRightInd/>
              <w:spacing w:line="240" w:lineRule="auto"/>
              <w:jc w:val="center"/>
              <w:textAlignment w:val="auto"/>
              <w:rPr>
                <w:rFonts w:ascii="Arial" w:hAnsi="Arial" w:cs="Arial"/>
                <w:sz w:val="20"/>
                <w:lang w:val="en-US"/>
              </w:rPr>
            </w:pPr>
          </w:p>
        </w:tc>
        <w:tc>
          <w:tcPr>
            <w:tcW w:w="272" w:type="dxa"/>
            <w:tcBorders>
              <w:top w:val="nil"/>
              <w:left w:val="nil"/>
              <w:bottom w:val="nil"/>
              <w:right w:val="nil"/>
            </w:tcBorders>
            <w:shd w:val="clear" w:color="auto" w:fill="auto"/>
            <w:noWrap/>
            <w:vAlign w:val="bottom"/>
            <w:hideMark/>
          </w:tcPr>
          <w:p w:rsidR="00735BA9" w:rsidRPr="00735BA9" w:rsidRDefault="00735BA9" w:rsidP="00735BA9">
            <w:pPr>
              <w:overflowPunct/>
              <w:autoSpaceDE/>
              <w:autoSpaceDN/>
              <w:adjustRightInd/>
              <w:spacing w:line="240" w:lineRule="auto"/>
              <w:textAlignment w:val="auto"/>
              <w:rPr>
                <w:rFonts w:ascii="Arial" w:hAnsi="Arial" w:cs="Arial"/>
                <w:sz w:val="20"/>
                <w:lang w:val="en-US"/>
              </w:rPr>
            </w:pPr>
          </w:p>
        </w:tc>
        <w:tc>
          <w:tcPr>
            <w:tcW w:w="2406" w:type="dxa"/>
            <w:tcBorders>
              <w:top w:val="nil"/>
              <w:left w:val="nil"/>
              <w:bottom w:val="nil"/>
              <w:right w:val="single" w:sz="4" w:space="0" w:color="auto"/>
            </w:tcBorders>
            <w:shd w:val="clear" w:color="auto" w:fill="auto"/>
            <w:hideMark/>
          </w:tcPr>
          <w:p w:rsidR="00735BA9" w:rsidRPr="00735BA9" w:rsidRDefault="00735BA9" w:rsidP="008B695B">
            <w:pPr>
              <w:overflowPunct/>
              <w:autoSpaceDE/>
              <w:autoSpaceDN/>
              <w:adjustRightInd/>
              <w:spacing w:line="240" w:lineRule="auto"/>
              <w:jc w:val="right"/>
              <w:textAlignment w:val="auto"/>
              <w:rPr>
                <w:rFonts w:ascii="Arial" w:hAnsi="Arial" w:cs="Arial"/>
                <w:sz w:val="20"/>
                <w:lang w:val="en-US"/>
              </w:rPr>
            </w:pPr>
            <w:r w:rsidRPr="00735BA9">
              <w:rPr>
                <w:rFonts w:ascii="Arial" w:hAnsi="Arial" w:cs="Arial"/>
                <w:sz w:val="20"/>
                <w:lang w:val="en-US"/>
              </w:rPr>
              <w:t xml:space="preserve">               -   </w:t>
            </w:r>
          </w:p>
        </w:tc>
      </w:tr>
      <w:tr w:rsidR="00735BA9" w:rsidRPr="00735BA9" w:rsidTr="00B66938">
        <w:trPr>
          <w:trHeight w:val="280"/>
        </w:trPr>
        <w:tc>
          <w:tcPr>
            <w:tcW w:w="3373" w:type="dxa"/>
            <w:tcBorders>
              <w:top w:val="nil"/>
              <w:left w:val="single" w:sz="4" w:space="0" w:color="auto"/>
              <w:bottom w:val="nil"/>
              <w:right w:val="nil"/>
            </w:tcBorders>
            <w:shd w:val="clear" w:color="auto" w:fill="auto"/>
            <w:noWrap/>
            <w:hideMark/>
          </w:tcPr>
          <w:p w:rsidR="00735BA9" w:rsidRPr="00735BA9" w:rsidRDefault="00735BA9" w:rsidP="00735BA9">
            <w:pPr>
              <w:overflowPunct/>
              <w:autoSpaceDE/>
              <w:autoSpaceDN/>
              <w:adjustRightInd/>
              <w:spacing w:line="240" w:lineRule="auto"/>
              <w:textAlignment w:val="auto"/>
              <w:rPr>
                <w:rFonts w:ascii="Arial" w:hAnsi="Arial" w:cs="Arial"/>
                <w:sz w:val="20"/>
                <w:lang w:val="en-US"/>
              </w:rPr>
            </w:pPr>
            <w:r w:rsidRPr="00735BA9">
              <w:rPr>
                <w:rFonts w:ascii="Arial" w:hAnsi="Arial" w:cs="Arial"/>
                <w:sz w:val="20"/>
                <w:lang w:val="en-US"/>
              </w:rPr>
              <w:t>Other liabilities</w:t>
            </w:r>
          </w:p>
        </w:tc>
        <w:tc>
          <w:tcPr>
            <w:tcW w:w="375" w:type="dxa"/>
            <w:tcBorders>
              <w:top w:val="nil"/>
              <w:left w:val="nil"/>
              <w:bottom w:val="nil"/>
              <w:right w:val="nil"/>
            </w:tcBorders>
            <w:shd w:val="clear" w:color="auto" w:fill="auto"/>
            <w:noWrap/>
            <w:hideMark/>
          </w:tcPr>
          <w:p w:rsidR="00735BA9" w:rsidRPr="00735BA9" w:rsidRDefault="00735BA9" w:rsidP="00735BA9">
            <w:pPr>
              <w:overflowPunct/>
              <w:autoSpaceDE/>
              <w:autoSpaceDN/>
              <w:adjustRightInd/>
              <w:spacing w:line="240" w:lineRule="auto"/>
              <w:ind w:firstLineChars="300" w:firstLine="600"/>
              <w:textAlignment w:val="auto"/>
              <w:rPr>
                <w:rFonts w:ascii="Arial" w:hAnsi="Arial" w:cs="Arial"/>
                <w:sz w:val="20"/>
                <w:lang w:val="en-US"/>
              </w:rPr>
            </w:pPr>
          </w:p>
        </w:tc>
        <w:tc>
          <w:tcPr>
            <w:tcW w:w="1219" w:type="dxa"/>
            <w:tcBorders>
              <w:top w:val="nil"/>
              <w:left w:val="nil"/>
              <w:bottom w:val="nil"/>
              <w:right w:val="nil"/>
            </w:tcBorders>
            <w:shd w:val="clear" w:color="auto" w:fill="auto"/>
            <w:noWrap/>
            <w:vAlign w:val="bottom"/>
            <w:hideMark/>
          </w:tcPr>
          <w:p w:rsidR="00735BA9" w:rsidRPr="00735BA9" w:rsidRDefault="00735BA9" w:rsidP="00735BA9">
            <w:pPr>
              <w:overflowPunct/>
              <w:autoSpaceDE/>
              <w:autoSpaceDN/>
              <w:adjustRightInd/>
              <w:spacing w:line="240" w:lineRule="auto"/>
              <w:jc w:val="center"/>
              <w:textAlignment w:val="auto"/>
              <w:rPr>
                <w:rFonts w:ascii="Arial" w:hAnsi="Arial" w:cs="Arial"/>
                <w:sz w:val="20"/>
                <w:lang w:val="en-US"/>
              </w:rPr>
            </w:pPr>
          </w:p>
        </w:tc>
        <w:tc>
          <w:tcPr>
            <w:tcW w:w="1141" w:type="dxa"/>
            <w:tcBorders>
              <w:top w:val="nil"/>
              <w:left w:val="nil"/>
              <w:bottom w:val="nil"/>
              <w:right w:val="nil"/>
            </w:tcBorders>
            <w:shd w:val="clear" w:color="auto" w:fill="auto"/>
            <w:noWrap/>
            <w:hideMark/>
          </w:tcPr>
          <w:p w:rsidR="00735BA9" w:rsidRPr="00735BA9" w:rsidRDefault="00735BA9" w:rsidP="00735BA9">
            <w:pPr>
              <w:overflowPunct/>
              <w:autoSpaceDE/>
              <w:autoSpaceDN/>
              <w:adjustRightInd/>
              <w:spacing w:line="240" w:lineRule="auto"/>
              <w:jc w:val="right"/>
              <w:textAlignment w:val="auto"/>
              <w:rPr>
                <w:rFonts w:ascii="Arial" w:hAnsi="Arial" w:cs="Arial"/>
                <w:sz w:val="20"/>
                <w:lang w:val="en-US"/>
              </w:rPr>
            </w:pPr>
            <w:r w:rsidRPr="00735BA9">
              <w:rPr>
                <w:rFonts w:ascii="Arial" w:hAnsi="Arial" w:cs="Arial"/>
                <w:sz w:val="20"/>
                <w:lang w:val="en-US"/>
              </w:rPr>
              <w:t xml:space="preserve"> 32'432 </w:t>
            </w:r>
          </w:p>
        </w:tc>
        <w:tc>
          <w:tcPr>
            <w:tcW w:w="337" w:type="dxa"/>
            <w:tcBorders>
              <w:top w:val="nil"/>
              <w:left w:val="nil"/>
              <w:bottom w:val="nil"/>
              <w:right w:val="nil"/>
            </w:tcBorders>
            <w:shd w:val="clear" w:color="auto" w:fill="auto"/>
            <w:noWrap/>
            <w:vAlign w:val="bottom"/>
            <w:hideMark/>
          </w:tcPr>
          <w:p w:rsidR="00735BA9" w:rsidRPr="00735BA9" w:rsidRDefault="00735BA9" w:rsidP="00735BA9">
            <w:pPr>
              <w:overflowPunct/>
              <w:autoSpaceDE/>
              <w:autoSpaceDN/>
              <w:adjustRightInd/>
              <w:spacing w:line="240" w:lineRule="auto"/>
              <w:jc w:val="center"/>
              <w:textAlignment w:val="auto"/>
              <w:rPr>
                <w:rFonts w:ascii="Arial" w:hAnsi="Arial" w:cs="Arial"/>
                <w:sz w:val="20"/>
                <w:lang w:val="en-US"/>
              </w:rPr>
            </w:pPr>
          </w:p>
        </w:tc>
        <w:tc>
          <w:tcPr>
            <w:tcW w:w="272" w:type="dxa"/>
            <w:tcBorders>
              <w:top w:val="nil"/>
              <w:left w:val="nil"/>
              <w:bottom w:val="nil"/>
              <w:right w:val="nil"/>
            </w:tcBorders>
            <w:shd w:val="clear" w:color="auto" w:fill="auto"/>
            <w:noWrap/>
            <w:vAlign w:val="bottom"/>
            <w:hideMark/>
          </w:tcPr>
          <w:p w:rsidR="00735BA9" w:rsidRPr="00735BA9" w:rsidRDefault="00735BA9" w:rsidP="00735BA9">
            <w:pPr>
              <w:overflowPunct/>
              <w:autoSpaceDE/>
              <w:autoSpaceDN/>
              <w:adjustRightInd/>
              <w:spacing w:line="240" w:lineRule="auto"/>
              <w:textAlignment w:val="auto"/>
              <w:rPr>
                <w:rFonts w:ascii="Arial" w:hAnsi="Arial" w:cs="Arial"/>
                <w:sz w:val="20"/>
                <w:lang w:val="en-US"/>
              </w:rPr>
            </w:pPr>
          </w:p>
        </w:tc>
        <w:tc>
          <w:tcPr>
            <w:tcW w:w="2406" w:type="dxa"/>
            <w:tcBorders>
              <w:top w:val="nil"/>
              <w:left w:val="nil"/>
              <w:bottom w:val="nil"/>
              <w:right w:val="single" w:sz="4" w:space="0" w:color="auto"/>
            </w:tcBorders>
            <w:shd w:val="clear" w:color="auto" w:fill="auto"/>
            <w:noWrap/>
            <w:hideMark/>
          </w:tcPr>
          <w:p w:rsidR="00735BA9" w:rsidRPr="00735BA9" w:rsidRDefault="00735BA9" w:rsidP="00735BA9">
            <w:pPr>
              <w:overflowPunct/>
              <w:autoSpaceDE/>
              <w:autoSpaceDN/>
              <w:adjustRightInd/>
              <w:spacing w:line="240" w:lineRule="auto"/>
              <w:jc w:val="right"/>
              <w:textAlignment w:val="auto"/>
              <w:rPr>
                <w:rFonts w:ascii="Arial" w:hAnsi="Arial" w:cs="Arial"/>
                <w:sz w:val="20"/>
                <w:lang w:val="en-US"/>
              </w:rPr>
            </w:pPr>
            <w:r w:rsidRPr="00735BA9">
              <w:rPr>
                <w:rFonts w:ascii="Arial" w:hAnsi="Arial" w:cs="Arial"/>
                <w:sz w:val="20"/>
                <w:lang w:val="en-US"/>
              </w:rPr>
              <w:t xml:space="preserve"> 41'167 </w:t>
            </w:r>
          </w:p>
        </w:tc>
      </w:tr>
      <w:tr w:rsidR="00735BA9" w:rsidRPr="00735BA9" w:rsidTr="00B66938">
        <w:trPr>
          <w:trHeight w:val="280"/>
        </w:trPr>
        <w:tc>
          <w:tcPr>
            <w:tcW w:w="3373" w:type="dxa"/>
            <w:tcBorders>
              <w:top w:val="nil"/>
              <w:left w:val="single" w:sz="4" w:space="0" w:color="auto"/>
              <w:bottom w:val="nil"/>
              <w:right w:val="nil"/>
            </w:tcBorders>
            <w:shd w:val="clear" w:color="auto" w:fill="auto"/>
            <w:noWrap/>
            <w:hideMark/>
          </w:tcPr>
          <w:p w:rsidR="00735BA9" w:rsidRPr="00735BA9" w:rsidRDefault="00735BA9" w:rsidP="00735BA9">
            <w:pPr>
              <w:overflowPunct/>
              <w:autoSpaceDE/>
              <w:autoSpaceDN/>
              <w:adjustRightInd/>
              <w:spacing w:line="240" w:lineRule="auto"/>
              <w:textAlignment w:val="auto"/>
              <w:rPr>
                <w:rFonts w:ascii="Arial" w:hAnsi="Arial" w:cs="Arial"/>
                <w:sz w:val="20"/>
                <w:lang w:val="en-US"/>
              </w:rPr>
            </w:pPr>
            <w:r w:rsidRPr="00735BA9">
              <w:rPr>
                <w:rFonts w:ascii="Arial" w:hAnsi="Arial" w:cs="Arial"/>
                <w:sz w:val="20"/>
                <w:lang w:val="en-US"/>
              </w:rPr>
              <w:t>Current financial debts</w:t>
            </w:r>
          </w:p>
        </w:tc>
        <w:tc>
          <w:tcPr>
            <w:tcW w:w="375" w:type="dxa"/>
            <w:tcBorders>
              <w:top w:val="nil"/>
              <w:left w:val="nil"/>
              <w:bottom w:val="nil"/>
              <w:right w:val="nil"/>
            </w:tcBorders>
            <w:shd w:val="clear" w:color="auto" w:fill="auto"/>
            <w:noWrap/>
            <w:hideMark/>
          </w:tcPr>
          <w:p w:rsidR="00735BA9" w:rsidRPr="00735BA9" w:rsidRDefault="00735BA9" w:rsidP="00735BA9">
            <w:pPr>
              <w:overflowPunct/>
              <w:autoSpaceDE/>
              <w:autoSpaceDN/>
              <w:adjustRightInd/>
              <w:spacing w:line="240" w:lineRule="auto"/>
              <w:ind w:firstLineChars="300" w:firstLine="600"/>
              <w:textAlignment w:val="auto"/>
              <w:rPr>
                <w:rFonts w:ascii="Arial" w:hAnsi="Arial" w:cs="Arial"/>
                <w:sz w:val="20"/>
                <w:lang w:val="en-US"/>
              </w:rPr>
            </w:pPr>
          </w:p>
        </w:tc>
        <w:tc>
          <w:tcPr>
            <w:tcW w:w="1219" w:type="dxa"/>
            <w:tcBorders>
              <w:top w:val="nil"/>
              <w:left w:val="nil"/>
              <w:bottom w:val="nil"/>
              <w:right w:val="nil"/>
            </w:tcBorders>
            <w:shd w:val="clear" w:color="auto" w:fill="auto"/>
            <w:noWrap/>
            <w:vAlign w:val="bottom"/>
            <w:hideMark/>
          </w:tcPr>
          <w:p w:rsidR="00735BA9" w:rsidRPr="00735BA9" w:rsidRDefault="00735BA9" w:rsidP="00735BA9">
            <w:pPr>
              <w:overflowPunct/>
              <w:autoSpaceDE/>
              <w:autoSpaceDN/>
              <w:adjustRightInd/>
              <w:spacing w:line="240" w:lineRule="auto"/>
              <w:jc w:val="center"/>
              <w:textAlignment w:val="auto"/>
              <w:rPr>
                <w:rFonts w:ascii="Arial" w:hAnsi="Arial" w:cs="Arial"/>
                <w:sz w:val="20"/>
                <w:lang w:val="en-US"/>
              </w:rPr>
            </w:pPr>
          </w:p>
        </w:tc>
        <w:tc>
          <w:tcPr>
            <w:tcW w:w="1141" w:type="dxa"/>
            <w:tcBorders>
              <w:top w:val="nil"/>
              <w:left w:val="nil"/>
              <w:bottom w:val="nil"/>
              <w:right w:val="nil"/>
            </w:tcBorders>
            <w:shd w:val="clear" w:color="auto" w:fill="auto"/>
            <w:hideMark/>
          </w:tcPr>
          <w:p w:rsidR="00735BA9" w:rsidRPr="00735BA9" w:rsidRDefault="00735BA9" w:rsidP="00735BA9">
            <w:pPr>
              <w:overflowPunct/>
              <w:autoSpaceDE/>
              <w:autoSpaceDN/>
              <w:adjustRightInd/>
              <w:spacing w:line="240" w:lineRule="auto"/>
              <w:textAlignment w:val="auto"/>
              <w:rPr>
                <w:rFonts w:ascii="Arial" w:hAnsi="Arial" w:cs="Arial"/>
                <w:sz w:val="20"/>
                <w:lang w:val="en-US"/>
              </w:rPr>
            </w:pPr>
            <w:r w:rsidRPr="00735BA9">
              <w:rPr>
                <w:rFonts w:ascii="Arial" w:hAnsi="Arial" w:cs="Arial"/>
                <w:sz w:val="20"/>
                <w:lang w:val="en-US"/>
              </w:rPr>
              <w:t xml:space="preserve">              -   </w:t>
            </w:r>
          </w:p>
        </w:tc>
        <w:tc>
          <w:tcPr>
            <w:tcW w:w="337" w:type="dxa"/>
            <w:tcBorders>
              <w:top w:val="nil"/>
              <w:left w:val="nil"/>
              <w:bottom w:val="nil"/>
              <w:right w:val="nil"/>
            </w:tcBorders>
            <w:shd w:val="clear" w:color="auto" w:fill="auto"/>
            <w:noWrap/>
            <w:vAlign w:val="bottom"/>
            <w:hideMark/>
          </w:tcPr>
          <w:p w:rsidR="00735BA9" w:rsidRPr="00735BA9" w:rsidRDefault="00735BA9" w:rsidP="00735BA9">
            <w:pPr>
              <w:overflowPunct/>
              <w:autoSpaceDE/>
              <w:autoSpaceDN/>
              <w:adjustRightInd/>
              <w:spacing w:line="240" w:lineRule="auto"/>
              <w:jc w:val="center"/>
              <w:textAlignment w:val="auto"/>
              <w:rPr>
                <w:rFonts w:ascii="Arial" w:hAnsi="Arial" w:cs="Arial"/>
                <w:sz w:val="20"/>
                <w:lang w:val="en-US"/>
              </w:rPr>
            </w:pPr>
          </w:p>
        </w:tc>
        <w:tc>
          <w:tcPr>
            <w:tcW w:w="272" w:type="dxa"/>
            <w:tcBorders>
              <w:top w:val="nil"/>
              <w:left w:val="nil"/>
              <w:bottom w:val="nil"/>
              <w:right w:val="nil"/>
            </w:tcBorders>
            <w:shd w:val="clear" w:color="auto" w:fill="auto"/>
            <w:noWrap/>
            <w:vAlign w:val="bottom"/>
            <w:hideMark/>
          </w:tcPr>
          <w:p w:rsidR="00735BA9" w:rsidRPr="00735BA9" w:rsidRDefault="00735BA9" w:rsidP="00735BA9">
            <w:pPr>
              <w:overflowPunct/>
              <w:autoSpaceDE/>
              <w:autoSpaceDN/>
              <w:adjustRightInd/>
              <w:spacing w:line="240" w:lineRule="auto"/>
              <w:textAlignment w:val="auto"/>
              <w:rPr>
                <w:rFonts w:ascii="Arial" w:hAnsi="Arial" w:cs="Arial"/>
                <w:sz w:val="20"/>
                <w:lang w:val="en-US"/>
              </w:rPr>
            </w:pPr>
          </w:p>
        </w:tc>
        <w:tc>
          <w:tcPr>
            <w:tcW w:w="2406" w:type="dxa"/>
            <w:tcBorders>
              <w:top w:val="nil"/>
              <w:left w:val="nil"/>
              <w:bottom w:val="nil"/>
              <w:right w:val="single" w:sz="4" w:space="0" w:color="auto"/>
            </w:tcBorders>
            <w:shd w:val="clear" w:color="auto" w:fill="auto"/>
            <w:noWrap/>
            <w:hideMark/>
          </w:tcPr>
          <w:p w:rsidR="00735BA9" w:rsidRPr="00735BA9" w:rsidRDefault="00735BA9" w:rsidP="00735BA9">
            <w:pPr>
              <w:overflowPunct/>
              <w:autoSpaceDE/>
              <w:autoSpaceDN/>
              <w:adjustRightInd/>
              <w:spacing w:line="240" w:lineRule="auto"/>
              <w:jc w:val="right"/>
              <w:textAlignment w:val="auto"/>
              <w:rPr>
                <w:rFonts w:ascii="Arial" w:hAnsi="Arial" w:cs="Arial"/>
                <w:sz w:val="20"/>
                <w:lang w:val="en-US"/>
              </w:rPr>
            </w:pPr>
            <w:r w:rsidRPr="00735BA9">
              <w:rPr>
                <w:rFonts w:ascii="Arial" w:hAnsi="Arial" w:cs="Arial"/>
                <w:sz w:val="20"/>
                <w:lang w:val="en-US"/>
              </w:rPr>
              <w:t xml:space="preserve"> 659'019 </w:t>
            </w:r>
          </w:p>
        </w:tc>
      </w:tr>
      <w:tr w:rsidR="00735BA9" w:rsidRPr="00735BA9" w:rsidTr="00B66938">
        <w:trPr>
          <w:trHeight w:val="280"/>
        </w:trPr>
        <w:tc>
          <w:tcPr>
            <w:tcW w:w="3373" w:type="dxa"/>
            <w:tcBorders>
              <w:top w:val="nil"/>
              <w:left w:val="single" w:sz="4" w:space="0" w:color="auto"/>
              <w:bottom w:val="nil"/>
              <w:right w:val="nil"/>
            </w:tcBorders>
            <w:shd w:val="clear" w:color="auto" w:fill="auto"/>
            <w:noWrap/>
            <w:hideMark/>
          </w:tcPr>
          <w:p w:rsidR="00735BA9" w:rsidRPr="00735BA9" w:rsidRDefault="00735BA9" w:rsidP="00735BA9">
            <w:pPr>
              <w:overflowPunct/>
              <w:autoSpaceDE/>
              <w:autoSpaceDN/>
              <w:adjustRightInd/>
              <w:spacing w:line="240" w:lineRule="auto"/>
              <w:textAlignment w:val="auto"/>
              <w:rPr>
                <w:rFonts w:ascii="Arial" w:hAnsi="Arial" w:cs="Arial"/>
                <w:sz w:val="20"/>
                <w:lang w:val="en-US"/>
              </w:rPr>
            </w:pPr>
            <w:r w:rsidRPr="00735BA9">
              <w:rPr>
                <w:rFonts w:ascii="Arial" w:hAnsi="Arial" w:cs="Arial"/>
                <w:sz w:val="20"/>
                <w:lang w:val="en-US"/>
              </w:rPr>
              <w:t> </w:t>
            </w:r>
          </w:p>
        </w:tc>
        <w:tc>
          <w:tcPr>
            <w:tcW w:w="375" w:type="dxa"/>
            <w:tcBorders>
              <w:top w:val="nil"/>
              <w:left w:val="nil"/>
              <w:bottom w:val="nil"/>
              <w:right w:val="nil"/>
            </w:tcBorders>
            <w:shd w:val="clear" w:color="auto" w:fill="auto"/>
            <w:noWrap/>
            <w:vAlign w:val="bottom"/>
            <w:hideMark/>
          </w:tcPr>
          <w:p w:rsidR="00735BA9" w:rsidRPr="00735BA9" w:rsidRDefault="00735BA9" w:rsidP="00735BA9">
            <w:pPr>
              <w:overflowPunct/>
              <w:autoSpaceDE/>
              <w:autoSpaceDN/>
              <w:adjustRightInd/>
              <w:spacing w:line="240" w:lineRule="auto"/>
              <w:textAlignment w:val="auto"/>
              <w:rPr>
                <w:rFonts w:ascii="Arial" w:hAnsi="Arial" w:cs="Arial"/>
                <w:sz w:val="20"/>
                <w:lang w:val="en-US"/>
              </w:rPr>
            </w:pPr>
          </w:p>
        </w:tc>
        <w:tc>
          <w:tcPr>
            <w:tcW w:w="1219" w:type="dxa"/>
            <w:tcBorders>
              <w:top w:val="nil"/>
              <w:left w:val="nil"/>
              <w:bottom w:val="nil"/>
              <w:right w:val="nil"/>
            </w:tcBorders>
            <w:shd w:val="clear" w:color="auto" w:fill="auto"/>
            <w:noWrap/>
            <w:vAlign w:val="bottom"/>
            <w:hideMark/>
          </w:tcPr>
          <w:p w:rsidR="00735BA9" w:rsidRPr="00735BA9" w:rsidRDefault="00735BA9" w:rsidP="00735BA9">
            <w:pPr>
              <w:overflowPunct/>
              <w:autoSpaceDE/>
              <w:autoSpaceDN/>
              <w:adjustRightInd/>
              <w:spacing w:line="240" w:lineRule="auto"/>
              <w:jc w:val="center"/>
              <w:textAlignment w:val="auto"/>
              <w:rPr>
                <w:rFonts w:ascii="Arial" w:hAnsi="Arial" w:cs="Arial"/>
                <w:sz w:val="20"/>
                <w:lang w:val="en-US"/>
              </w:rPr>
            </w:pPr>
          </w:p>
        </w:tc>
        <w:tc>
          <w:tcPr>
            <w:tcW w:w="1141" w:type="dxa"/>
            <w:tcBorders>
              <w:top w:val="nil"/>
              <w:left w:val="nil"/>
              <w:bottom w:val="nil"/>
              <w:right w:val="nil"/>
            </w:tcBorders>
            <w:shd w:val="clear" w:color="auto" w:fill="auto"/>
            <w:noWrap/>
            <w:vAlign w:val="bottom"/>
            <w:hideMark/>
          </w:tcPr>
          <w:p w:rsidR="00735BA9" w:rsidRPr="00735BA9" w:rsidRDefault="00735BA9" w:rsidP="00735BA9">
            <w:pPr>
              <w:overflowPunct/>
              <w:autoSpaceDE/>
              <w:autoSpaceDN/>
              <w:adjustRightInd/>
              <w:spacing w:line="240" w:lineRule="auto"/>
              <w:jc w:val="center"/>
              <w:textAlignment w:val="auto"/>
              <w:rPr>
                <w:rFonts w:ascii="Arial" w:hAnsi="Arial" w:cs="Arial"/>
                <w:sz w:val="20"/>
                <w:lang w:val="en-US"/>
              </w:rPr>
            </w:pPr>
          </w:p>
        </w:tc>
        <w:tc>
          <w:tcPr>
            <w:tcW w:w="337" w:type="dxa"/>
            <w:tcBorders>
              <w:top w:val="nil"/>
              <w:left w:val="nil"/>
              <w:bottom w:val="nil"/>
              <w:right w:val="nil"/>
            </w:tcBorders>
            <w:shd w:val="clear" w:color="auto" w:fill="auto"/>
            <w:noWrap/>
            <w:vAlign w:val="bottom"/>
            <w:hideMark/>
          </w:tcPr>
          <w:p w:rsidR="00735BA9" w:rsidRPr="00735BA9" w:rsidRDefault="00735BA9" w:rsidP="00735BA9">
            <w:pPr>
              <w:overflowPunct/>
              <w:autoSpaceDE/>
              <w:autoSpaceDN/>
              <w:adjustRightInd/>
              <w:spacing w:line="240" w:lineRule="auto"/>
              <w:jc w:val="center"/>
              <w:textAlignment w:val="auto"/>
              <w:rPr>
                <w:rFonts w:ascii="Arial" w:hAnsi="Arial" w:cs="Arial"/>
                <w:sz w:val="20"/>
                <w:lang w:val="en-US"/>
              </w:rPr>
            </w:pPr>
          </w:p>
        </w:tc>
        <w:tc>
          <w:tcPr>
            <w:tcW w:w="272" w:type="dxa"/>
            <w:tcBorders>
              <w:top w:val="nil"/>
              <w:left w:val="nil"/>
              <w:bottom w:val="nil"/>
              <w:right w:val="nil"/>
            </w:tcBorders>
            <w:shd w:val="clear" w:color="auto" w:fill="auto"/>
            <w:noWrap/>
            <w:vAlign w:val="bottom"/>
            <w:hideMark/>
          </w:tcPr>
          <w:p w:rsidR="00735BA9" w:rsidRPr="00735BA9" w:rsidRDefault="00735BA9" w:rsidP="00735BA9">
            <w:pPr>
              <w:overflowPunct/>
              <w:autoSpaceDE/>
              <w:autoSpaceDN/>
              <w:adjustRightInd/>
              <w:spacing w:line="240" w:lineRule="auto"/>
              <w:textAlignment w:val="auto"/>
              <w:rPr>
                <w:rFonts w:ascii="Arial" w:hAnsi="Arial" w:cs="Arial"/>
                <w:sz w:val="20"/>
                <w:lang w:val="en-US"/>
              </w:rPr>
            </w:pPr>
          </w:p>
        </w:tc>
        <w:tc>
          <w:tcPr>
            <w:tcW w:w="2406" w:type="dxa"/>
            <w:tcBorders>
              <w:top w:val="nil"/>
              <w:left w:val="nil"/>
              <w:bottom w:val="nil"/>
              <w:right w:val="single" w:sz="4" w:space="0" w:color="auto"/>
            </w:tcBorders>
            <w:shd w:val="clear" w:color="auto" w:fill="auto"/>
            <w:noWrap/>
            <w:vAlign w:val="bottom"/>
            <w:hideMark/>
          </w:tcPr>
          <w:p w:rsidR="00735BA9" w:rsidRPr="00735BA9" w:rsidRDefault="00735BA9" w:rsidP="00735BA9">
            <w:pPr>
              <w:overflowPunct/>
              <w:autoSpaceDE/>
              <w:autoSpaceDN/>
              <w:adjustRightInd/>
              <w:spacing w:line="240" w:lineRule="auto"/>
              <w:textAlignment w:val="auto"/>
              <w:rPr>
                <w:rFonts w:ascii="Arial" w:hAnsi="Arial" w:cs="Arial"/>
                <w:sz w:val="20"/>
                <w:lang w:val="en-US"/>
              </w:rPr>
            </w:pPr>
            <w:r w:rsidRPr="00735BA9">
              <w:rPr>
                <w:rFonts w:ascii="Arial" w:hAnsi="Arial" w:cs="Arial"/>
                <w:sz w:val="20"/>
                <w:lang w:val="en-US"/>
              </w:rPr>
              <w:t> </w:t>
            </w:r>
          </w:p>
        </w:tc>
      </w:tr>
      <w:tr w:rsidR="00735BA9" w:rsidRPr="00735BA9" w:rsidTr="00B66938">
        <w:trPr>
          <w:trHeight w:val="294"/>
        </w:trPr>
        <w:tc>
          <w:tcPr>
            <w:tcW w:w="3373" w:type="dxa"/>
            <w:tcBorders>
              <w:top w:val="nil"/>
              <w:left w:val="single" w:sz="4" w:space="0" w:color="auto"/>
              <w:bottom w:val="nil"/>
              <w:right w:val="nil"/>
            </w:tcBorders>
            <w:shd w:val="clear" w:color="auto" w:fill="auto"/>
            <w:noWrap/>
            <w:vAlign w:val="bottom"/>
            <w:hideMark/>
          </w:tcPr>
          <w:p w:rsidR="00735BA9" w:rsidRPr="00735BA9" w:rsidRDefault="00735BA9" w:rsidP="00735BA9">
            <w:pPr>
              <w:overflowPunct/>
              <w:autoSpaceDE/>
              <w:autoSpaceDN/>
              <w:adjustRightInd/>
              <w:spacing w:line="240" w:lineRule="auto"/>
              <w:textAlignment w:val="auto"/>
              <w:rPr>
                <w:rFonts w:ascii="Arial" w:hAnsi="Arial" w:cs="Arial"/>
                <w:sz w:val="20"/>
                <w:lang w:val="en-US"/>
              </w:rPr>
            </w:pPr>
            <w:r w:rsidRPr="00735BA9">
              <w:rPr>
                <w:rFonts w:ascii="Arial" w:hAnsi="Arial" w:cs="Arial"/>
                <w:sz w:val="20"/>
                <w:lang w:val="en-US"/>
              </w:rPr>
              <w:t>Total</w:t>
            </w:r>
          </w:p>
        </w:tc>
        <w:tc>
          <w:tcPr>
            <w:tcW w:w="375" w:type="dxa"/>
            <w:tcBorders>
              <w:top w:val="nil"/>
              <w:left w:val="nil"/>
              <w:bottom w:val="nil"/>
              <w:right w:val="nil"/>
            </w:tcBorders>
            <w:shd w:val="clear" w:color="auto" w:fill="auto"/>
            <w:noWrap/>
            <w:vAlign w:val="bottom"/>
            <w:hideMark/>
          </w:tcPr>
          <w:p w:rsidR="00735BA9" w:rsidRPr="00735BA9" w:rsidRDefault="00735BA9" w:rsidP="00735BA9">
            <w:pPr>
              <w:overflowPunct/>
              <w:autoSpaceDE/>
              <w:autoSpaceDN/>
              <w:adjustRightInd/>
              <w:spacing w:line="240" w:lineRule="auto"/>
              <w:textAlignment w:val="auto"/>
              <w:rPr>
                <w:rFonts w:ascii="Arial" w:hAnsi="Arial" w:cs="Arial"/>
                <w:sz w:val="20"/>
                <w:lang w:val="en-US"/>
              </w:rPr>
            </w:pPr>
          </w:p>
        </w:tc>
        <w:tc>
          <w:tcPr>
            <w:tcW w:w="1219" w:type="dxa"/>
            <w:tcBorders>
              <w:top w:val="nil"/>
              <w:left w:val="nil"/>
              <w:bottom w:val="nil"/>
              <w:right w:val="nil"/>
            </w:tcBorders>
            <w:shd w:val="clear" w:color="auto" w:fill="auto"/>
            <w:noWrap/>
            <w:vAlign w:val="bottom"/>
            <w:hideMark/>
          </w:tcPr>
          <w:p w:rsidR="00735BA9" w:rsidRPr="00735BA9" w:rsidRDefault="00735BA9" w:rsidP="00735BA9">
            <w:pPr>
              <w:overflowPunct/>
              <w:autoSpaceDE/>
              <w:autoSpaceDN/>
              <w:adjustRightInd/>
              <w:spacing w:line="240" w:lineRule="auto"/>
              <w:jc w:val="center"/>
              <w:textAlignment w:val="auto"/>
              <w:rPr>
                <w:rFonts w:ascii="Arial" w:hAnsi="Arial" w:cs="Arial"/>
                <w:sz w:val="20"/>
                <w:lang w:val="en-US"/>
              </w:rPr>
            </w:pPr>
          </w:p>
        </w:tc>
        <w:tc>
          <w:tcPr>
            <w:tcW w:w="1141" w:type="dxa"/>
            <w:tcBorders>
              <w:top w:val="single" w:sz="4" w:space="0" w:color="auto"/>
              <w:left w:val="nil"/>
              <w:bottom w:val="double" w:sz="6" w:space="0" w:color="auto"/>
              <w:right w:val="nil"/>
            </w:tcBorders>
            <w:shd w:val="clear" w:color="auto" w:fill="auto"/>
            <w:noWrap/>
            <w:vAlign w:val="bottom"/>
            <w:hideMark/>
          </w:tcPr>
          <w:p w:rsidR="00735BA9" w:rsidRPr="00735BA9" w:rsidRDefault="00735BA9" w:rsidP="007B6BFC">
            <w:pPr>
              <w:overflowPunct/>
              <w:autoSpaceDE/>
              <w:autoSpaceDN/>
              <w:adjustRightInd/>
              <w:spacing w:line="240" w:lineRule="auto"/>
              <w:jc w:val="right"/>
              <w:textAlignment w:val="auto"/>
              <w:rPr>
                <w:rFonts w:ascii="Arial" w:hAnsi="Arial" w:cs="Arial"/>
                <w:sz w:val="20"/>
                <w:lang w:val="en-US"/>
              </w:rPr>
            </w:pPr>
            <w:r w:rsidRPr="00735BA9">
              <w:rPr>
                <w:rFonts w:ascii="Arial" w:hAnsi="Arial" w:cs="Arial"/>
                <w:sz w:val="20"/>
                <w:lang w:val="en-US"/>
              </w:rPr>
              <w:t xml:space="preserve"> </w:t>
            </w:r>
            <w:r w:rsidR="007B6BFC" w:rsidRPr="00735BA9">
              <w:rPr>
                <w:rFonts w:ascii="Arial" w:hAnsi="Arial" w:cs="Arial"/>
                <w:sz w:val="20"/>
                <w:lang w:val="en-US"/>
              </w:rPr>
              <w:t>34'03</w:t>
            </w:r>
            <w:r w:rsidR="007B6BFC">
              <w:rPr>
                <w:rFonts w:ascii="Arial" w:hAnsi="Arial" w:cs="Arial"/>
                <w:sz w:val="20"/>
                <w:lang w:val="en-US"/>
              </w:rPr>
              <w:t>7</w:t>
            </w:r>
          </w:p>
        </w:tc>
        <w:tc>
          <w:tcPr>
            <w:tcW w:w="337" w:type="dxa"/>
            <w:tcBorders>
              <w:top w:val="nil"/>
              <w:left w:val="nil"/>
              <w:bottom w:val="nil"/>
              <w:right w:val="nil"/>
            </w:tcBorders>
            <w:shd w:val="clear" w:color="auto" w:fill="auto"/>
            <w:noWrap/>
            <w:vAlign w:val="bottom"/>
            <w:hideMark/>
          </w:tcPr>
          <w:p w:rsidR="00735BA9" w:rsidRPr="00735BA9" w:rsidRDefault="00735BA9" w:rsidP="00735BA9">
            <w:pPr>
              <w:overflowPunct/>
              <w:autoSpaceDE/>
              <w:autoSpaceDN/>
              <w:adjustRightInd/>
              <w:spacing w:line="240" w:lineRule="auto"/>
              <w:jc w:val="center"/>
              <w:textAlignment w:val="auto"/>
              <w:rPr>
                <w:rFonts w:ascii="Arial" w:hAnsi="Arial" w:cs="Arial"/>
                <w:sz w:val="20"/>
                <w:lang w:val="en-US"/>
              </w:rPr>
            </w:pPr>
          </w:p>
        </w:tc>
        <w:tc>
          <w:tcPr>
            <w:tcW w:w="272" w:type="dxa"/>
            <w:tcBorders>
              <w:top w:val="nil"/>
              <w:left w:val="nil"/>
              <w:bottom w:val="nil"/>
              <w:right w:val="nil"/>
            </w:tcBorders>
            <w:shd w:val="clear" w:color="auto" w:fill="auto"/>
            <w:noWrap/>
            <w:vAlign w:val="bottom"/>
            <w:hideMark/>
          </w:tcPr>
          <w:p w:rsidR="00735BA9" w:rsidRPr="00735BA9" w:rsidRDefault="00735BA9" w:rsidP="00735BA9">
            <w:pPr>
              <w:overflowPunct/>
              <w:autoSpaceDE/>
              <w:autoSpaceDN/>
              <w:adjustRightInd/>
              <w:spacing w:line="240" w:lineRule="auto"/>
              <w:textAlignment w:val="auto"/>
              <w:rPr>
                <w:rFonts w:ascii="Arial" w:hAnsi="Arial" w:cs="Arial"/>
                <w:sz w:val="20"/>
                <w:lang w:val="en-US"/>
              </w:rPr>
            </w:pPr>
          </w:p>
        </w:tc>
        <w:tc>
          <w:tcPr>
            <w:tcW w:w="2406" w:type="dxa"/>
            <w:tcBorders>
              <w:top w:val="single" w:sz="4" w:space="0" w:color="auto"/>
              <w:left w:val="nil"/>
              <w:bottom w:val="double" w:sz="6" w:space="0" w:color="auto"/>
              <w:right w:val="single" w:sz="4" w:space="0" w:color="auto"/>
            </w:tcBorders>
            <w:shd w:val="clear" w:color="auto" w:fill="auto"/>
            <w:noWrap/>
            <w:vAlign w:val="bottom"/>
            <w:hideMark/>
          </w:tcPr>
          <w:p w:rsidR="00735BA9" w:rsidRPr="00735BA9" w:rsidRDefault="00735BA9" w:rsidP="00735BA9">
            <w:pPr>
              <w:overflowPunct/>
              <w:autoSpaceDE/>
              <w:autoSpaceDN/>
              <w:adjustRightInd/>
              <w:spacing w:line="240" w:lineRule="auto"/>
              <w:jc w:val="right"/>
              <w:textAlignment w:val="auto"/>
              <w:rPr>
                <w:rFonts w:ascii="Arial" w:hAnsi="Arial" w:cs="Arial"/>
                <w:sz w:val="20"/>
                <w:lang w:val="en-US"/>
              </w:rPr>
            </w:pPr>
            <w:r w:rsidRPr="00735BA9">
              <w:rPr>
                <w:rFonts w:ascii="Arial" w:hAnsi="Arial" w:cs="Arial"/>
                <w:sz w:val="20"/>
                <w:lang w:val="en-US"/>
              </w:rPr>
              <w:t xml:space="preserve"> 701'873 </w:t>
            </w:r>
          </w:p>
        </w:tc>
      </w:tr>
      <w:tr w:rsidR="00735BA9" w:rsidRPr="00735BA9" w:rsidTr="00B66938">
        <w:trPr>
          <w:trHeight w:val="294"/>
        </w:trPr>
        <w:tc>
          <w:tcPr>
            <w:tcW w:w="3373" w:type="dxa"/>
            <w:tcBorders>
              <w:top w:val="nil"/>
              <w:left w:val="single" w:sz="4" w:space="0" w:color="auto"/>
              <w:bottom w:val="single" w:sz="4" w:space="0" w:color="auto"/>
              <w:right w:val="nil"/>
            </w:tcBorders>
            <w:shd w:val="clear" w:color="auto" w:fill="auto"/>
            <w:hideMark/>
          </w:tcPr>
          <w:p w:rsidR="00735BA9" w:rsidRPr="00735BA9" w:rsidRDefault="00735BA9" w:rsidP="00735BA9">
            <w:pPr>
              <w:overflowPunct/>
              <w:autoSpaceDE/>
              <w:autoSpaceDN/>
              <w:adjustRightInd/>
              <w:spacing w:line="240" w:lineRule="auto"/>
              <w:textAlignment w:val="auto"/>
              <w:rPr>
                <w:rFonts w:ascii="Arial" w:hAnsi="Arial" w:cs="Arial"/>
                <w:sz w:val="20"/>
                <w:lang w:val="en-US"/>
              </w:rPr>
            </w:pPr>
            <w:r w:rsidRPr="00735BA9">
              <w:rPr>
                <w:rFonts w:ascii="Arial" w:hAnsi="Arial" w:cs="Arial"/>
                <w:sz w:val="20"/>
                <w:lang w:val="en-US"/>
              </w:rPr>
              <w:t> </w:t>
            </w:r>
          </w:p>
        </w:tc>
        <w:tc>
          <w:tcPr>
            <w:tcW w:w="375" w:type="dxa"/>
            <w:tcBorders>
              <w:top w:val="nil"/>
              <w:left w:val="nil"/>
              <w:bottom w:val="single" w:sz="4" w:space="0" w:color="auto"/>
              <w:right w:val="nil"/>
            </w:tcBorders>
            <w:shd w:val="clear" w:color="auto" w:fill="auto"/>
            <w:hideMark/>
          </w:tcPr>
          <w:p w:rsidR="00735BA9" w:rsidRPr="00735BA9" w:rsidRDefault="00735BA9" w:rsidP="00735BA9">
            <w:pPr>
              <w:overflowPunct/>
              <w:autoSpaceDE/>
              <w:autoSpaceDN/>
              <w:adjustRightInd/>
              <w:spacing w:line="240" w:lineRule="auto"/>
              <w:textAlignment w:val="auto"/>
              <w:rPr>
                <w:rFonts w:ascii="Arial" w:hAnsi="Arial" w:cs="Arial"/>
                <w:sz w:val="20"/>
                <w:lang w:val="en-US"/>
              </w:rPr>
            </w:pPr>
            <w:r w:rsidRPr="00735BA9">
              <w:rPr>
                <w:rFonts w:ascii="Arial" w:hAnsi="Arial" w:cs="Arial"/>
                <w:sz w:val="20"/>
                <w:lang w:val="en-US"/>
              </w:rPr>
              <w:t> </w:t>
            </w:r>
          </w:p>
        </w:tc>
        <w:tc>
          <w:tcPr>
            <w:tcW w:w="1219" w:type="dxa"/>
            <w:tcBorders>
              <w:top w:val="nil"/>
              <w:left w:val="nil"/>
              <w:bottom w:val="single" w:sz="4" w:space="0" w:color="auto"/>
              <w:right w:val="nil"/>
            </w:tcBorders>
            <w:shd w:val="clear" w:color="auto" w:fill="auto"/>
            <w:noWrap/>
            <w:vAlign w:val="bottom"/>
            <w:hideMark/>
          </w:tcPr>
          <w:p w:rsidR="00735BA9" w:rsidRPr="00735BA9" w:rsidRDefault="00735BA9" w:rsidP="00735BA9">
            <w:pPr>
              <w:overflowPunct/>
              <w:autoSpaceDE/>
              <w:autoSpaceDN/>
              <w:adjustRightInd/>
              <w:spacing w:line="240" w:lineRule="auto"/>
              <w:jc w:val="center"/>
              <w:textAlignment w:val="auto"/>
              <w:rPr>
                <w:rFonts w:ascii="Arial" w:hAnsi="Arial" w:cs="Arial"/>
                <w:sz w:val="20"/>
                <w:lang w:val="en-US"/>
              </w:rPr>
            </w:pPr>
            <w:r w:rsidRPr="00735BA9">
              <w:rPr>
                <w:rFonts w:ascii="Arial" w:hAnsi="Arial" w:cs="Arial"/>
                <w:sz w:val="20"/>
                <w:lang w:val="en-US"/>
              </w:rPr>
              <w:t> </w:t>
            </w:r>
          </w:p>
        </w:tc>
        <w:tc>
          <w:tcPr>
            <w:tcW w:w="1141" w:type="dxa"/>
            <w:tcBorders>
              <w:top w:val="nil"/>
              <w:left w:val="nil"/>
              <w:bottom w:val="single" w:sz="4" w:space="0" w:color="auto"/>
              <w:right w:val="nil"/>
            </w:tcBorders>
            <w:shd w:val="clear" w:color="auto" w:fill="auto"/>
            <w:noWrap/>
            <w:vAlign w:val="bottom"/>
            <w:hideMark/>
          </w:tcPr>
          <w:p w:rsidR="00735BA9" w:rsidRPr="00735BA9" w:rsidRDefault="00735BA9" w:rsidP="00735BA9">
            <w:pPr>
              <w:overflowPunct/>
              <w:autoSpaceDE/>
              <w:autoSpaceDN/>
              <w:adjustRightInd/>
              <w:spacing w:line="240" w:lineRule="auto"/>
              <w:jc w:val="center"/>
              <w:textAlignment w:val="auto"/>
              <w:rPr>
                <w:rFonts w:ascii="Arial" w:hAnsi="Arial" w:cs="Arial"/>
                <w:sz w:val="20"/>
                <w:lang w:val="en-US"/>
              </w:rPr>
            </w:pPr>
            <w:r w:rsidRPr="00735BA9">
              <w:rPr>
                <w:rFonts w:ascii="Arial" w:hAnsi="Arial" w:cs="Arial"/>
                <w:sz w:val="20"/>
                <w:lang w:val="en-US"/>
              </w:rPr>
              <w:t> </w:t>
            </w:r>
          </w:p>
        </w:tc>
        <w:tc>
          <w:tcPr>
            <w:tcW w:w="337" w:type="dxa"/>
            <w:tcBorders>
              <w:top w:val="nil"/>
              <w:left w:val="nil"/>
              <w:bottom w:val="single" w:sz="4" w:space="0" w:color="auto"/>
              <w:right w:val="nil"/>
            </w:tcBorders>
            <w:shd w:val="clear" w:color="auto" w:fill="auto"/>
            <w:noWrap/>
            <w:vAlign w:val="bottom"/>
            <w:hideMark/>
          </w:tcPr>
          <w:p w:rsidR="00735BA9" w:rsidRPr="00735BA9" w:rsidRDefault="00735BA9" w:rsidP="00735BA9">
            <w:pPr>
              <w:overflowPunct/>
              <w:autoSpaceDE/>
              <w:autoSpaceDN/>
              <w:adjustRightInd/>
              <w:spacing w:line="240" w:lineRule="auto"/>
              <w:jc w:val="center"/>
              <w:textAlignment w:val="auto"/>
              <w:rPr>
                <w:rFonts w:ascii="Arial" w:hAnsi="Arial" w:cs="Arial"/>
                <w:sz w:val="20"/>
                <w:lang w:val="en-US"/>
              </w:rPr>
            </w:pPr>
            <w:r w:rsidRPr="00735BA9">
              <w:rPr>
                <w:rFonts w:ascii="Arial" w:hAnsi="Arial" w:cs="Arial"/>
                <w:sz w:val="20"/>
                <w:lang w:val="en-US"/>
              </w:rPr>
              <w:t> </w:t>
            </w:r>
          </w:p>
        </w:tc>
        <w:tc>
          <w:tcPr>
            <w:tcW w:w="272" w:type="dxa"/>
            <w:tcBorders>
              <w:top w:val="nil"/>
              <w:left w:val="nil"/>
              <w:bottom w:val="single" w:sz="4" w:space="0" w:color="auto"/>
              <w:right w:val="nil"/>
            </w:tcBorders>
            <w:shd w:val="clear" w:color="auto" w:fill="auto"/>
            <w:noWrap/>
            <w:vAlign w:val="bottom"/>
            <w:hideMark/>
          </w:tcPr>
          <w:p w:rsidR="00735BA9" w:rsidRPr="00735BA9" w:rsidRDefault="00735BA9" w:rsidP="00735BA9">
            <w:pPr>
              <w:overflowPunct/>
              <w:autoSpaceDE/>
              <w:autoSpaceDN/>
              <w:adjustRightInd/>
              <w:spacing w:line="240" w:lineRule="auto"/>
              <w:jc w:val="right"/>
              <w:textAlignment w:val="auto"/>
              <w:rPr>
                <w:rFonts w:ascii="Arial" w:hAnsi="Arial" w:cs="Arial"/>
                <w:sz w:val="20"/>
                <w:lang w:val="en-US"/>
              </w:rPr>
            </w:pPr>
            <w:r w:rsidRPr="00735BA9">
              <w:rPr>
                <w:rFonts w:ascii="Arial" w:hAnsi="Arial" w:cs="Arial"/>
                <w:sz w:val="20"/>
                <w:lang w:val="en-US"/>
              </w:rPr>
              <w:t> </w:t>
            </w:r>
          </w:p>
        </w:tc>
        <w:tc>
          <w:tcPr>
            <w:tcW w:w="2406" w:type="dxa"/>
            <w:tcBorders>
              <w:top w:val="nil"/>
              <w:left w:val="nil"/>
              <w:bottom w:val="single" w:sz="4" w:space="0" w:color="auto"/>
              <w:right w:val="single" w:sz="4" w:space="0" w:color="auto"/>
            </w:tcBorders>
            <w:shd w:val="clear" w:color="auto" w:fill="auto"/>
            <w:noWrap/>
            <w:vAlign w:val="bottom"/>
            <w:hideMark/>
          </w:tcPr>
          <w:p w:rsidR="00735BA9" w:rsidRPr="00735BA9" w:rsidRDefault="00735BA9" w:rsidP="00735BA9">
            <w:pPr>
              <w:overflowPunct/>
              <w:autoSpaceDE/>
              <w:autoSpaceDN/>
              <w:adjustRightInd/>
              <w:spacing w:line="240" w:lineRule="auto"/>
              <w:jc w:val="right"/>
              <w:textAlignment w:val="auto"/>
              <w:rPr>
                <w:rFonts w:ascii="Arial" w:hAnsi="Arial" w:cs="Arial"/>
                <w:sz w:val="20"/>
                <w:lang w:val="en-US"/>
              </w:rPr>
            </w:pPr>
            <w:r w:rsidRPr="00735BA9">
              <w:rPr>
                <w:rFonts w:ascii="Arial" w:hAnsi="Arial" w:cs="Arial"/>
                <w:sz w:val="20"/>
                <w:lang w:val="en-US"/>
              </w:rPr>
              <w:t> </w:t>
            </w:r>
          </w:p>
        </w:tc>
      </w:tr>
    </w:tbl>
    <w:p w:rsidR="001D24F8" w:rsidRDefault="001D24F8">
      <w:pPr>
        <w:pStyle w:val="200"/>
      </w:pPr>
    </w:p>
    <w:p w:rsidR="00B66938" w:rsidRDefault="003A6D52" w:rsidP="00B66938">
      <w:pPr>
        <w:pStyle w:val="202"/>
        <w:rPr>
          <w:rFonts w:ascii="Arial" w:hAnsi="Arial" w:cs="Arial"/>
          <w:sz w:val="20"/>
        </w:rPr>
      </w:pPr>
      <w:r w:rsidRPr="001D24F8">
        <w:rPr>
          <w:rFonts w:ascii="Arial" w:hAnsi="Arial" w:cs="Arial"/>
          <w:sz w:val="20"/>
        </w:rPr>
        <w:t>Amounts</w:t>
      </w:r>
      <w:r>
        <w:rPr>
          <w:rFonts w:ascii="Arial" w:hAnsi="Arial" w:cs="Arial"/>
          <w:sz w:val="20"/>
        </w:rPr>
        <w:t xml:space="preserve"> owed to group companies include accrued interest and overhead accruals.</w:t>
      </w:r>
      <w:r w:rsidR="00703AE7">
        <w:rPr>
          <w:rFonts w:ascii="Arial" w:hAnsi="Arial" w:cs="Arial"/>
          <w:sz w:val="20"/>
        </w:rPr>
        <w:t xml:space="preserve"> </w:t>
      </w:r>
      <w:r w:rsidR="00E8067D">
        <w:rPr>
          <w:rFonts w:ascii="Arial" w:hAnsi="Arial" w:cs="Arial"/>
          <w:sz w:val="20"/>
        </w:rPr>
        <w:t xml:space="preserve">The 2010 figure for </w:t>
      </w:r>
      <w:r w:rsidR="00E8067D" w:rsidRPr="00E8067D">
        <w:rPr>
          <w:rFonts w:ascii="Arial" w:hAnsi="Arial" w:cs="Arial"/>
          <w:sz w:val="20"/>
        </w:rPr>
        <w:t>t</w:t>
      </w:r>
      <w:r w:rsidRPr="00E8067D">
        <w:rPr>
          <w:rFonts w:ascii="Arial" w:hAnsi="Arial" w:cs="Arial"/>
          <w:sz w:val="20"/>
        </w:rPr>
        <w:t>he current financial debts</w:t>
      </w:r>
      <w:r w:rsidR="00E8067D" w:rsidRPr="00E8067D">
        <w:rPr>
          <w:rFonts w:ascii="Arial" w:hAnsi="Arial" w:cs="Arial"/>
          <w:sz w:val="20"/>
        </w:rPr>
        <w:t xml:space="preserve"> include</w:t>
      </w:r>
      <w:r w:rsidR="00E47C8C" w:rsidRPr="00E8067D">
        <w:rPr>
          <w:rFonts w:ascii="Arial" w:hAnsi="Arial" w:cs="Arial"/>
          <w:sz w:val="20"/>
        </w:rPr>
        <w:t xml:space="preserve"> the carrying amount of </w:t>
      </w:r>
      <w:r w:rsidRPr="00E8067D">
        <w:rPr>
          <w:rFonts w:ascii="Arial" w:hAnsi="Arial" w:cs="Arial"/>
          <w:sz w:val="20"/>
        </w:rPr>
        <w:t xml:space="preserve">a 2006 issued Eurobond with a face </w:t>
      </w:r>
      <w:r w:rsidR="00BC0AC9" w:rsidRPr="00E8067D">
        <w:rPr>
          <w:rFonts w:ascii="Arial" w:hAnsi="Arial" w:cs="Arial"/>
          <w:sz w:val="20"/>
        </w:rPr>
        <w:t>value</w:t>
      </w:r>
      <w:r w:rsidR="00E32455" w:rsidRPr="00E8067D">
        <w:rPr>
          <w:rFonts w:ascii="Arial" w:hAnsi="Arial" w:cs="Arial"/>
          <w:sz w:val="20"/>
        </w:rPr>
        <w:t xml:space="preserve"> </w:t>
      </w:r>
      <w:r w:rsidRPr="00E8067D">
        <w:rPr>
          <w:rFonts w:ascii="Arial" w:hAnsi="Arial" w:cs="Arial"/>
          <w:sz w:val="20"/>
        </w:rPr>
        <w:t>of EUR 500,000,000 bearing int</w:t>
      </w:r>
      <w:r w:rsidR="00E8067D" w:rsidRPr="00E8067D">
        <w:rPr>
          <w:rFonts w:ascii="Arial" w:hAnsi="Arial" w:cs="Arial"/>
          <w:sz w:val="20"/>
        </w:rPr>
        <w:t>erest at a fixed rate of 4,125%. The Eurobond matured on 21 September 2011</w:t>
      </w:r>
    </w:p>
    <w:p w:rsidR="00974386" w:rsidRPr="00974386" w:rsidRDefault="00974386" w:rsidP="00974386">
      <w:pPr>
        <w:pStyle w:val="204"/>
      </w:pPr>
    </w:p>
    <w:p w:rsidR="001D24F8" w:rsidRPr="00B66938" w:rsidRDefault="001D24F8" w:rsidP="00B66938">
      <w:pPr>
        <w:pStyle w:val="202"/>
        <w:rPr>
          <w:rFonts w:ascii="Arial" w:hAnsi="Arial" w:cs="Arial"/>
          <w:sz w:val="20"/>
        </w:rPr>
      </w:pPr>
      <w:r w:rsidRPr="00B66938">
        <w:rPr>
          <w:rFonts w:ascii="Arial" w:hAnsi="Arial" w:cs="Arial"/>
          <w:sz w:val="20"/>
        </w:rPr>
        <w:t>Other liabilities can be broken down as follows:</w:t>
      </w:r>
      <w:r w:rsidR="006B70F9" w:rsidRPr="00B66938">
        <w:rPr>
          <w:rFonts w:ascii="Arial" w:hAnsi="Arial" w:cs="Arial"/>
          <w:sz w:val="20"/>
        </w:rPr>
        <w:t xml:space="preserve"> </w:t>
      </w:r>
    </w:p>
    <w:tbl>
      <w:tblPr>
        <w:tblW w:w="9150" w:type="dxa"/>
        <w:tblInd w:w="103" w:type="dxa"/>
        <w:tblLook w:val="04A0"/>
      </w:tblPr>
      <w:tblGrid>
        <w:gridCol w:w="3462"/>
        <w:gridCol w:w="365"/>
        <w:gridCol w:w="536"/>
        <w:gridCol w:w="1823"/>
        <w:gridCol w:w="384"/>
        <w:gridCol w:w="1349"/>
        <w:gridCol w:w="1231"/>
      </w:tblGrid>
      <w:tr w:rsidR="00B66938" w:rsidRPr="006F1FA3" w:rsidTr="00B66938">
        <w:trPr>
          <w:trHeight w:val="226"/>
        </w:trPr>
        <w:tc>
          <w:tcPr>
            <w:tcW w:w="3462" w:type="dxa"/>
            <w:tcBorders>
              <w:top w:val="single" w:sz="4" w:space="0" w:color="auto"/>
              <w:left w:val="single" w:sz="4" w:space="0" w:color="auto"/>
              <w:bottom w:val="single" w:sz="4" w:space="0" w:color="auto"/>
              <w:right w:val="nil"/>
            </w:tcBorders>
            <w:shd w:val="clear" w:color="auto" w:fill="auto"/>
            <w:noWrap/>
            <w:vAlign w:val="bottom"/>
            <w:hideMark/>
          </w:tcPr>
          <w:p w:rsidR="006F1FA3" w:rsidRPr="006F1FA3" w:rsidRDefault="006F1FA3" w:rsidP="006F1FA3">
            <w:pPr>
              <w:overflowPunct/>
              <w:autoSpaceDE/>
              <w:autoSpaceDN/>
              <w:adjustRightInd/>
              <w:spacing w:line="240" w:lineRule="auto"/>
              <w:textAlignment w:val="auto"/>
              <w:rPr>
                <w:rFonts w:ascii="Arial" w:hAnsi="Arial" w:cs="Arial"/>
                <w:i/>
                <w:iCs/>
                <w:sz w:val="20"/>
                <w:lang w:val="en-US"/>
              </w:rPr>
            </w:pPr>
            <w:r w:rsidRPr="006F1FA3">
              <w:rPr>
                <w:rFonts w:ascii="Arial" w:hAnsi="Arial" w:cs="Arial"/>
                <w:i/>
                <w:iCs/>
                <w:sz w:val="20"/>
                <w:lang w:val="en-US"/>
              </w:rPr>
              <w:t> </w:t>
            </w:r>
          </w:p>
        </w:tc>
        <w:tc>
          <w:tcPr>
            <w:tcW w:w="365" w:type="dxa"/>
            <w:tcBorders>
              <w:top w:val="single" w:sz="4" w:space="0" w:color="auto"/>
              <w:left w:val="nil"/>
              <w:bottom w:val="nil"/>
              <w:right w:val="nil"/>
            </w:tcBorders>
            <w:shd w:val="clear" w:color="auto" w:fill="auto"/>
            <w:noWrap/>
            <w:vAlign w:val="bottom"/>
            <w:hideMark/>
          </w:tcPr>
          <w:p w:rsidR="006F1FA3" w:rsidRPr="006F1FA3" w:rsidRDefault="006F1FA3" w:rsidP="006F1FA3">
            <w:pPr>
              <w:overflowPunct/>
              <w:autoSpaceDE/>
              <w:autoSpaceDN/>
              <w:adjustRightInd/>
              <w:spacing w:line="240" w:lineRule="auto"/>
              <w:textAlignment w:val="auto"/>
              <w:rPr>
                <w:rFonts w:ascii="Arial" w:hAnsi="Arial" w:cs="Arial"/>
                <w:i/>
                <w:iCs/>
                <w:sz w:val="20"/>
                <w:lang w:val="en-US"/>
              </w:rPr>
            </w:pPr>
            <w:r w:rsidRPr="006F1FA3">
              <w:rPr>
                <w:rFonts w:ascii="Arial" w:hAnsi="Arial" w:cs="Arial"/>
                <w:i/>
                <w:iCs/>
                <w:sz w:val="20"/>
                <w:lang w:val="en-US"/>
              </w:rPr>
              <w:t> </w:t>
            </w:r>
          </w:p>
        </w:tc>
        <w:tc>
          <w:tcPr>
            <w:tcW w:w="2359" w:type="dxa"/>
            <w:gridSpan w:val="2"/>
            <w:tcBorders>
              <w:top w:val="single" w:sz="4" w:space="0" w:color="auto"/>
              <w:left w:val="nil"/>
              <w:bottom w:val="single" w:sz="4" w:space="0" w:color="auto"/>
              <w:right w:val="nil"/>
            </w:tcBorders>
            <w:shd w:val="clear" w:color="auto" w:fill="auto"/>
            <w:vAlign w:val="bottom"/>
            <w:hideMark/>
          </w:tcPr>
          <w:p w:rsidR="006F1FA3" w:rsidRPr="006F1FA3" w:rsidRDefault="006F1FA3" w:rsidP="006F1FA3">
            <w:pPr>
              <w:overflowPunct/>
              <w:autoSpaceDE/>
              <w:autoSpaceDN/>
              <w:adjustRightInd/>
              <w:spacing w:line="240" w:lineRule="auto"/>
              <w:jc w:val="center"/>
              <w:textAlignment w:val="auto"/>
              <w:rPr>
                <w:rFonts w:ascii="Arial" w:hAnsi="Arial" w:cs="Arial"/>
                <w:sz w:val="20"/>
                <w:lang w:val="en-US"/>
              </w:rPr>
            </w:pPr>
            <w:r w:rsidRPr="006F1FA3">
              <w:rPr>
                <w:rFonts w:ascii="Arial" w:hAnsi="Arial" w:cs="Arial"/>
                <w:sz w:val="20"/>
                <w:lang w:val="en-US"/>
              </w:rPr>
              <w:t>2011</w:t>
            </w:r>
          </w:p>
        </w:tc>
        <w:tc>
          <w:tcPr>
            <w:tcW w:w="384" w:type="dxa"/>
            <w:tcBorders>
              <w:top w:val="single" w:sz="4" w:space="0" w:color="auto"/>
              <w:left w:val="nil"/>
              <w:bottom w:val="nil"/>
              <w:right w:val="nil"/>
            </w:tcBorders>
            <w:shd w:val="clear" w:color="auto" w:fill="auto"/>
            <w:noWrap/>
            <w:vAlign w:val="bottom"/>
            <w:hideMark/>
          </w:tcPr>
          <w:p w:rsidR="006F1FA3" w:rsidRPr="006F1FA3" w:rsidRDefault="006F1FA3" w:rsidP="006F1FA3">
            <w:pPr>
              <w:overflowPunct/>
              <w:autoSpaceDE/>
              <w:autoSpaceDN/>
              <w:adjustRightInd/>
              <w:spacing w:line="240" w:lineRule="auto"/>
              <w:jc w:val="center"/>
              <w:textAlignment w:val="auto"/>
              <w:rPr>
                <w:rFonts w:ascii="Arial" w:hAnsi="Arial" w:cs="Arial"/>
                <w:sz w:val="20"/>
                <w:lang w:val="en-US"/>
              </w:rPr>
            </w:pPr>
            <w:r w:rsidRPr="006F1FA3">
              <w:rPr>
                <w:rFonts w:ascii="Arial" w:hAnsi="Arial" w:cs="Arial"/>
                <w:sz w:val="20"/>
                <w:lang w:val="en-US"/>
              </w:rPr>
              <w:t> </w:t>
            </w:r>
          </w:p>
        </w:tc>
        <w:tc>
          <w:tcPr>
            <w:tcW w:w="2580" w:type="dxa"/>
            <w:gridSpan w:val="2"/>
            <w:tcBorders>
              <w:top w:val="single" w:sz="4" w:space="0" w:color="auto"/>
              <w:left w:val="nil"/>
              <w:bottom w:val="single" w:sz="4" w:space="0" w:color="auto"/>
              <w:right w:val="single" w:sz="4" w:space="0" w:color="000000"/>
            </w:tcBorders>
            <w:shd w:val="clear" w:color="auto" w:fill="auto"/>
            <w:vAlign w:val="bottom"/>
            <w:hideMark/>
          </w:tcPr>
          <w:p w:rsidR="006F1FA3" w:rsidRPr="006F1FA3" w:rsidRDefault="006F1FA3" w:rsidP="006F1FA3">
            <w:pPr>
              <w:overflowPunct/>
              <w:autoSpaceDE/>
              <w:autoSpaceDN/>
              <w:adjustRightInd/>
              <w:spacing w:line="240" w:lineRule="auto"/>
              <w:jc w:val="center"/>
              <w:textAlignment w:val="auto"/>
              <w:rPr>
                <w:rFonts w:ascii="Arial" w:hAnsi="Arial" w:cs="Arial"/>
                <w:sz w:val="20"/>
                <w:lang w:val="en-US"/>
              </w:rPr>
            </w:pPr>
            <w:r w:rsidRPr="006F1FA3">
              <w:rPr>
                <w:rFonts w:ascii="Arial" w:hAnsi="Arial" w:cs="Arial"/>
                <w:sz w:val="20"/>
                <w:lang w:val="en-US"/>
              </w:rPr>
              <w:t>2010</w:t>
            </w:r>
          </w:p>
        </w:tc>
      </w:tr>
      <w:tr w:rsidR="00B66938" w:rsidRPr="006F1FA3" w:rsidTr="00B66938">
        <w:trPr>
          <w:trHeight w:val="226"/>
        </w:trPr>
        <w:tc>
          <w:tcPr>
            <w:tcW w:w="3462" w:type="dxa"/>
            <w:tcBorders>
              <w:top w:val="nil"/>
              <w:left w:val="single" w:sz="4" w:space="0" w:color="auto"/>
              <w:bottom w:val="nil"/>
              <w:right w:val="nil"/>
            </w:tcBorders>
            <w:shd w:val="clear" w:color="auto" w:fill="auto"/>
            <w:hideMark/>
          </w:tcPr>
          <w:p w:rsidR="006F1FA3" w:rsidRPr="006F1FA3" w:rsidRDefault="006F1FA3" w:rsidP="006F1FA3">
            <w:pPr>
              <w:overflowPunct/>
              <w:autoSpaceDE/>
              <w:autoSpaceDN/>
              <w:adjustRightInd/>
              <w:spacing w:line="240" w:lineRule="auto"/>
              <w:textAlignment w:val="auto"/>
              <w:rPr>
                <w:rFonts w:ascii="Arial" w:hAnsi="Arial" w:cs="Arial"/>
                <w:sz w:val="16"/>
                <w:szCs w:val="16"/>
                <w:lang w:val="en-US"/>
              </w:rPr>
            </w:pPr>
            <w:r w:rsidRPr="006F1FA3">
              <w:rPr>
                <w:rFonts w:ascii="Arial" w:hAnsi="Arial" w:cs="Arial"/>
                <w:sz w:val="16"/>
                <w:szCs w:val="16"/>
                <w:lang w:val="en-US"/>
              </w:rPr>
              <w:t>(in thousands of USD)</w:t>
            </w:r>
          </w:p>
        </w:tc>
        <w:tc>
          <w:tcPr>
            <w:tcW w:w="365" w:type="dxa"/>
            <w:tcBorders>
              <w:top w:val="nil"/>
              <w:left w:val="nil"/>
              <w:bottom w:val="nil"/>
              <w:right w:val="nil"/>
            </w:tcBorders>
            <w:shd w:val="clear" w:color="auto" w:fill="auto"/>
            <w:noWrap/>
            <w:vAlign w:val="bottom"/>
            <w:hideMark/>
          </w:tcPr>
          <w:p w:rsidR="006F1FA3" w:rsidRPr="006F1FA3" w:rsidRDefault="006F1FA3" w:rsidP="006F1FA3">
            <w:pPr>
              <w:overflowPunct/>
              <w:autoSpaceDE/>
              <w:autoSpaceDN/>
              <w:adjustRightInd/>
              <w:spacing w:line="240" w:lineRule="auto"/>
              <w:textAlignment w:val="auto"/>
              <w:rPr>
                <w:rFonts w:ascii="Arial" w:hAnsi="Arial" w:cs="Arial"/>
                <w:sz w:val="20"/>
                <w:lang w:val="en-US"/>
              </w:rPr>
            </w:pPr>
          </w:p>
        </w:tc>
        <w:tc>
          <w:tcPr>
            <w:tcW w:w="536" w:type="dxa"/>
            <w:tcBorders>
              <w:top w:val="nil"/>
              <w:left w:val="nil"/>
              <w:bottom w:val="nil"/>
              <w:right w:val="nil"/>
            </w:tcBorders>
            <w:shd w:val="clear" w:color="auto" w:fill="auto"/>
            <w:noWrap/>
            <w:vAlign w:val="bottom"/>
            <w:hideMark/>
          </w:tcPr>
          <w:p w:rsidR="006F1FA3" w:rsidRPr="006F1FA3" w:rsidRDefault="006F1FA3" w:rsidP="006F1FA3">
            <w:pPr>
              <w:overflowPunct/>
              <w:autoSpaceDE/>
              <w:autoSpaceDN/>
              <w:adjustRightInd/>
              <w:spacing w:line="240" w:lineRule="auto"/>
              <w:jc w:val="center"/>
              <w:textAlignment w:val="auto"/>
              <w:rPr>
                <w:rFonts w:ascii="Arial" w:hAnsi="Arial" w:cs="Arial"/>
                <w:sz w:val="20"/>
                <w:lang w:val="en-US"/>
              </w:rPr>
            </w:pPr>
          </w:p>
        </w:tc>
        <w:tc>
          <w:tcPr>
            <w:tcW w:w="1823" w:type="dxa"/>
            <w:tcBorders>
              <w:top w:val="nil"/>
              <w:left w:val="nil"/>
              <w:bottom w:val="nil"/>
              <w:right w:val="nil"/>
            </w:tcBorders>
            <w:shd w:val="clear" w:color="auto" w:fill="auto"/>
            <w:noWrap/>
            <w:vAlign w:val="bottom"/>
            <w:hideMark/>
          </w:tcPr>
          <w:p w:rsidR="006F1FA3" w:rsidRPr="006F1FA3" w:rsidRDefault="006F1FA3" w:rsidP="006F1FA3">
            <w:pPr>
              <w:overflowPunct/>
              <w:autoSpaceDE/>
              <w:autoSpaceDN/>
              <w:adjustRightInd/>
              <w:spacing w:line="240" w:lineRule="auto"/>
              <w:jc w:val="center"/>
              <w:textAlignment w:val="auto"/>
              <w:rPr>
                <w:rFonts w:ascii="Arial" w:hAnsi="Arial" w:cs="Arial"/>
                <w:sz w:val="20"/>
                <w:lang w:val="en-US"/>
              </w:rPr>
            </w:pPr>
          </w:p>
        </w:tc>
        <w:tc>
          <w:tcPr>
            <w:tcW w:w="384" w:type="dxa"/>
            <w:tcBorders>
              <w:top w:val="nil"/>
              <w:left w:val="nil"/>
              <w:bottom w:val="nil"/>
              <w:right w:val="nil"/>
            </w:tcBorders>
            <w:shd w:val="clear" w:color="auto" w:fill="auto"/>
            <w:noWrap/>
            <w:vAlign w:val="bottom"/>
            <w:hideMark/>
          </w:tcPr>
          <w:p w:rsidR="006F1FA3" w:rsidRPr="006F1FA3" w:rsidRDefault="006F1FA3" w:rsidP="006F1FA3">
            <w:pPr>
              <w:overflowPunct/>
              <w:autoSpaceDE/>
              <w:autoSpaceDN/>
              <w:adjustRightInd/>
              <w:spacing w:line="240" w:lineRule="auto"/>
              <w:jc w:val="center"/>
              <w:textAlignment w:val="auto"/>
              <w:rPr>
                <w:rFonts w:ascii="Arial" w:hAnsi="Arial" w:cs="Arial"/>
                <w:sz w:val="20"/>
                <w:lang w:val="en-US"/>
              </w:rPr>
            </w:pPr>
          </w:p>
        </w:tc>
        <w:tc>
          <w:tcPr>
            <w:tcW w:w="1349" w:type="dxa"/>
            <w:tcBorders>
              <w:top w:val="nil"/>
              <w:left w:val="nil"/>
              <w:bottom w:val="nil"/>
              <w:right w:val="nil"/>
            </w:tcBorders>
            <w:shd w:val="clear" w:color="auto" w:fill="auto"/>
            <w:noWrap/>
            <w:vAlign w:val="bottom"/>
            <w:hideMark/>
          </w:tcPr>
          <w:p w:rsidR="006F1FA3" w:rsidRPr="006F1FA3" w:rsidRDefault="006F1FA3" w:rsidP="006F1FA3">
            <w:pPr>
              <w:overflowPunct/>
              <w:autoSpaceDE/>
              <w:autoSpaceDN/>
              <w:adjustRightInd/>
              <w:spacing w:line="240" w:lineRule="auto"/>
              <w:textAlignment w:val="auto"/>
              <w:rPr>
                <w:rFonts w:ascii="Arial" w:hAnsi="Arial" w:cs="Arial"/>
                <w:sz w:val="20"/>
                <w:lang w:val="en-US"/>
              </w:rPr>
            </w:pPr>
          </w:p>
        </w:tc>
        <w:tc>
          <w:tcPr>
            <w:tcW w:w="1231" w:type="dxa"/>
            <w:tcBorders>
              <w:top w:val="nil"/>
              <w:left w:val="nil"/>
              <w:bottom w:val="nil"/>
              <w:right w:val="single" w:sz="4" w:space="0" w:color="auto"/>
            </w:tcBorders>
            <w:shd w:val="clear" w:color="auto" w:fill="auto"/>
            <w:noWrap/>
            <w:vAlign w:val="bottom"/>
            <w:hideMark/>
          </w:tcPr>
          <w:p w:rsidR="006F1FA3" w:rsidRPr="006F1FA3" w:rsidRDefault="006F1FA3" w:rsidP="006F1FA3">
            <w:pPr>
              <w:overflowPunct/>
              <w:autoSpaceDE/>
              <w:autoSpaceDN/>
              <w:adjustRightInd/>
              <w:spacing w:line="240" w:lineRule="auto"/>
              <w:textAlignment w:val="auto"/>
              <w:rPr>
                <w:rFonts w:ascii="Arial" w:hAnsi="Arial" w:cs="Arial"/>
                <w:sz w:val="20"/>
                <w:lang w:val="en-US"/>
              </w:rPr>
            </w:pPr>
            <w:r w:rsidRPr="006F1FA3">
              <w:rPr>
                <w:rFonts w:ascii="Arial" w:hAnsi="Arial" w:cs="Arial"/>
                <w:sz w:val="20"/>
                <w:lang w:val="en-US"/>
              </w:rPr>
              <w:t> </w:t>
            </w:r>
          </w:p>
        </w:tc>
      </w:tr>
      <w:tr w:rsidR="00B66938" w:rsidRPr="006F1FA3" w:rsidTr="00B66938">
        <w:trPr>
          <w:trHeight w:val="226"/>
        </w:trPr>
        <w:tc>
          <w:tcPr>
            <w:tcW w:w="3462" w:type="dxa"/>
            <w:tcBorders>
              <w:top w:val="nil"/>
              <w:left w:val="single" w:sz="4" w:space="0" w:color="auto"/>
              <w:bottom w:val="nil"/>
              <w:right w:val="nil"/>
            </w:tcBorders>
            <w:shd w:val="clear" w:color="auto" w:fill="auto"/>
            <w:noWrap/>
            <w:hideMark/>
          </w:tcPr>
          <w:p w:rsidR="006F1FA3" w:rsidRPr="006F1FA3" w:rsidRDefault="006F1FA3" w:rsidP="008B695B">
            <w:pPr>
              <w:overflowPunct/>
              <w:autoSpaceDE/>
              <w:autoSpaceDN/>
              <w:adjustRightInd/>
              <w:spacing w:line="240" w:lineRule="auto"/>
              <w:textAlignment w:val="auto"/>
              <w:rPr>
                <w:rFonts w:ascii="Arial" w:hAnsi="Arial" w:cs="Arial"/>
                <w:sz w:val="20"/>
                <w:lang w:val="en-US"/>
              </w:rPr>
            </w:pPr>
            <w:r w:rsidRPr="006F1FA3">
              <w:rPr>
                <w:rFonts w:ascii="Arial" w:hAnsi="Arial" w:cs="Arial"/>
                <w:sz w:val="20"/>
                <w:lang w:val="en-US"/>
              </w:rPr>
              <w:t>Accrued interest 3rd party</w:t>
            </w:r>
          </w:p>
        </w:tc>
        <w:tc>
          <w:tcPr>
            <w:tcW w:w="365" w:type="dxa"/>
            <w:tcBorders>
              <w:top w:val="nil"/>
              <w:left w:val="nil"/>
              <w:bottom w:val="nil"/>
              <w:right w:val="nil"/>
            </w:tcBorders>
            <w:shd w:val="clear" w:color="auto" w:fill="auto"/>
            <w:noWrap/>
            <w:hideMark/>
          </w:tcPr>
          <w:p w:rsidR="006F1FA3" w:rsidRPr="006F1FA3" w:rsidRDefault="006F1FA3" w:rsidP="008B695B">
            <w:pPr>
              <w:overflowPunct/>
              <w:autoSpaceDE/>
              <w:autoSpaceDN/>
              <w:adjustRightInd/>
              <w:spacing w:line="240" w:lineRule="auto"/>
              <w:textAlignment w:val="auto"/>
              <w:rPr>
                <w:rFonts w:ascii="Arial" w:hAnsi="Arial" w:cs="Arial"/>
                <w:sz w:val="20"/>
                <w:lang w:val="en-US"/>
              </w:rPr>
            </w:pPr>
          </w:p>
        </w:tc>
        <w:tc>
          <w:tcPr>
            <w:tcW w:w="536" w:type="dxa"/>
            <w:tcBorders>
              <w:top w:val="nil"/>
              <w:left w:val="nil"/>
              <w:bottom w:val="nil"/>
              <w:right w:val="nil"/>
            </w:tcBorders>
            <w:shd w:val="clear" w:color="auto" w:fill="auto"/>
            <w:noWrap/>
            <w:hideMark/>
          </w:tcPr>
          <w:p w:rsidR="006F1FA3" w:rsidRPr="006F1FA3" w:rsidRDefault="006F1FA3" w:rsidP="008B695B">
            <w:pPr>
              <w:overflowPunct/>
              <w:autoSpaceDE/>
              <w:autoSpaceDN/>
              <w:adjustRightInd/>
              <w:spacing w:line="240" w:lineRule="auto"/>
              <w:ind w:firstLineChars="300" w:firstLine="600"/>
              <w:textAlignment w:val="auto"/>
              <w:rPr>
                <w:rFonts w:ascii="Arial" w:hAnsi="Arial" w:cs="Arial"/>
                <w:sz w:val="20"/>
                <w:lang w:val="en-US"/>
              </w:rPr>
            </w:pPr>
          </w:p>
        </w:tc>
        <w:tc>
          <w:tcPr>
            <w:tcW w:w="1823" w:type="dxa"/>
            <w:tcBorders>
              <w:top w:val="nil"/>
              <w:left w:val="nil"/>
              <w:bottom w:val="nil"/>
              <w:right w:val="nil"/>
            </w:tcBorders>
            <w:shd w:val="clear" w:color="auto" w:fill="auto"/>
            <w:hideMark/>
          </w:tcPr>
          <w:p w:rsidR="006F1FA3" w:rsidRPr="006F1FA3" w:rsidRDefault="006F1FA3" w:rsidP="008B695B">
            <w:pPr>
              <w:overflowPunct/>
              <w:autoSpaceDE/>
              <w:autoSpaceDN/>
              <w:adjustRightInd/>
              <w:spacing w:line="240" w:lineRule="auto"/>
              <w:jc w:val="right"/>
              <w:textAlignment w:val="auto"/>
              <w:rPr>
                <w:rFonts w:ascii="Arial" w:hAnsi="Arial" w:cs="Arial"/>
                <w:sz w:val="20"/>
                <w:lang w:val="en-US"/>
              </w:rPr>
            </w:pPr>
            <w:r w:rsidRPr="006F1FA3">
              <w:rPr>
                <w:rFonts w:ascii="Arial" w:hAnsi="Arial" w:cs="Arial"/>
                <w:sz w:val="20"/>
                <w:lang w:val="en-US"/>
              </w:rPr>
              <w:t xml:space="preserve">        32'370 </w:t>
            </w:r>
          </w:p>
        </w:tc>
        <w:tc>
          <w:tcPr>
            <w:tcW w:w="384" w:type="dxa"/>
            <w:tcBorders>
              <w:top w:val="nil"/>
              <w:left w:val="nil"/>
              <w:bottom w:val="nil"/>
              <w:right w:val="nil"/>
            </w:tcBorders>
            <w:shd w:val="clear" w:color="auto" w:fill="auto"/>
            <w:noWrap/>
            <w:hideMark/>
          </w:tcPr>
          <w:p w:rsidR="006F1FA3" w:rsidRPr="006F1FA3" w:rsidRDefault="006F1FA3" w:rsidP="008B695B">
            <w:pPr>
              <w:overflowPunct/>
              <w:autoSpaceDE/>
              <w:autoSpaceDN/>
              <w:adjustRightInd/>
              <w:spacing w:line="240" w:lineRule="auto"/>
              <w:ind w:firstLineChars="300" w:firstLine="600"/>
              <w:textAlignment w:val="auto"/>
              <w:rPr>
                <w:rFonts w:ascii="Arial" w:hAnsi="Arial" w:cs="Arial"/>
                <w:sz w:val="20"/>
                <w:lang w:val="en-US"/>
              </w:rPr>
            </w:pPr>
          </w:p>
        </w:tc>
        <w:tc>
          <w:tcPr>
            <w:tcW w:w="1349" w:type="dxa"/>
            <w:tcBorders>
              <w:top w:val="nil"/>
              <w:left w:val="nil"/>
              <w:bottom w:val="nil"/>
              <w:right w:val="nil"/>
            </w:tcBorders>
            <w:shd w:val="clear" w:color="auto" w:fill="auto"/>
            <w:hideMark/>
          </w:tcPr>
          <w:p w:rsidR="006F1FA3" w:rsidRPr="006F1FA3" w:rsidRDefault="006F1FA3" w:rsidP="008B695B">
            <w:pPr>
              <w:overflowPunct/>
              <w:autoSpaceDE/>
              <w:autoSpaceDN/>
              <w:adjustRightInd/>
              <w:spacing w:line="240" w:lineRule="auto"/>
              <w:jc w:val="right"/>
              <w:textAlignment w:val="auto"/>
              <w:rPr>
                <w:rFonts w:ascii="Arial" w:hAnsi="Arial" w:cs="Arial"/>
                <w:sz w:val="20"/>
                <w:lang w:val="en-US"/>
              </w:rPr>
            </w:pPr>
          </w:p>
        </w:tc>
        <w:tc>
          <w:tcPr>
            <w:tcW w:w="1231" w:type="dxa"/>
            <w:tcBorders>
              <w:top w:val="nil"/>
              <w:left w:val="nil"/>
              <w:bottom w:val="nil"/>
              <w:right w:val="single" w:sz="4" w:space="0" w:color="auto"/>
            </w:tcBorders>
            <w:shd w:val="clear" w:color="auto" w:fill="auto"/>
            <w:hideMark/>
          </w:tcPr>
          <w:p w:rsidR="006F1FA3" w:rsidRPr="006F1FA3" w:rsidRDefault="008B695B" w:rsidP="008B695B">
            <w:pPr>
              <w:overflowPunct/>
              <w:autoSpaceDE/>
              <w:autoSpaceDN/>
              <w:adjustRightInd/>
              <w:spacing w:line="240" w:lineRule="auto"/>
              <w:jc w:val="right"/>
              <w:textAlignment w:val="auto"/>
              <w:rPr>
                <w:rFonts w:ascii="Arial" w:hAnsi="Arial" w:cs="Arial"/>
                <w:sz w:val="20"/>
                <w:lang w:val="en-US"/>
              </w:rPr>
            </w:pPr>
            <w:r>
              <w:rPr>
                <w:rFonts w:ascii="Arial" w:hAnsi="Arial" w:cs="Arial"/>
                <w:sz w:val="20"/>
                <w:lang w:val="en-US"/>
              </w:rPr>
              <w:t>41</w:t>
            </w:r>
            <w:r w:rsidR="00CD736F">
              <w:rPr>
                <w:rFonts w:ascii="Arial" w:hAnsi="Arial" w:cs="Arial"/>
                <w:sz w:val="20"/>
                <w:lang w:val="en-US"/>
              </w:rPr>
              <w:t>’</w:t>
            </w:r>
            <w:r>
              <w:rPr>
                <w:rFonts w:ascii="Arial" w:hAnsi="Arial" w:cs="Arial"/>
                <w:sz w:val="20"/>
                <w:lang w:val="en-US"/>
              </w:rPr>
              <w:t>109</w:t>
            </w:r>
            <w:r w:rsidR="006F1FA3" w:rsidRPr="006F1FA3">
              <w:rPr>
                <w:rFonts w:ascii="Arial" w:hAnsi="Arial" w:cs="Arial"/>
                <w:sz w:val="20"/>
                <w:lang w:val="en-US"/>
              </w:rPr>
              <w:t xml:space="preserve">        </w:t>
            </w:r>
          </w:p>
        </w:tc>
      </w:tr>
      <w:tr w:rsidR="00B66938" w:rsidRPr="006F1FA3" w:rsidTr="00B66938">
        <w:trPr>
          <w:trHeight w:val="226"/>
        </w:trPr>
        <w:tc>
          <w:tcPr>
            <w:tcW w:w="3462" w:type="dxa"/>
            <w:tcBorders>
              <w:top w:val="nil"/>
              <w:left w:val="single" w:sz="4" w:space="0" w:color="auto"/>
              <w:bottom w:val="nil"/>
              <w:right w:val="nil"/>
            </w:tcBorders>
            <w:shd w:val="clear" w:color="auto" w:fill="auto"/>
            <w:noWrap/>
            <w:hideMark/>
          </w:tcPr>
          <w:p w:rsidR="006F1FA3" w:rsidRPr="006F1FA3" w:rsidRDefault="006F1FA3" w:rsidP="008B695B">
            <w:pPr>
              <w:overflowPunct/>
              <w:autoSpaceDE/>
              <w:autoSpaceDN/>
              <w:adjustRightInd/>
              <w:spacing w:line="240" w:lineRule="auto"/>
              <w:textAlignment w:val="auto"/>
              <w:rPr>
                <w:rFonts w:ascii="Arial" w:hAnsi="Arial" w:cs="Arial"/>
                <w:sz w:val="20"/>
                <w:lang w:val="en-US"/>
              </w:rPr>
            </w:pPr>
            <w:r w:rsidRPr="006F1FA3">
              <w:rPr>
                <w:rFonts w:ascii="Arial" w:hAnsi="Arial" w:cs="Arial"/>
                <w:sz w:val="20"/>
                <w:lang w:val="en-US"/>
              </w:rPr>
              <w:t>Audit fees payable</w:t>
            </w:r>
          </w:p>
        </w:tc>
        <w:tc>
          <w:tcPr>
            <w:tcW w:w="365" w:type="dxa"/>
            <w:tcBorders>
              <w:top w:val="nil"/>
              <w:left w:val="nil"/>
              <w:bottom w:val="nil"/>
              <w:right w:val="nil"/>
            </w:tcBorders>
            <w:shd w:val="clear" w:color="auto" w:fill="auto"/>
            <w:noWrap/>
            <w:hideMark/>
          </w:tcPr>
          <w:p w:rsidR="006F1FA3" w:rsidRPr="006F1FA3" w:rsidRDefault="006F1FA3" w:rsidP="008B695B">
            <w:pPr>
              <w:overflowPunct/>
              <w:autoSpaceDE/>
              <w:autoSpaceDN/>
              <w:adjustRightInd/>
              <w:spacing w:line="240" w:lineRule="auto"/>
              <w:textAlignment w:val="auto"/>
              <w:rPr>
                <w:rFonts w:ascii="Arial" w:hAnsi="Arial" w:cs="Arial"/>
                <w:sz w:val="20"/>
                <w:lang w:val="en-US"/>
              </w:rPr>
            </w:pPr>
          </w:p>
        </w:tc>
        <w:tc>
          <w:tcPr>
            <w:tcW w:w="536" w:type="dxa"/>
            <w:tcBorders>
              <w:top w:val="nil"/>
              <w:left w:val="nil"/>
              <w:bottom w:val="nil"/>
              <w:right w:val="nil"/>
            </w:tcBorders>
            <w:shd w:val="clear" w:color="auto" w:fill="auto"/>
            <w:noWrap/>
            <w:hideMark/>
          </w:tcPr>
          <w:p w:rsidR="006F1FA3" w:rsidRPr="006F1FA3" w:rsidRDefault="006F1FA3" w:rsidP="008B695B">
            <w:pPr>
              <w:overflowPunct/>
              <w:autoSpaceDE/>
              <w:autoSpaceDN/>
              <w:adjustRightInd/>
              <w:spacing w:line="240" w:lineRule="auto"/>
              <w:textAlignment w:val="auto"/>
              <w:rPr>
                <w:rFonts w:ascii="Arial" w:hAnsi="Arial" w:cs="Arial"/>
                <w:sz w:val="20"/>
                <w:lang w:val="en-US"/>
              </w:rPr>
            </w:pPr>
          </w:p>
        </w:tc>
        <w:tc>
          <w:tcPr>
            <w:tcW w:w="1823" w:type="dxa"/>
            <w:tcBorders>
              <w:top w:val="nil"/>
              <w:left w:val="nil"/>
              <w:bottom w:val="nil"/>
              <w:right w:val="nil"/>
            </w:tcBorders>
            <w:shd w:val="clear" w:color="auto" w:fill="auto"/>
            <w:hideMark/>
          </w:tcPr>
          <w:p w:rsidR="006F1FA3" w:rsidRPr="006F1FA3" w:rsidRDefault="006F1FA3" w:rsidP="008B695B">
            <w:pPr>
              <w:overflowPunct/>
              <w:autoSpaceDE/>
              <w:autoSpaceDN/>
              <w:adjustRightInd/>
              <w:spacing w:line="240" w:lineRule="auto"/>
              <w:jc w:val="right"/>
              <w:textAlignment w:val="auto"/>
              <w:rPr>
                <w:rFonts w:ascii="Arial" w:hAnsi="Arial" w:cs="Arial"/>
                <w:sz w:val="20"/>
                <w:lang w:val="en-US"/>
              </w:rPr>
            </w:pPr>
            <w:r w:rsidRPr="006F1FA3">
              <w:rPr>
                <w:rFonts w:ascii="Arial" w:hAnsi="Arial" w:cs="Arial"/>
                <w:sz w:val="20"/>
                <w:lang w:val="en-US"/>
              </w:rPr>
              <w:t xml:space="preserve">              38 </w:t>
            </w:r>
          </w:p>
        </w:tc>
        <w:tc>
          <w:tcPr>
            <w:tcW w:w="384" w:type="dxa"/>
            <w:tcBorders>
              <w:top w:val="nil"/>
              <w:left w:val="nil"/>
              <w:bottom w:val="nil"/>
              <w:right w:val="nil"/>
            </w:tcBorders>
            <w:shd w:val="clear" w:color="auto" w:fill="auto"/>
            <w:noWrap/>
            <w:hideMark/>
          </w:tcPr>
          <w:p w:rsidR="006F1FA3" w:rsidRPr="006F1FA3" w:rsidRDefault="006F1FA3" w:rsidP="008B695B">
            <w:pPr>
              <w:overflowPunct/>
              <w:autoSpaceDE/>
              <w:autoSpaceDN/>
              <w:adjustRightInd/>
              <w:spacing w:line="240" w:lineRule="auto"/>
              <w:textAlignment w:val="auto"/>
              <w:rPr>
                <w:rFonts w:ascii="Arial" w:hAnsi="Arial" w:cs="Arial"/>
                <w:sz w:val="20"/>
                <w:lang w:val="en-US"/>
              </w:rPr>
            </w:pPr>
          </w:p>
        </w:tc>
        <w:tc>
          <w:tcPr>
            <w:tcW w:w="1349" w:type="dxa"/>
            <w:tcBorders>
              <w:top w:val="nil"/>
              <w:left w:val="nil"/>
              <w:bottom w:val="nil"/>
              <w:right w:val="nil"/>
            </w:tcBorders>
            <w:shd w:val="clear" w:color="auto" w:fill="auto"/>
            <w:hideMark/>
          </w:tcPr>
          <w:p w:rsidR="006F1FA3" w:rsidRPr="006F1FA3" w:rsidRDefault="006F1FA3" w:rsidP="008B695B">
            <w:pPr>
              <w:overflowPunct/>
              <w:autoSpaceDE/>
              <w:autoSpaceDN/>
              <w:adjustRightInd/>
              <w:spacing w:line="240" w:lineRule="auto"/>
              <w:jc w:val="right"/>
              <w:textAlignment w:val="auto"/>
              <w:rPr>
                <w:rFonts w:ascii="Arial" w:hAnsi="Arial" w:cs="Arial"/>
                <w:sz w:val="20"/>
                <w:lang w:val="en-US"/>
              </w:rPr>
            </w:pPr>
          </w:p>
        </w:tc>
        <w:tc>
          <w:tcPr>
            <w:tcW w:w="1231" w:type="dxa"/>
            <w:tcBorders>
              <w:top w:val="nil"/>
              <w:left w:val="nil"/>
              <w:bottom w:val="nil"/>
              <w:right w:val="single" w:sz="4" w:space="0" w:color="auto"/>
            </w:tcBorders>
            <w:shd w:val="clear" w:color="auto" w:fill="auto"/>
            <w:hideMark/>
          </w:tcPr>
          <w:p w:rsidR="006F1FA3" w:rsidRPr="006F1FA3" w:rsidRDefault="008B695B" w:rsidP="008B695B">
            <w:pPr>
              <w:overflowPunct/>
              <w:autoSpaceDE/>
              <w:autoSpaceDN/>
              <w:adjustRightInd/>
              <w:spacing w:line="240" w:lineRule="auto"/>
              <w:jc w:val="right"/>
              <w:textAlignment w:val="auto"/>
              <w:rPr>
                <w:rFonts w:ascii="Arial" w:hAnsi="Arial" w:cs="Arial"/>
                <w:sz w:val="20"/>
                <w:lang w:val="en-US"/>
              </w:rPr>
            </w:pPr>
            <w:r>
              <w:rPr>
                <w:rFonts w:ascii="Arial" w:hAnsi="Arial" w:cs="Arial"/>
                <w:sz w:val="20"/>
                <w:lang w:val="en-US"/>
              </w:rPr>
              <w:t>34</w:t>
            </w:r>
            <w:r w:rsidR="006F1FA3" w:rsidRPr="006F1FA3">
              <w:rPr>
                <w:rFonts w:ascii="Arial" w:hAnsi="Arial" w:cs="Arial"/>
                <w:sz w:val="20"/>
                <w:lang w:val="en-US"/>
              </w:rPr>
              <w:t xml:space="preserve">               </w:t>
            </w:r>
          </w:p>
        </w:tc>
      </w:tr>
      <w:tr w:rsidR="00B66938" w:rsidRPr="006F1FA3" w:rsidTr="00B66938">
        <w:trPr>
          <w:trHeight w:val="226"/>
        </w:trPr>
        <w:tc>
          <w:tcPr>
            <w:tcW w:w="3462" w:type="dxa"/>
            <w:tcBorders>
              <w:top w:val="nil"/>
              <w:left w:val="single" w:sz="4" w:space="0" w:color="auto"/>
              <w:bottom w:val="nil"/>
              <w:right w:val="nil"/>
            </w:tcBorders>
            <w:shd w:val="clear" w:color="auto" w:fill="auto"/>
            <w:noWrap/>
            <w:hideMark/>
          </w:tcPr>
          <w:p w:rsidR="006F1FA3" w:rsidRPr="006F1FA3" w:rsidRDefault="006F1FA3" w:rsidP="008B695B">
            <w:pPr>
              <w:overflowPunct/>
              <w:autoSpaceDE/>
              <w:autoSpaceDN/>
              <w:adjustRightInd/>
              <w:spacing w:line="240" w:lineRule="auto"/>
              <w:textAlignment w:val="auto"/>
              <w:rPr>
                <w:rFonts w:ascii="Arial" w:hAnsi="Arial" w:cs="Arial"/>
                <w:sz w:val="20"/>
                <w:lang w:val="en-US"/>
              </w:rPr>
            </w:pPr>
            <w:r w:rsidRPr="006F1FA3">
              <w:rPr>
                <w:rFonts w:ascii="Arial" w:hAnsi="Arial" w:cs="Arial"/>
                <w:sz w:val="20"/>
                <w:lang w:val="en-US"/>
              </w:rPr>
              <w:t>Other expenses payable</w:t>
            </w:r>
          </w:p>
        </w:tc>
        <w:tc>
          <w:tcPr>
            <w:tcW w:w="365" w:type="dxa"/>
            <w:tcBorders>
              <w:top w:val="nil"/>
              <w:left w:val="nil"/>
              <w:bottom w:val="nil"/>
              <w:right w:val="nil"/>
            </w:tcBorders>
            <w:shd w:val="clear" w:color="auto" w:fill="auto"/>
            <w:hideMark/>
          </w:tcPr>
          <w:p w:rsidR="006F1FA3" w:rsidRPr="006F1FA3" w:rsidRDefault="006F1FA3" w:rsidP="008B695B">
            <w:pPr>
              <w:overflowPunct/>
              <w:autoSpaceDE/>
              <w:autoSpaceDN/>
              <w:adjustRightInd/>
              <w:spacing w:line="240" w:lineRule="auto"/>
              <w:textAlignment w:val="auto"/>
              <w:rPr>
                <w:rFonts w:ascii="Arial" w:hAnsi="Arial" w:cs="Arial"/>
                <w:sz w:val="20"/>
                <w:lang w:val="en-US"/>
              </w:rPr>
            </w:pPr>
          </w:p>
        </w:tc>
        <w:tc>
          <w:tcPr>
            <w:tcW w:w="536" w:type="dxa"/>
            <w:tcBorders>
              <w:top w:val="nil"/>
              <w:left w:val="nil"/>
              <w:bottom w:val="nil"/>
              <w:right w:val="nil"/>
            </w:tcBorders>
            <w:shd w:val="clear" w:color="auto" w:fill="auto"/>
            <w:noWrap/>
            <w:vAlign w:val="bottom"/>
            <w:hideMark/>
          </w:tcPr>
          <w:p w:rsidR="006F1FA3" w:rsidRPr="006F1FA3" w:rsidRDefault="006F1FA3" w:rsidP="008B695B">
            <w:pPr>
              <w:overflowPunct/>
              <w:autoSpaceDE/>
              <w:autoSpaceDN/>
              <w:adjustRightInd/>
              <w:spacing w:line="240" w:lineRule="auto"/>
              <w:jc w:val="center"/>
              <w:textAlignment w:val="auto"/>
              <w:rPr>
                <w:rFonts w:ascii="Arial" w:hAnsi="Arial" w:cs="Arial"/>
                <w:sz w:val="20"/>
                <w:lang w:val="en-US"/>
              </w:rPr>
            </w:pPr>
          </w:p>
        </w:tc>
        <w:tc>
          <w:tcPr>
            <w:tcW w:w="1823" w:type="dxa"/>
            <w:tcBorders>
              <w:top w:val="nil"/>
              <w:left w:val="nil"/>
              <w:bottom w:val="nil"/>
              <w:right w:val="nil"/>
            </w:tcBorders>
            <w:shd w:val="clear" w:color="auto" w:fill="auto"/>
            <w:hideMark/>
          </w:tcPr>
          <w:p w:rsidR="006F1FA3" w:rsidRPr="006F1FA3" w:rsidRDefault="006F1FA3" w:rsidP="008B695B">
            <w:pPr>
              <w:overflowPunct/>
              <w:autoSpaceDE/>
              <w:autoSpaceDN/>
              <w:adjustRightInd/>
              <w:spacing w:line="240" w:lineRule="auto"/>
              <w:jc w:val="right"/>
              <w:textAlignment w:val="auto"/>
              <w:rPr>
                <w:rFonts w:ascii="Arial" w:hAnsi="Arial" w:cs="Arial"/>
                <w:sz w:val="20"/>
                <w:lang w:val="en-US"/>
              </w:rPr>
            </w:pPr>
            <w:r w:rsidRPr="006F1FA3">
              <w:rPr>
                <w:rFonts w:ascii="Arial" w:hAnsi="Arial" w:cs="Arial"/>
                <w:sz w:val="20"/>
                <w:lang w:val="en-US"/>
              </w:rPr>
              <w:t xml:space="preserve">              24 </w:t>
            </w:r>
          </w:p>
        </w:tc>
        <w:tc>
          <w:tcPr>
            <w:tcW w:w="384" w:type="dxa"/>
            <w:tcBorders>
              <w:top w:val="nil"/>
              <w:left w:val="nil"/>
              <w:bottom w:val="nil"/>
              <w:right w:val="nil"/>
            </w:tcBorders>
            <w:shd w:val="clear" w:color="auto" w:fill="auto"/>
            <w:noWrap/>
            <w:vAlign w:val="bottom"/>
            <w:hideMark/>
          </w:tcPr>
          <w:p w:rsidR="006F1FA3" w:rsidRPr="006F1FA3" w:rsidRDefault="006F1FA3" w:rsidP="008B695B">
            <w:pPr>
              <w:overflowPunct/>
              <w:autoSpaceDE/>
              <w:autoSpaceDN/>
              <w:adjustRightInd/>
              <w:spacing w:line="240" w:lineRule="auto"/>
              <w:jc w:val="center"/>
              <w:textAlignment w:val="auto"/>
              <w:rPr>
                <w:rFonts w:ascii="Arial" w:hAnsi="Arial" w:cs="Arial"/>
                <w:sz w:val="20"/>
                <w:lang w:val="en-US"/>
              </w:rPr>
            </w:pPr>
          </w:p>
        </w:tc>
        <w:tc>
          <w:tcPr>
            <w:tcW w:w="1349" w:type="dxa"/>
            <w:tcBorders>
              <w:top w:val="nil"/>
              <w:left w:val="nil"/>
              <w:bottom w:val="nil"/>
              <w:right w:val="nil"/>
            </w:tcBorders>
            <w:shd w:val="clear" w:color="auto" w:fill="auto"/>
            <w:noWrap/>
            <w:vAlign w:val="bottom"/>
            <w:hideMark/>
          </w:tcPr>
          <w:p w:rsidR="006F1FA3" w:rsidRPr="006F1FA3" w:rsidRDefault="006F1FA3" w:rsidP="008B695B">
            <w:pPr>
              <w:overflowPunct/>
              <w:autoSpaceDE/>
              <w:autoSpaceDN/>
              <w:adjustRightInd/>
              <w:spacing w:line="240" w:lineRule="auto"/>
              <w:jc w:val="right"/>
              <w:textAlignment w:val="auto"/>
              <w:rPr>
                <w:rFonts w:ascii="Arial" w:hAnsi="Arial" w:cs="Arial"/>
                <w:sz w:val="20"/>
                <w:lang w:val="en-US"/>
              </w:rPr>
            </w:pPr>
          </w:p>
        </w:tc>
        <w:tc>
          <w:tcPr>
            <w:tcW w:w="1231" w:type="dxa"/>
            <w:tcBorders>
              <w:top w:val="nil"/>
              <w:left w:val="nil"/>
              <w:bottom w:val="nil"/>
              <w:right w:val="single" w:sz="4" w:space="0" w:color="auto"/>
            </w:tcBorders>
            <w:shd w:val="clear" w:color="auto" w:fill="auto"/>
            <w:hideMark/>
          </w:tcPr>
          <w:p w:rsidR="006F1FA3" w:rsidRPr="006F1FA3" w:rsidRDefault="008B695B" w:rsidP="008B695B">
            <w:pPr>
              <w:overflowPunct/>
              <w:autoSpaceDE/>
              <w:autoSpaceDN/>
              <w:adjustRightInd/>
              <w:spacing w:line="240" w:lineRule="auto"/>
              <w:jc w:val="right"/>
              <w:textAlignment w:val="auto"/>
              <w:rPr>
                <w:rFonts w:ascii="Arial" w:hAnsi="Arial" w:cs="Arial"/>
                <w:sz w:val="20"/>
                <w:lang w:val="en-US"/>
              </w:rPr>
            </w:pPr>
            <w:r>
              <w:rPr>
                <w:rFonts w:ascii="Arial" w:hAnsi="Arial" w:cs="Arial"/>
                <w:sz w:val="20"/>
                <w:lang w:val="en-US"/>
              </w:rPr>
              <w:t>24</w:t>
            </w:r>
            <w:r w:rsidR="006F1FA3" w:rsidRPr="006F1FA3">
              <w:rPr>
                <w:rFonts w:ascii="Arial" w:hAnsi="Arial" w:cs="Arial"/>
                <w:sz w:val="20"/>
                <w:lang w:val="en-US"/>
              </w:rPr>
              <w:t xml:space="preserve">               </w:t>
            </w:r>
          </w:p>
        </w:tc>
      </w:tr>
      <w:tr w:rsidR="00B66938" w:rsidRPr="006F1FA3" w:rsidTr="00B66938">
        <w:trPr>
          <w:trHeight w:val="226"/>
        </w:trPr>
        <w:tc>
          <w:tcPr>
            <w:tcW w:w="3462" w:type="dxa"/>
            <w:tcBorders>
              <w:top w:val="nil"/>
              <w:left w:val="single" w:sz="4" w:space="0" w:color="auto"/>
              <w:bottom w:val="nil"/>
              <w:right w:val="nil"/>
            </w:tcBorders>
            <w:shd w:val="clear" w:color="auto" w:fill="auto"/>
            <w:noWrap/>
            <w:vAlign w:val="bottom"/>
            <w:hideMark/>
          </w:tcPr>
          <w:p w:rsidR="006F1FA3" w:rsidRPr="006F1FA3" w:rsidRDefault="006F1FA3" w:rsidP="006F1FA3">
            <w:pPr>
              <w:overflowPunct/>
              <w:autoSpaceDE/>
              <w:autoSpaceDN/>
              <w:adjustRightInd/>
              <w:spacing w:line="240" w:lineRule="auto"/>
              <w:textAlignment w:val="auto"/>
              <w:rPr>
                <w:rFonts w:ascii="Arial" w:hAnsi="Arial" w:cs="Arial"/>
                <w:sz w:val="20"/>
                <w:lang w:val="en-US"/>
              </w:rPr>
            </w:pPr>
            <w:r w:rsidRPr="006F1FA3">
              <w:rPr>
                <w:rFonts w:ascii="Arial" w:hAnsi="Arial" w:cs="Arial"/>
                <w:sz w:val="20"/>
                <w:lang w:val="en-US"/>
              </w:rPr>
              <w:t> </w:t>
            </w:r>
          </w:p>
        </w:tc>
        <w:tc>
          <w:tcPr>
            <w:tcW w:w="365" w:type="dxa"/>
            <w:tcBorders>
              <w:top w:val="nil"/>
              <w:left w:val="nil"/>
              <w:bottom w:val="nil"/>
              <w:right w:val="nil"/>
            </w:tcBorders>
            <w:shd w:val="clear" w:color="auto" w:fill="auto"/>
            <w:noWrap/>
            <w:vAlign w:val="bottom"/>
            <w:hideMark/>
          </w:tcPr>
          <w:p w:rsidR="006F1FA3" w:rsidRPr="006F1FA3" w:rsidRDefault="006F1FA3" w:rsidP="006F1FA3">
            <w:pPr>
              <w:overflowPunct/>
              <w:autoSpaceDE/>
              <w:autoSpaceDN/>
              <w:adjustRightInd/>
              <w:spacing w:line="240" w:lineRule="auto"/>
              <w:textAlignment w:val="auto"/>
              <w:rPr>
                <w:rFonts w:ascii="Arial" w:hAnsi="Arial" w:cs="Arial"/>
                <w:sz w:val="20"/>
                <w:lang w:val="en-US"/>
              </w:rPr>
            </w:pPr>
          </w:p>
        </w:tc>
        <w:tc>
          <w:tcPr>
            <w:tcW w:w="536" w:type="dxa"/>
            <w:tcBorders>
              <w:top w:val="nil"/>
              <w:left w:val="nil"/>
              <w:bottom w:val="nil"/>
              <w:right w:val="nil"/>
            </w:tcBorders>
            <w:shd w:val="clear" w:color="auto" w:fill="auto"/>
            <w:noWrap/>
            <w:vAlign w:val="bottom"/>
            <w:hideMark/>
          </w:tcPr>
          <w:p w:rsidR="006F1FA3" w:rsidRPr="006F1FA3" w:rsidRDefault="006F1FA3" w:rsidP="006F1FA3">
            <w:pPr>
              <w:overflowPunct/>
              <w:autoSpaceDE/>
              <w:autoSpaceDN/>
              <w:adjustRightInd/>
              <w:spacing w:line="240" w:lineRule="auto"/>
              <w:jc w:val="center"/>
              <w:textAlignment w:val="auto"/>
              <w:rPr>
                <w:rFonts w:ascii="Arial" w:hAnsi="Arial" w:cs="Arial"/>
                <w:sz w:val="20"/>
                <w:lang w:val="en-US"/>
              </w:rPr>
            </w:pPr>
          </w:p>
        </w:tc>
        <w:tc>
          <w:tcPr>
            <w:tcW w:w="1823" w:type="dxa"/>
            <w:tcBorders>
              <w:top w:val="nil"/>
              <w:left w:val="nil"/>
              <w:bottom w:val="nil"/>
              <w:right w:val="nil"/>
            </w:tcBorders>
            <w:shd w:val="clear" w:color="auto" w:fill="auto"/>
            <w:noWrap/>
            <w:vAlign w:val="bottom"/>
            <w:hideMark/>
          </w:tcPr>
          <w:p w:rsidR="006F1FA3" w:rsidRPr="006F1FA3" w:rsidRDefault="006F1FA3" w:rsidP="006F1FA3">
            <w:pPr>
              <w:overflowPunct/>
              <w:autoSpaceDE/>
              <w:autoSpaceDN/>
              <w:adjustRightInd/>
              <w:spacing w:line="240" w:lineRule="auto"/>
              <w:jc w:val="center"/>
              <w:textAlignment w:val="auto"/>
              <w:rPr>
                <w:rFonts w:ascii="Arial" w:hAnsi="Arial" w:cs="Arial"/>
                <w:sz w:val="20"/>
                <w:lang w:val="en-US"/>
              </w:rPr>
            </w:pPr>
          </w:p>
        </w:tc>
        <w:tc>
          <w:tcPr>
            <w:tcW w:w="384" w:type="dxa"/>
            <w:tcBorders>
              <w:top w:val="nil"/>
              <w:left w:val="nil"/>
              <w:bottom w:val="nil"/>
              <w:right w:val="nil"/>
            </w:tcBorders>
            <w:shd w:val="clear" w:color="auto" w:fill="auto"/>
            <w:noWrap/>
            <w:vAlign w:val="bottom"/>
            <w:hideMark/>
          </w:tcPr>
          <w:p w:rsidR="006F1FA3" w:rsidRPr="006F1FA3" w:rsidRDefault="006F1FA3" w:rsidP="006F1FA3">
            <w:pPr>
              <w:overflowPunct/>
              <w:autoSpaceDE/>
              <w:autoSpaceDN/>
              <w:adjustRightInd/>
              <w:spacing w:line="240" w:lineRule="auto"/>
              <w:jc w:val="center"/>
              <w:textAlignment w:val="auto"/>
              <w:rPr>
                <w:rFonts w:ascii="Arial" w:hAnsi="Arial" w:cs="Arial"/>
                <w:sz w:val="20"/>
                <w:lang w:val="en-US"/>
              </w:rPr>
            </w:pPr>
          </w:p>
        </w:tc>
        <w:tc>
          <w:tcPr>
            <w:tcW w:w="1349" w:type="dxa"/>
            <w:tcBorders>
              <w:top w:val="nil"/>
              <w:left w:val="nil"/>
              <w:bottom w:val="nil"/>
              <w:right w:val="nil"/>
            </w:tcBorders>
            <w:shd w:val="clear" w:color="auto" w:fill="auto"/>
            <w:noWrap/>
            <w:vAlign w:val="bottom"/>
            <w:hideMark/>
          </w:tcPr>
          <w:p w:rsidR="006F1FA3" w:rsidRPr="006F1FA3" w:rsidRDefault="006F1FA3" w:rsidP="006F1FA3">
            <w:pPr>
              <w:overflowPunct/>
              <w:autoSpaceDE/>
              <w:autoSpaceDN/>
              <w:adjustRightInd/>
              <w:spacing w:line="240" w:lineRule="auto"/>
              <w:textAlignment w:val="auto"/>
              <w:rPr>
                <w:rFonts w:ascii="Arial" w:hAnsi="Arial" w:cs="Arial"/>
                <w:sz w:val="20"/>
                <w:lang w:val="en-US"/>
              </w:rPr>
            </w:pPr>
          </w:p>
        </w:tc>
        <w:tc>
          <w:tcPr>
            <w:tcW w:w="1231" w:type="dxa"/>
            <w:tcBorders>
              <w:top w:val="nil"/>
              <w:left w:val="nil"/>
              <w:bottom w:val="nil"/>
              <w:right w:val="single" w:sz="4" w:space="0" w:color="auto"/>
            </w:tcBorders>
            <w:shd w:val="clear" w:color="auto" w:fill="auto"/>
            <w:noWrap/>
            <w:vAlign w:val="bottom"/>
            <w:hideMark/>
          </w:tcPr>
          <w:p w:rsidR="006F1FA3" w:rsidRPr="006F1FA3" w:rsidRDefault="006F1FA3" w:rsidP="006F1FA3">
            <w:pPr>
              <w:overflowPunct/>
              <w:autoSpaceDE/>
              <w:autoSpaceDN/>
              <w:adjustRightInd/>
              <w:spacing w:line="240" w:lineRule="auto"/>
              <w:textAlignment w:val="auto"/>
              <w:rPr>
                <w:rFonts w:ascii="Arial" w:hAnsi="Arial" w:cs="Arial"/>
                <w:sz w:val="20"/>
                <w:lang w:val="en-US"/>
              </w:rPr>
            </w:pPr>
            <w:r w:rsidRPr="006F1FA3">
              <w:rPr>
                <w:rFonts w:ascii="Arial" w:hAnsi="Arial" w:cs="Arial"/>
                <w:sz w:val="20"/>
                <w:lang w:val="en-US"/>
              </w:rPr>
              <w:t> </w:t>
            </w:r>
          </w:p>
        </w:tc>
      </w:tr>
      <w:tr w:rsidR="00B66938" w:rsidRPr="006F1FA3" w:rsidTr="00B66938">
        <w:trPr>
          <w:trHeight w:val="238"/>
        </w:trPr>
        <w:tc>
          <w:tcPr>
            <w:tcW w:w="3462" w:type="dxa"/>
            <w:tcBorders>
              <w:top w:val="nil"/>
              <w:left w:val="single" w:sz="4" w:space="0" w:color="auto"/>
              <w:bottom w:val="nil"/>
              <w:right w:val="nil"/>
            </w:tcBorders>
            <w:shd w:val="clear" w:color="auto" w:fill="auto"/>
            <w:noWrap/>
            <w:vAlign w:val="bottom"/>
            <w:hideMark/>
          </w:tcPr>
          <w:p w:rsidR="006F1FA3" w:rsidRPr="006F1FA3" w:rsidRDefault="006F1FA3" w:rsidP="006F1FA3">
            <w:pPr>
              <w:overflowPunct/>
              <w:autoSpaceDE/>
              <w:autoSpaceDN/>
              <w:adjustRightInd/>
              <w:spacing w:line="240" w:lineRule="auto"/>
              <w:textAlignment w:val="auto"/>
              <w:rPr>
                <w:rFonts w:ascii="Arial" w:hAnsi="Arial" w:cs="Arial"/>
                <w:sz w:val="20"/>
                <w:lang w:val="en-US"/>
              </w:rPr>
            </w:pPr>
            <w:r w:rsidRPr="006F1FA3">
              <w:rPr>
                <w:rFonts w:ascii="Arial" w:hAnsi="Arial" w:cs="Arial"/>
                <w:sz w:val="20"/>
                <w:lang w:val="en-US"/>
              </w:rPr>
              <w:t>Total</w:t>
            </w:r>
          </w:p>
        </w:tc>
        <w:tc>
          <w:tcPr>
            <w:tcW w:w="365" w:type="dxa"/>
            <w:tcBorders>
              <w:top w:val="nil"/>
              <w:left w:val="nil"/>
              <w:bottom w:val="nil"/>
              <w:right w:val="nil"/>
            </w:tcBorders>
            <w:shd w:val="clear" w:color="auto" w:fill="auto"/>
            <w:noWrap/>
            <w:vAlign w:val="bottom"/>
            <w:hideMark/>
          </w:tcPr>
          <w:p w:rsidR="006F1FA3" w:rsidRPr="006F1FA3" w:rsidRDefault="006F1FA3" w:rsidP="006F1FA3">
            <w:pPr>
              <w:overflowPunct/>
              <w:autoSpaceDE/>
              <w:autoSpaceDN/>
              <w:adjustRightInd/>
              <w:spacing w:line="240" w:lineRule="auto"/>
              <w:textAlignment w:val="auto"/>
              <w:rPr>
                <w:rFonts w:ascii="Arial" w:hAnsi="Arial" w:cs="Arial"/>
                <w:sz w:val="20"/>
                <w:lang w:val="en-US"/>
              </w:rPr>
            </w:pPr>
          </w:p>
        </w:tc>
        <w:tc>
          <w:tcPr>
            <w:tcW w:w="536" w:type="dxa"/>
            <w:tcBorders>
              <w:top w:val="nil"/>
              <w:left w:val="nil"/>
              <w:bottom w:val="nil"/>
              <w:right w:val="nil"/>
            </w:tcBorders>
            <w:shd w:val="clear" w:color="auto" w:fill="auto"/>
            <w:noWrap/>
            <w:vAlign w:val="bottom"/>
            <w:hideMark/>
          </w:tcPr>
          <w:p w:rsidR="006F1FA3" w:rsidRPr="006F1FA3" w:rsidRDefault="006F1FA3" w:rsidP="006F1FA3">
            <w:pPr>
              <w:overflowPunct/>
              <w:autoSpaceDE/>
              <w:autoSpaceDN/>
              <w:adjustRightInd/>
              <w:spacing w:line="240" w:lineRule="auto"/>
              <w:jc w:val="center"/>
              <w:textAlignment w:val="auto"/>
              <w:rPr>
                <w:rFonts w:ascii="Arial" w:hAnsi="Arial" w:cs="Arial"/>
                <w:sz w:val="20"/>
                <w:lang w:val="en-US"/>
              </w:rPr>
            </w:pPr>
          </w:p>
        </w:tc>
        <w:tc>
          <w:tcPr>
            <w:tcW w:w="1823" w:type="dxa"/>
            <w:tcBorders>
              <w:top w:val="single" w:sz="4" w:space="0" w:color="auto"/>
              <w:left w:val="nil"/>
              <w:bottom w:val="double" w:sz="6" w:space="0" w:color="auto"/>
              <w:right w:val="nil"/>
            </w:tcBorders>
            <w:shd w:val="clear" w:color="auto" w:fill="auto"/>
            <w:noWrap/>
            <w:vAlign w:val="bottom"/>
            <w:hideMark/>
          </w:tcPr>
          <w:p w:rsidR="006F1FA3" w:rsidRPr="006F1FA3" w:rsidRDefault="006F1FA3" w:rsidP="00B66938">
            <w:pPr>
              <w:overflowPunct/>
              <w:autoSpaceDE/>
              <w:autoSpaceDN/>
              <w:adjustRightInd/>
              <w:spacing w:line="240" w:lineRule="auto"/>
              <w:jc w:val="center"/>
              <w:textAlignment w:val="auto"/>
              <w:rPr>
                <w:rFonts w:ascii="Arial" w:hAnsi="Arial" w:cs="Arial"/>
                <w:sz w:val="20"/>
                <w:lang w:val="en-US"/>
              </w:rPr>
            </w:pPr>
            <w:r w:rsidRPr="006F1FA3">
              <w:rPr>
                <w:rFonts w:ascii="Arial" w:hAnsi="Arial" w:cs="Arial"/>
                <w:sz w:val="20"/>
                <w:lang w:val="en-US"/>
              </w:rPr>
              <w:t xml:space="preserve">     32'432 </w:t>
            </w:r>
          </w:p>
        </w:tc>
        <w:tc>
          <w:tcPr>
            <w:tcW w:w="384" w:type="dxa"/>
            <w:tcBorders>
              <w:top w:val="nil"/>
              <w:left w:val="nil"/>
              <w:bottom w:val="nil"/>
              <w:right w:val="nil"/>
            </w:tcBorders>
            <w:shd w:val="clear" w:color="auto" w:fill="auto"/>
            <w:noWrap/>
            <w:vAlign w:val="bottom"/>
            <w:hideMark/>
          </w:tcPr>
          <w:p w:rsidR="006F1FA3" w:rsidRPr="006F1FA3" w:rsidRDefault="006F1FA3" w:rsidP="006F1FA3">
            <w:pPr>
              <w:overflowPunct/>
              <w:autoSpaceDE/>
              <w:autoSpaceDN/>
              <w:adjustRightInd/>
              <w:spacing w:line="240" w:lineRule="auto"/>
              <w:jc w:val="center"/>
              <w:textAlignment w:val="auto"/>
              <w:rPr>
                <w:rFonts w:ascii="Arial" w:hAnsi="Arial" w:cs="Arial"/>
                <w:sz w:val="20"/>
                <w:lang w:val="en-US"/>
              </w:rPr>
            </w:pPr>
          </w:p>
        </w:tc>
        <w:tc>
          <w:tcPr>
            <w:tcW w:w="1349" w:type="dxa"/>
            <w:tcBorders>
              <w:top w:val="nil"/>
              <w:left w:val="nil"/>
              <w:bottom w:val="nil"/>
              <w:right w:val="nil"/>
            </w:tcBorders>
            <w:shd w:val="clear" w:color="auto" w:fill="auto"/>
            <w:noWrap/>
            <w:vAlign w:val="bottom"/>
            <w:hideMark/>
          </w:tcPr>
          <w:p w:rsidR="006F1FA3" w:rsidRPr="006F1FA3" w:rsidRDefault="006F1FA3" w:rsidP="006F1FA3">
            <w:pPr>
              <w:overflowPunct/>
              <w:autoSpaceDE/>
              <w:autoSpaceDN/>
              <w:adjustRightInd/>
              <w:spacing w:line="240" w:lineRule="auto"/>
              <w:textAlignment w:val="auto"/>
              <w:rPr>
                <w:rFonts w:ascii="Arial" w:hAnsi="Arial" w:cs="Arial"/>
                <w:sz w:val="20"/>
                <w:lang w:val="en-US"/>
              </w:rPr>
            </w:pPr>
          </w:p>
        </w:tc>
        <w:tc>
          <w:tcPr>
            <w:tcW w:w="1231" w:type="dxa"/>
            <w:tcBorders>
              <w:top w:val="single" w:sz="4" w:space="0" w:color="auto"/>
              <w:left w:val="nil"/>
              <w:bottom w:val="double" w:sz="6" w:space="0" w:color="auto"/>
              <w:right w:val="single" w:sz="4" w:space="0" w:color="auto"/>
            </w:tcBorders>
            <w:shd w:val="clear" w:color="auto" w:fill="auto"/>
            <w:noWrap/>
            <w:vAlign w:val="bottom"/>
            <w:hideMark/>
          </w:tcPr>
          <w:p w:rsidR="006F1FA3" w:rsidRPr="006F1FA3" w:rsidRDefault="006F1FA3" w:rsidP="006F1FA3">
            <w:pPr>
              <w:overflowPunct/>
              <w:autoSpaceDE/>
              <w:autoSpaceDN/>
              <w:adjustRightInd/>
              <w:spacing w:line="240" w:lineRule="auto"/>
              <w:jc w:val="right"/>
              <w:textAlignment w:val="auto"/>
              <w:rPr>
                <w:rFonts w:ascii="Arial" w:hAnsi="Arial" w:cs="Arial"/>
                <w:sz w:val="20"/>
                <w:lang w:val="en-US"/>
              </w:rPr>
            </w:pPr>
            <w:r w:rsidRPr="006F1FA3">
              <w:rPr>
                <w:rFonts w:ascii="Arial" w:hAnsi="Arial" w:cs="Arial"/>
                <w:sz w:val="20"/>
                <w:lang w:val="en-US"/>
              </w:rPr>
              <w:t xml:space="preserve">         41'167 </w:t>
            </w:r>
          </w:p>
        </w:tc>
      </w:tr>
      <w:tr w:rsidR="00B66938" w:rsidRPr="006F1FA3" w:rsidTr="00B66938">
        <w:trPr>
          <w:trHeight w:val="238"/>
        </w:trPr>
        <w:tc>
          <w:tcPr>
            <w:tcW w:w="3462" w:type="dxa"/>
            <w:tcBorders>
              <w:top w:val="nil"/>
              <w:left w:val="single" w:sz="4" w:space="0" w:color="auto"/>
              <w:bottom w:val="single" w:sz="4" w:space="0" w:color="auto"/>
              <w:right w:val="nil"/>
            </w:tcBorders>
            <w:shd w:val="clear" w:color="auto" w:fill="auto"/>
            <w:hideMark/>
          </w:tcPr>
          <w:p w:rsidR="006F1FA3" w:rsidRPr="006F1FA3" w:rsidRDefault="006F1FA3" w:rsidP="006F1FA3">
            <w:pPr>
              <w:overflowPunct/>
              <w:autoSpaceDE/>
              <w:autoSpaceDN/>
              <w:adjustRightInd/>
              <w:spacing w:line="240" w:lineRule="auto"/>
              <w:textAlignment w:val="auto"/>
              <w:rPr>
                <w:rFonts w:ascii="Arial" w:hAnsi="Arial" w:cs="Arial"/>
                <w:sz w:val="20"/>
                <w:lang w:val="en-US"/>
              </w:rPr>
            </w:pPr>
            <w:r w:rsidRPr="006F1FA3">
              <w:rPr>
                <w:rFonts w:ascii="Arial" w:hAnsi="Arial" w:cs="Arial"/>
                <w:sz w:val="20"/>
                <w:lang w:val="en-US"/>
              </w:rPr>
              <w:t> </w:t>
            </w:r>
          </w:p>
        </w:tc>
        <w:tc>
          <w:tcPr>
            <w:tcW w:w="365" w:type="dxa"/>
            <w:tcBorders>
              <w:top w:val="nil"/>
              <w:left w:val="nil"/>
              <w:bottom w:val="single" w:sz="4" w:space="0" w:color="auto"/>
              <w:right w:val="nil"/>
            </w:tcBorders>
            <w:shd w:val="clear" w:color="auto" w:fill="auto"/>
            <w:hideMark/>
          </w:tcPr>
          <w:p w:rsidR="006F1FA3" w:rsidRPr="006F1FA3" w:rsidRDefault="006F1FA3" w:rsidP="006F1FA3">
            <w:pPr>
              <w:overflowPunct/>
              <w:autoSpaceDE/>
              <w:autoSpaceDN/>
              <w:adjustRightInd/>
              <w:spacing w:line="240" w:lineRule="auto"/>
              <w:textAlignment w:val="auto"/>
              <w:rPr>
                <w:rFonts w:ascii="Arial" w:hAnsi="Arial" w:cs="Arial"/>
                <w:sz w:val="20"/>
                <w:lang w:val="en-US"/>
              </w:rPr>
            </w:pPr>
            <w:r w:rsidRPr="006F1FA3">
              <w:rPr>
                <w:rFonts w:ascii="Arial" w:hAnsi="Arial" w:cs="Arial"/>
                <w:sz w:val="20"/>
                <w:lang w:val="en-US"/>
              </w:rPr>
              <w:t> </w:t>
            </w:r>
          </w:p>
        </w:tc>
        <w:tc>
          <w:tcPr>
            <w:tcW w:w="536" w:type="dxa"/>
            <w:tcBorders>
              <w:top w:val="nil"/>
              <w:left w:val="nil"/>
              <w:bottom w:val="single" w:sz="4" w:space="0" w:color="auto"/>
              <w:right w:val="nil"/>
            </w:tcBorders>
            <w:shd w:val="clear" w:color="auto" w:fill="auto"/>
            <w:noWrap/>
            <w:vAlign w:val="bottom"/>
            <w:hideMark/>
          </w:tcPr>
          <w:p w:rsidR="006F1FA3" w:rsidRPr="006F1FA3" w:rsidRDefault="006F1FA3" w:rsidP="006F1FA3">
            <w:pPr>
              <w:overflowPunct/>
              <w:autoSpaceDE/>
              <w:autoSpaceDN/>
              <w:adjustRightInd/>
              <w:spacing w:line="240" w:lineRule="auto"/>
              <w:jc w:val="center"/>
              <w:textAlignment w:val="auto"/>
              <w:rPr>
                <w:rFonts w:ascii="Arial" w:hAnsi="Arial" w:cs="Arial"/>
                <w:sz w:val="20"/>
                <w:lang w:val="en-US"/>
              </w:rPr>
            </w:pPr>
            <w:r w:rsidRPr="006F1FA3">
              <w:rPr>
                <w:rFonts w:ascii="Arial" w:hAnsi="Arial" w:cs="Arial"/>
                <w:sz w:val="20"/>
                <w:lang w:val="en-US"/>
              </w:rPr>
              <w:t> </w:t>
            </w:r>
          </w:p>
        </w:tc>
        <w:tc>
          <w:tcPr>
            <w:tcW w:w="1823" w:type="dxa"/>
            <w:tcBorders>
              <w:top w:val="nil"/>
              <w:left w:val="nil"/>
              <w:bottom w:val="single" w:sz="4" w:space="0" w:color="auto"/>
              <w:right w:val="nil"/>
            </w:tcBorders>
            <w:shd w:val="clear" w:color="auto" w:fill="auto"/>
            <w:noWrap/>
            <w:vAlign w:val="bottom"/>
            <w:hideMark/>
          </w:tcPr>
          <w:p w:rsidR="006F1FA3" w:rsidRPr="006F1FA3" w:rsidRDefault="006F1FA3" w:rsidP="006F1FA3">
            <w:pPr>
              <w:overflowPunct/>
              <w:autoSpaceDE/>
              <w:autoSpaceDN/>
              <w:adjustRightInd/>
              <w:spacing w:line="240" w:lineRule="auto"/>
              <w:jc w:val="center"/>
              <w:textAlignment w:val="auto"/>
              <w:rPr>
                <w:rFonts w:ascii="Arial" w:hAnsi="Arial" w:cs="Arial"/>
                <w:sz w:val="20"/>
                <w:lang w:val="en-US"/>
              </w:rPr>
            </w:pPr>
            <w:r w:rsidRPr="006F1FA3">
              <w:rPr>
                <w:rFonts w:ascii="Arial" w:hAnsi="Arial" w:cs="Arial"/>
                <w:sz w:val="20"/>
                <w:lang w:val="en-US"/>
              </w:rPr>
              <w:t> </w:t>
            </w:r>
          </w:p>
        </w:tc>
        <w:tc>
          <w:tcPr>
            <w:tcW w:w="384" w:type="dxa"/>
            <w:tcBorders>
              <w:top w:val="nil"/>
              <w:left w:val="nil"/>
              <w:bottom w:val="single" w:sz="4" w:space="0" w:color="auto"/>
              <w:right w:val="nil"/>
            </w:tcBorders>
            <w:shd w:val="clear" w:color="auto" w:fill="auto"/>
            <w:noWrap/>
            <w:vAlign w:val="bottom"/>
            <w:hideMark/>
          </w:tcPr>
          <w:p w:rsidR="006F1FA3" w:rsidRPr="006F1FA3" w:rsidRDefault="006F1FA3" w:rsidP="006F1FA3">
            <w:pPr>
              <w:overflowPunct/>
              <w:autoSpaceDE/>
              <w:autoSpaceDN/>
              <w:adjustRightInd/>
              <w:spacing w:line="240" w:lineRule="auto"/>
              <w:jc w:val="center"/>
              <w:textAlignment w:val="auto"/>
              <w:rPr>
                <w:rFonts w:ascii="Arial" w:hAnsi="Arial" w:cs="Arial"/>
                <w:sz w:val="20"/>
                <w:lang w:val="en-US"/>
              </w:rPr>
            </w:pPr>
            <w:r w:rsidRPr="006F1FA3">
              <w:rPr>
                <w:rFonts w:ascii="Arial" w:hAnsi="Arial" w:cs="Arial"/>
                <w:sz w:val="20"/>
                <w:lang w:val="en-US"/>
              </w:rPr>
              <w:t> </w:t>
            </w:r>
          </w:p>
        </w:tc>
        <w:tc>
          <w:tcPr>
            <w:tcW w:w="1349" w:type="dxa"/>
            <w:tcBorders>
              <w:top w:val="nil"/>
              <w:left w:val="nil"/>
              <w:bottom w:val="single" w:sz="4" w:space="0" w:color="auto"/>
              <w:right w:val="nil"/>
            </w:tcBorders>
            <w:shd w:val="clear" w:color="auto" w:fill="auto"/>
            <w:noWrap/>
            <w:vAlign w:val="bottom"/>
            <w:hideMark/>
          </w:tcPr>
          <w:p w:rsidR="006F1FA3" w:rsidRPr="006F1FA3" w:rsidRDefault="006F1FA3" w:rsidP="006F1FA3">
            <w:pPr>
              <w:overflowPunct/>
              <w:autoSpaceDE/>
              <w:autoSpaceDN/>
              <w:adjustRightInd/>
              <w:spacing w:line="240" w:lineRule="auto"/>
              <w:jc w:val="right"/>
              <w:textAlignment w:val="auto"/>
              <w:rPr>
                <w:rFonts w:ascii="Arial" w:hAnsi="Arial" w:cs="Arial"/>
                <w:sz w:val="20"/>
                <w:lang w:val="en-US"/>
              </w:rPr>
            </w:pPr>
            <w:r w:rsidRPr="006F1FA3">
              <w:rPr>
                <w:rFonts w:ascii="Arial" w:hAnsi="Arial" w:cs="Arial"/>
                <w:sz w:val="20"/>
                <w:lang w:val="en-US"/>
              </w:rPr>
              <w:t> </w:t>
            </w:r>
          </w:p>
        </w:tc>
        <w:tc>
          <w:tcPr>
            <w:tcW w:w="1231" w:type="dxa"/>
            <w:tcBorders>
              <w:top w:val="nil"/>
              <w:left w:val="nil"/>
              <w:bottom w:val="single" w:sz="4" w:space="0" w:color="auto"/>
              <w:right w:val="single" w:sz="4" w:space="0" w:color="auto"/>
            </w:tcBorders>
            <w:shd w:val="clear" w:color="auto" w:fill="auto"/>
            <w:noWrap/>
            <w:vAlign w:val="bottom"/>
            <w:hideMark/>
          </w:tcPr>
          <w:p w:rsidR="006F1FA3" w:rsidRPr="006F1FA3" w:rsidRDefault="006F1FA3" w:rsidP="006F1FA3">
            <w:pPr>
              <w:overflowPunct/>
              <w:autoSpaceDE/>
              <w:autoSpaceDN/>
              <w:adjustRightInd/>
              <w:spacing w:line="240" w:lineRule="auto"/>
              <w:jc w:val="right"/>
              <w:textAlignment w:val="auto"/>
              <w:rPr>
                <w:rFonts w:ascii="Arial" w:hAnsi="Arial" w:cs="Arial"/>
                <w:sz w:val="20"/>
                <w:lang w:val="en-US"/>
              </w:rPr>
            </w:pPr>
            <w:r w:rsidRPr="006F1FA3">
              <w:rPr>
                <w:rFonts w:ascii="Arial" w:hAnsi="Arial" w:cs="Arial"/>
                <w:sz w:val="20"/>
                <w:lang w:val="en-US"/>
              </w:rPr>
              <w:t> </w:t>
            </w:r>
          </w:p>
        </w:tc>
      </w:tr>
    </w:tbl>
    <w:p w:rsidR="002A3441" w:rsidRDefault="002A3441" w:rsidP="002A3441">
      <w:pPr>
        <w:pStyle w:val="000"/>
        <w:rPr>
          <w:rFonts w:cs="Arial"/>
          <w:b/>
          <w:sz w:val="28"/>
        </w:rPr>
      </w:pPr>
    </w:p>
    <w:p w:rsidR="00D85615" w:rsidRDefault="00D85615" w:rsidP="002A3441">
      <w:pPr>
        <w:pStyle w:val="000"/>
        <w:rPr>
          <w:rFonts w:cs="Arial"/>
          <w:b/>
          <w:sz w:val="28"/>
        </w:rPr>
      </w:pPr>
    </w:p>
    <w:p w:rsidR="00D85615" w:rsidRDefault="00D85615" w:rsidP="002A3441">
      <w:pPr>
        <w:pStyle w:val="000"/>
        <w:rPr>
          <w:rFonts w:cs="Arial"/>
          <w:b/>
          <w:sz w:val="28"/>
        </w:rPr>
      </w:pPr>
    </w:p>
    <w:p w:rsidR="00D85615" w:rsidRDefault="00D85615" w:rsidP="002A3441">
      <w:pPr>
        <w:pStyle w:val="000"/>
      </w:pPr>
    </w:p>
    <w:p w:rsidR="002A3441" w:rsidRDefault="002A3441" w:rsidP="002A3441">
      <w:pPr>
        <w:pStyle w:val="000"/>
      </w:pPr>
    </w:p>
    <w:p w:rsidR="002A3441" w:rsidRPr="002A3441" w:rsidRDefault="002A3441" w:rsidP="002A3441">
      <w:pPr>
        <w:pStyle w:val="000"/>
      </w:pPr>
    </w:p>
    <w:p w:rsidR="000E49DE" w:rsidRDefault="001D24F8" w:rsidP="000E49DE">
      <w:pPr>
        <w:pStyle w:val="081"/>
        <w:rPr>
          <w:rFonts w:cs="Arial"/>
          <w:bCs/>
          <w:color w:val="FF0000"/>
        </w:rPr>
      </w:pPr>
      <w:r w:rsidRPr="009049AB">
        <w:rPr>
          <w:rFonts w:cs="Arial"/>
        </w:rPr>
        <w:lastRenderedPageBreak/>
        <w:t xml:space="preserve">7. </w:t>
      </w:r>
      <w:r w:rsidR="000E49DE" w:rsidRPr="009049AB">
        <w:rPr>
          <w:rFonts w:cs="Arial"/>
        </w:rPr>
        <w:t>Gross interest margin</w:t>
      </w:r>
      <w:r w:rsidR="006B70F9">
        <w:t xml:space="preserve"> </w:t>
      </w:r>
    </w:p>
    <w:p w:rsidR="006F1FA3" w:rsidRDefault="006F1FA3" w:rsidP="006F1FA3">
      <w:pPr>
        <w:pStyle w:val="Style000"/>
        <w:rPr>
          <w:rFonts w:cs="Arial"/>
        </w:rPr>
      </w:pPr>
      <w:r>
        <w:rPr>
          <w:rFonts w:cs="Arial"/>
        </w:rPr>
        <w:t>Gross interest margin represents the interest income and expense related to the amounts receivable from group companies and bonds and private placements.</w:t>
      </w:r>
    </w:p>
    <w:p w:rsidR="006F1FA3" w:rsidRPr="006F1FA3" w:rsidRDefault="006F1FA3" w:rsidP="006F1FA3">
      <w:pPr>
        <w:pStyle w:val="Style000"/>
        <w:rPr>
          <w:rFonts w:cs="Arial"/>
        </w:rPr>
      </w:pPr>
    </w:p>
    <w:tbl>
      <w:tblPr>
        <w:tblW w:w="9153" w:type="dxa"/>
        <w:tblInd w:w="103" w:type="dxa"/>
        <w:tblLook w:val="04A0"/>
      </w:tblPr>
      <w:tblGrid>
        <w:gridCol w:w="3460"/>
        <w:gridCol w:w="367"/>
        <w:gridCol w:w="1250"/>
        <w:gridCol w:w="1172"/>
        <w:gridCol w:w="347"/>
        <w:gridCol w:w="1337"/>
        <w:gridCol w:w="1220"/>
      </w:tblGrid>
      <w:tr w:rsidR="00B66938" w:rsidRPr="006F1FA3" w:rsidTr="00B66938">
        <w:trPr>
          <w:trHeight w:val="271"/>
        </w:trPr>
        <w:tc>
          <w:tcPr>
            <w:tcW w:w="3460" w:type="dxa"/>
            <w:tcBorders>
              <w:top w:val="single" w:sz="4" w:space="0" w:color="auto"/>
              <w:left w:val="single" w:sz="4" w:space="0" w:color="auto"/>
              <w:bottom w:val="single" w:sz="4" w:space="0" w:color="auto"/>
              <w:right w:val="nil"/>
            </w:tcBorders>
            <w:shd w:val="clear" w:color="auto" w:fill="auto"/>
            <w:noWrap/>
            <w:vAlign w:val="bottom"/>
            <w:hideMark/>
          </w:tcPr>
          <w:p w:rsidR="006F1FA3" w:rsidRPr="006F1FA3" w:rsidRDefault="006F1FA3" w:rsidP="006F1FA3">
            <w:pPr>
              <w:overflowPunct/>
              <w:autoSpaceDE/>
              <w:autoSpaceDN/>
              <w:adjustRightInd/>
              <w:spacing w:line="240" w:lineRule="auto"/>
              <w:textAlignment w:val="auto"/>
              <w:rPr>
                <w:rFonts w:ascii="Arial" w:hAnsi="Arial" w:cs="Arial"/>
                <w:i/>
                <w:iCs/>
                <w:sz w:val="20"/>
                <w:lang w:val="en-US"/>
              </w:rPr>
            </w:pPr>
            <w:r w:rsidRPr="006F1FA3">
              <w:rPr>
                <w:rFonts w:ascii="Arial" w:hAnsi="Arial" w:cs="Arial"/>
                <w:i/>
                <w:iCs/>
                <w:sz w:val="20"/>
                <w:lang w:val="en-US"/>
              </w:rPr>
              <w:t> </w:t>
            </w:r>
          </w:p>
        </w:tc>
        <w:tc>
          <w:tcPr>
            <w:tcW w:w="367" w:type="dxa"/>
            <w:tcBorders>
              <w:top w:val="single" w:sz="4" w:space="0" w:color="auto"/>
              <w:left w:val="nil"/>
              <w:bottom w:val="nil"/>
              <w:right w:val="nil"/>
            </w:tcBorders>
            <w:shd w:val="clear" w:color="auto" w:fill="auto"/>
            <w:noWrap/>
            <w:vAlign w:val="bottom"/>
            <w:hideMark/>
          </w:tcPr>
          <w:p w:rsidR="006F1FA3" w:rsidRPr="006F1FA3" w:rsidRDefault="006F1FA3" w:rsidP="006F1FA3">
            <w:pPr>
              <w:overflowPunct/>
              <w:autoSpaceDE/>
              <w:autoSpaceDN/>
              <w:adjustRightInd/>
              <w:spacing w:line="240" w:lineRule="auto"/>
              <w:textAlignment w:val="auto"/>
              <w:rPr>
                <w:rFonts w:ascii="Arial" w:hAnsi="Arial" w:cs="Arial"/>
                <w:i/>
                <w:iCs/>
                <w:sz w:val="20"/>
                <w:lang w:val="en-US"/>
              </w:rPr>
            </w:pPr>
            <w:r w:rsidRPr="006F1FA3">
              <w:rPr>
                <w:rFonts w:ascii="Arial" w:hAnsi="Arial" w:cs="Arial"/>
                <w:i/>
                <w:iCs/>
                <w:sz w:val="20"/>
                <w:lang w:val="en-US"/>
              </w:rPr>
              <w:t> </w:t>
            </w:r>
          </w:p>
        </w:tc>
        <w:tc>
          <w:tcPr>
            <w:tcW w:w="2422" w:type="dxa"/>
            <w:gridSpan w:val="2"/>
            <w:tcBorders>
              <w:top w:val="single" w:sz="4" w:space="0" w:color="auto"/>
              <w:left w:val="nil"/>
              <w:bottom w:val="single" w:sz="4" w:space="0" w:color="auto"/>
              <w:right w:val="nil"/>
            </w:tcBorders>
            <w:shd w:val="clear" w:color="auto" w:fill="auto"/>
            <w:vAlign w:val="bottom"/>
            <w:hideMark/>
          </w:tcPr>
          <w:p w:rsidR="006F1FA3" w:rsidRPr="006F1FA3" w:rsidRDefault="006F1FA3" w:rsidP="006F1FA3">
            <w:pPr>
              <w:overflowPunct/>
              <w:autoSpaceDE/>
              <w:autoSpaceDN/>
              <w:adjustRightInd/>
              <w:spacing w:line="240" w:lineRule="auto"/>
              <w:jc w:val="center"/>
              <w:textAlignment w:val="auto"/>
              <w:rPr>
                <w:rFonts w:ascii="Arial" w:hAnsi="Arial" w:cs="Arial"/>
                <w:sz w:val="20"/>
                <w:lang w:val="en-US"/>
              </w:rPr>
            </w:pPr>
            <w:r w:rsidRPr="006F1FA3">
              <w:rPr>
                <w:rFonts w:ascii="Arial" w:hAnsi="Arial" w:cs="Arial"/>
                <w:sz w:val="20"/>
                <w:lang w:val="en-US"/>
              </w:rPr>
              <w:t>2011</w:t>
            </w:r>
          </w:p>
        </w:tc>
        <w:tc>
          <w:tcPr>
            <w:tcW w:w="347" w:type="dxa"/>
            <w:tcBorders>
              <w:top w:val="single" w:sz="4" w:space="0" w:color="auto"/>
              <w:left w:val="nil"/>
              <w:bottom w:val="nil"/>
              <w:right w:val="nil"/>
            </w:tcBorders>
            <w:shd w:val="clear" w:color="auto" w:fill="auto"/>
            <w:noWrap/>
            <w:vAlign w:val="bottom"/>
            <w:hideMark/>
          </w:tcPr>
          <w:p w:rsidR="006F1FA3" w:rsidRPr="006F1FA3" w:rsidRDefault="006F1FA3" w:rsidP="006F1FA3">
            <w:pPr>
              <w:overflowPunct/>
              <w:autoSpaceDE/>
              <w:autoSpaceDN/>
              <w:adjustRightInd/>
              <w:spacing w:line="240" w:lineRule="auto"/>
              <w:jc w:val="center"/>
              <w:textAlignment w:val="auto"/>
              <w:rPr>
                <w:rFonts w:ascii="Arial" w:hAnsi="Arial" w:cs="Arial"/>
                <w:sz w:val="20"/>
                <w:lang w:val="en-US"/>
              </w:rPr>
            </w:pPr>
            <w:r w:rsidRPr="006F1FA3">
              <w:rPr>
                <w:rFonts w:ascii="Arial" w:hAnsi="Arial" w:cs="Arial"/>
                <w:sz w:val="20"/>
                <w:lang w:val="en-US"/>
              </w:rPr>
              <w:t> </w:t>
            </w:r>
          </w:p>
        </w:tc>
        <w:tc>
          <w:tcPr>
            <w:tcW w:w="2557" w:type="dxa"/>
            <w:gridSpan w:val="2"/>
            <w:tcBorders>
              <w:top w:val="single" w:sz="4" w:space="0" w:color="auto"/>
              <w:left w:val="nil"/>
              <w:bottom w:val="single" w:sz="4" w:space="0" w:color="auto"/>
              <w:right w:val="single" w:sz="4" w:space="0" w:color="000000"/>
            </w:tcBorders>
            <w:shd w:val="clear" w:color="auto" w:fill="auto"/>
            <w:vAlign w:val="bottom"/>
            <w:hideMark/>
          </w:tcPr>
          <w:p w:rsidR="006F1FA3" w:rsidRPr="006F1FA3" w:rsidRDefault="006F1FA3" w:rsidP="006F1FA3">
            <w:pPr>
              <w:overflowPunct/>
              <w:autoSpaceDE/>
              <w:autoSpaceDN/>
              <w:adjustRightInd/>
              <w:spacing w:line="240" w:lineRule="auto"/>
              <w:jc w:val="center"/>
              <w:textAlignment w:val="auto"/>
              <w:rPr>
                <w:rFonts w:ascii="Arial" w:hAnsi="Arial" w:cs="Arial"/>
                <w:sz w:val="20"/>
                <w:lang w:val="en-US"/>
              </w:rPr>
            </w:pPr>
            <w:r w:rsidRPr="006F1FA3">
              <w:rPr>
                <w:rFonts w:ascii="Arial" w:hAnsi="Arial" w:cs="Arial"/>
                <w:sz w:val="20"/>
                <w:lang w:val="en-US"/>
              </w:rPr>
              <w:t>2010</w:t>
            </w:r>
          </w:p>
        </w:tc>
      </w:tr>
      <w:tr w:rsidR="00B66938" w:rsidRPr="006F1FA3" w:rsidTr="00B66938">
        <w:trPr>
          <w:trHeight w:val="271"/>
        </w:trPr>
        <w:tc>
          <w:tcPr>
            <w:tcW w:w="3460" w:type="dxa"/>
            <w:tcBorders>
              <w:top w:val="nil"/>
              <w:left w:val="single" w:sz="4" w:space="0" w:color="auto"/>
              <w:bottom w:val="nil"/>
              <w:right w:val="nil"/>
            </w:tcBorders>
            <w:shd w:val="clear" w:color="auto" w:fill="auto"/>
            <w:hideMark/>
          </w:tcPr>
          <w:p w:rsidR="006F1FA3" w:rsidRPr="006F1FA3" w:rsidRDefault="006F1FA3" w:rsidP="006F1FA3">
            <w:pPr>
              <w:overflowPunct/>
              <w:autoSpaceDE/>
              <w:autoSpaceDN/>
              <w:adjustRightInd/>
              <w:spacing w:line="240" w:lineRule="auto"/>
              <w:textAlignment w:val="auto"/>
              <w:rPr>
                <w:rFonts w:ascii="Arial" w:hAnsi="Arial" w:cs="Arial"/>
                <w:sz w:val="16"/>
                <w:szCs w:val="16"/>
                <w:lang w:val="en-US"/>
              </w:rPr>
            </w:pPr>
            <w:r w:rsidRPr="006F1FA3">
              <w:rPr>
                <w:rFonts w:ascii="Arial" w:hAnsi="Arial" w:cs="Arial"/>
                <w:sz w:val="16"/>
                <w:szCs w:val="16"/>
                <w:lang w:val="en-US"/>
              </w:rPr>
              <w:t>(in thousands of USD)</w:t>
            </w:r>
          </w:p>
        </w:tc>
        <w:tc>
          <w:tcPr>
            <w:tcW w:w="367" w:type="dxa"/>
            <w:tcBorders>
              <w:top w:val="nil"/>
              <w:left w:val="nil"/>
              <w:bottom w:val="nil"/>
              <w:right w:val="nil"/>
            </w:tcBorders>
            <w:shd w:val="clear" w:color="auto" w:fill="auto"/>
            <w:noWrap/>
            <w:hideMark/>
          </w:tcPr>
          <w:p w:rsidR="006F1FA3" w:rsidRPr="006F1FA3" w:rsidRDefault="006F1FA3" w:rsidP="006F1FA3">
            <w:pPr>
              <w:overflowPunct/>
              <w:autoSpaceDE/>
              <w:autoSpaceDN/>
              <w:adjustRightInd/>
              <w:spacing w:line="240" w:lineRule="auto"/>
              <w:textAlignment w:val="auto"/>
              <w:rPr>
                <w:rFonts w:ascii="Arial" w:hAnsi="Arial" w:cs="Arial"/>
                <w:sz w:val="20"/>
                <w:lang w:val="en-US"/>
              </w:rPr>
            </w:pPr>
          </w:p>
        </w:tc>
        <w:tc>
          <w:tcPr>
            <w:tcW w:w="1250" w:type="dxa"/>
            <w:tcBorders>
              <w:top w:val="nil"/>
              <w:left w:val="nil"/>
              <w:bottom w:val="nil"/>
              <w:right w:val="nil"/>
            </w:tcBorders>
            <w:shd w:val="clear" w:color="auto" w:fill="auto"/>
            <w:noWrap/>
            <w:hideMark/>
          </w:tcPr>
          <w:p w:rsidR="006F1FA3" w:rsidRPr="006F1FA3" w:rsidRDefault="006F1FA3" w:rsidP="006F1FA3">
            <w:pPr>
              <w:overflowPunct/>
              <w:autoSpaceDE/>
              <w:autoSpaceDN/>
              <w:adjustRightInd/>
              <w:spacing w:line="240" w:lineRule="auto"/>
              <w:textAlignment w:val="auto"/>
              <w:rPr>
                <w:rFonts w:ascii="Arial" w:hAnsi="Arial" w:cs="Arial"/>
                <w:sz w:val="20"/>
                <w:lang w:val="en-US"/>
              </w:rPr>
            </w:pPr>
          </w:p>
        </w:tc>
        <w:tc>
          <w:tcPr>
            <w:tcW w:w="1172" w:type="dxa"/>
            <w:tcBorders>
              <w:top w:val="nil"/>
              <w:left w:val="nil"/>
              <w:bottom w:val="nil"/>
              <w:right w:val="nil"/>
            </w:tcBorders>
            <w:shd w:val="clear" w:color="auto" w:fill="auto"/>
            <w:noWrap/>
            <w:hideMark/>
          </w:tcPr>
          <w:p w:rsidR="006F1FA3" w:rsidRPr="006F1FA3" w:rsidRDefault="006F1FA3" w:rsidP="006F1FA3">
            <w:pPr>
              <w:overflowPunct/>
              <w:autoSpaceDE/>
              <w:autoSpaceDN/>
              <w:adjustRightInd/>
              <w:spacing w:line="240" w:lineRule="auto"/>
              <w:textAlignment w:val="auto"/>
              <w:rPr>
                <w:rFonts w:ascii="Arial" w:hAnsi="Arial" w:cs="Arial"/>
                <w:sz w:val="20"/>
                <w:lang w:val="en-US"/>
              </w:rPr>
            </w:pPr>
          </w:p>
        </w:tc>
        <w:tc>
          <w:tcPr>
            <w:tcW w:w="347" w:type="dxa"/>
            <w:tcBorders>
              <w:top w:val="nil"/>
              <w:left w:val="nil"/>
              <w:bottom w:val="nil"/>
              <w:right w:val="nil"/>
            </w:tcBorders>
            <w:shd w:val="clear" w:color="auto" w:fill="auto"/>
            <w:noWrap/>
            <w:hideMark/>
          </w:tcPr>
          <w:p w:rsidR="006F1FA3" w:rsidRPr="006F1FA3" w:rsidRDefault="006F1FA3" w:rsidP="006F1FA3">
            <w:pPr>
              <w:overflowPunct/>
              <w:autoSpaceDE/>
              <w:autoSpaceDN/>
              <w:adjustRightInd/>
              <w:spacing w:line="240" w:lineRule="auto"/>
              <w:textAlignment w:val="auto"/>
              <w:rPr>
                <w:rFonts w:ascii="Arial" w:hAnsi="Arial" w:cs="Arial"/>
                <w:sz w:val="20"/>
                <w:lang w:val="en-US"/>
              </w:rPr>
            </w:pPr>
          </w:p>
        </w:tc>
        <w:tc>
          <w:tcPr>
            <w:tcW w:w="1337" w:type="dxa"/>
            <w:tcBorders>
              <w:top w:val="nil"/>
              <w:left w:val="nil"/>
              <w:bottom w:val="nil"/>
              <w:right w:val="nil"/>
            </w:tcBorders>
            <w:shd w:val="clear" w:color="auto" w:fill="auto"/>
            <w:noWrap/>
            <w:vAlign w:val="bottom"/>
            <w:hideMark/>
          </w:tcPr>
          <w:p w:rsidR="006F1FA3" w:rsidRPr="006F1FA3" w:rsidRDefault="006F1FA3" w:rsidP="006F1FA3">
            <w:pPr>
              <w:overflowPunct/>
              <w:autoSpaceDE/>
              <w:autoSpaceDN/>
              <w:adjustRightInd/>
              <w:spacing w:line="240" w:lineRule="auto"/>
              <w:jc w:val="right"/>
              <w:textAlignment w:val="auto"/>
              <w:rPr>
                <w:rFonts w:ascii="Arial" w:hAnsi="Arial" w:cs="Arial"/>
                <w:sz w:val="20"/>
                <w:lang w:val="en-US"/>
              </w:rPr>
            </w:pPr>
          </w:p>
        </w:tc>
        <w:tc>
          <w:tcPr>
            <w:tcW w:w="1220" w:type="dxa"/>
            <w:tcBorders>
              <w:top w:val="nil"/>
              <w:left w:val="nil"/>
              <w:bottom w:val="nil"/>
              <w:right w:val="single" w:sz="4" w:space="0" w:color="auto"/>
            </w:tcBorders>
            <w:shd w:val="clear" w:color="auto" w:fill="auto"/>
            <w:noWrap/>
            <w:vAlign w:val="bottom"/>
            <w:hideMark/>
          </w:tcPr>
          <w:p w:rsidR="006F1FA3" w:rsidRPr="006F1FA3" w:rsidRDefault="006F1FA3" w:rsidP="006F1FA3">
            <w:pPr>
              <w:overflowPunct/>
              <w:autoSpaceDE/>
              <w:autoSpaceDN/>
              <w:adjustRightInd/>
              <w:spacing w:line="240" w:lineRule="auto"/>
              <w:jc w:val="right"/>
              <w:textAlignment w:val="auto"/>
              <w:rPr>
                <w:rFonts w:ascii="Arial" w:hAnsi="Arial" w:cs="Arial"/>
                <w:sz w:val="20"/>
                <w:lang w:val="en-US"/>
              </w:rPr>
            </w:pPr>
            <w:r w:rsidRPr="006F1FA3">
              <w:rPr>
                <w:rFonts w:ascii="Arial" w:hAnsi="Arial" w:cs="Arial"/>
                <w:sz w:val="20"/>
                <w:lang w:val="en-US"/>
              </w:rPr>
              <w:t> </w:t>
            </w:r>
          </w:p>
        </w:tc>
      </w:tr>
      <w:tr w:rsidR="00B66938" w:rsidRPr="006F1FA3" w:rsidTr="00B66938">
        <w:trPr>
          <w:trHeight w:val="271"/>
        </w:trPr>
        <w:tc>
          <w:tcPr>
            <w:tcW w:w="3460" w:type="dxa"/>
            <w:tcBorders>
              <w:top w:val="nil"/>
              <w:left w:val="single" w:sz="4" w:space="0" w:color="auto"/>
              <w:bottom w:val="nil"/>
              <w:right w:val="nil"/>
            </w:tcBorders>
            <w:shd w:val="clear" w:color="auto" w:fill="auto"/>
            <w:noWrap/>
            <w:hideMark/>
          </w:tcPr>
          <w:p w:rsidR="006F1FA3" w:rsidRPr="006F1FA3" w:rsidRDefault="006F1FA3" w:rsidP="006F1FA3">
            <w:pPr>
              <w:overflowPunct/>
              <w:autoSpaceDE/>
              <w:autoSpaceDN/>
              <w:adjustRightInd/>
              <w:spacing w:line="240" w:lineRule="auto"/>
              <w:textAlignment w:val="auto"/>
              <w:rPr>
                <w:rFonts w:ascii="Arial" w:hAnsi="Arial" w:cs="Arial"/>
                <w:sz w:val="20"/>
                <w:lang w:val="en-US"/>
              </w:rPr>
            </w:pPr>
            <w:r w:rsidRPr="006F1FA3">
              <w:rPr>
                <w:rFonts w:ascii="Arial" w:hAnsi="Arial" w:cs="Arial"/>
                <w:sz w:val="20"/>
                <w:lang w:val="en-US"/>
              </w:rPr>
              <w:t>Interest income from group companies</w:t>
            </w:r>
          </w:p>
        </w:tc>
        <w:tc>
          <w:tcPr>
            <w:tcW w:w="367" w:type="dxa"/>
            <w:tcBorders>
              <w:top w:val="nil"/>
              <w:left w:val="nil"/>
              <w:bottom w:val="nil"/>
              <w:right w:val="nil"/>
            </w:tcBorders>
            <w:shd w:val="clear" w:color="auto" w:fill="auto"/>
            <w:noWrap/>
            <w:hideMark/>
          </w:tcPr>
          <w:p w:rsidR="006F1FA3" w:rsidRPr="006F1FA3" w:rsidRDefault="006F1FA3" w:rsidP="006F1FA3">
            <w:pPr>
              <w:overflowPunct/>
              <w:autoSpaceDE/>
              <w:autoSpaceDN/>
              <w:adjustRightInd/>
              <w:spacing w:line="240" w:lineRule="auto"/>
              <w:textAlignment w:val="auto"/>
              <w:rPr>
                <w:rFonts w:ascii="Arial" w:hAnsi="Arial" w:cs="Arial"/>
                <w:sz w:val="20"/>
                <w:lang w:val="en-US"/>
              </w:rPr>
            </w:pPr>
          </w:p>
        </w:tc>
        <w:tc>
          <w:tcPr>
            <w:tcW w:w="1250" w:type="dxa"/>
            <w:tcBorders>
              <w:top w:val="nil"/>
              <w:left w:val="nil"/>
              <w:bottom w:val="nil"/>
              <w:right w:val="nil"/>
            </w:tcBorders>
            <w:shd w:val="clear" w:color="auto" w:fill="auto"/>
            <w:noWrap/>
            <w:vAlign w:val="bottom"/>
            <w:hideMark/>
          </w:tcPr>
          <w:p w:rsidR="006F1FA3" w:rsidRPr="006F1FA3" w:rsidRDefault="006F1FA3" w:rsidP="006F1FA3">
            <w:pPr>
              <w:overflowPunct/>
              <w:autoSpaceDE/>
              <w:autoSpaceDN/>
              <w:adjustRightInd/>
              <w:spacing w:line="240" w:lineRule="auto"/>
              <w:jc w:val="right"/>
              <w:textAlignment w:val="auto"/>
              <w:rPr>
                <w:rFonts w:ascii="Arial" w:hAnsi="Arial" w:cs="Arial"/>
                <w:sz w:val="20"/>
                <w:lang w:val="en-US"/>
              </w:rPr>
            </w:pPr>
            <w:r w:rsidRPr="006F1FA3">
              <w:rPr>
                <w:rFonts w:ascii="Arial" w:hAnsi="Arial" w:cs="Arial"/>
                <w:sz w:val="20"/>
                <w:lang w:val="en-US"/>
              </w:rPr>
              <w:t xml:space="preserve">       116'821 </w:t>
            </w:r>
          </w:p>
        </w:tc>
        <w:tc>
          <w:tcPr>
            <w:tcW w:w="1172" w:type="dxa"/>
            <w:tcBorders>
              <w:top w:val="nil"/>
              <w:left w:val="nil"/>
              <w:bottom w:val="nil"/>
              <w:right w:val="nil"/>
            </w:tcBorders>
            <w:shd w:val="clear" w:color="auto" w:fill="auto"/>
            <w:noWrap/>
            <w:vAlign w:val="bottom"/>
            <w:hideMark/>
          </w:tcPr>
          <w:p w:rsidR="006F1FA3" w:rsidRPr="006F1FA3" w:rsidRDefault="006F1FA3" w:rsidP="006F1FA3">
            <w:pPr>
              <w:overflowPunct/>
              <w:autoSpaceDE/>
              <w:autoSpaceDN/>
              <w:adjustRightInd/>
              <w:spacing w:line="240" w:lineRule="auto"/>
              <w:jc w:val="center"/>
              <w:textAlignment w:val="auto"/>
              <w:rPr>
                <w:rFonts w:ascii="Arial" w:hAnsi="Arial" w:cs="Arial"/>
                <w:sz w:val="20"/>
                <w:lang w:val="en-US"/>
              </w:rPr>
            </w:pPr>
          </w:p>
        </w:tc>
        <w:tc>
          <w:tcPr>
            <w:tcW w:w="347" w:type="dxa"/>
            <w:tcBorders>
              <w:top w:val="nil"/>
              <w:left w:val="nil"/>
              <w:bottom w:val="nil"/>
              <w:right w:val="nil"/>
            </w:tcBorders>
            <w:shd w:val="clear" w:color="auto" w:fill="auto"/>
            <w:noWrap/>
            <w:vAlign w:val="bottom"/>
            <w:hideMark/>
          </w:tcPr>
          <w:p w:rsidR="006F1FA3" w:rsidRPr="006F1FA3" w:rsidRDefault="006F1FA3" w:rsidP="006F1FA3">
            <w:pPr>
              <w:overflowPunct/>
              <w:autoSpaceDE/>
              <w:autoSpaceDN/>
              <w:adjustRightInd/>
              <w:spacing w:line="240" w:lineRule="auto"/>
              <w:jc w:val="center"/>
              <w:textAlignment w:val="auto"/>
              <w:rPr>
                <w:rFonts w:ascii="Arial" w:hAnsi="Arial" w:cs="Arial"/>
                <w:sz w:val="20"/>
                <w:lang w:val="en-US"/>
              </w:rPr>
            </w:pPr>
          </w:p>
        </w:tc>
        <w:tc>
          <w:tcPr>
            <w:tcW w:w="1337" w:type="dxa"/>
            <w:tcBorders>
              <w:top w:val="nil"/>
              <w:left w:val="nil"/>
              <w:bottom w:val="nil"/>
              <w:right w:val="nil"/>
            </w:tcBorders>
            <w:shd w:val="clear" w:color="auto" w:fill="auto"/>
            <w:noWrap/>
            <w:vAlign w:val="bottom"/>
            <w:hideMark/>
          </w:tcPr>
          <w:p w:rsidR="006F1FA3" w:rsidRPr="006F1FA3" w:rsidRDefault="006F1FA3" w:rsidP="006F1FA3">
            <w:pPr>
              <w:overflowPunct/>
              <w:autoSpaceDE/>
              <w:autoSpaceDN/>
              <w:adjustRightInd/>
              <w:spacing w:line="240" w:lineRule="auto"/>
              <w:jc w:val="right"/>
              <w:textAlignment w:val="auto"/>
              <w:rPr>
                <w:rFonts w:ascii="Arial" w:hAnsi="Arial" w:cs="Arial"/>
                <w:sz w:val="20"/>
                <w:lang w:val="en-US"/>
              </w:rPr>
            </w:pPr>
            <w:r w:rsidRPr="006F1FA3">
              <w:rPr>
                <w:rFonts w:ascii="Arial" w:hAnsi="Arial" w:cs="Arial"/>
                <w:sz w:val="20"/>
                <w:lang w:val="en-US"/>
              </w:rPr>
              <w:t xml:space="preserve">         135'646 </w:t>
            </w:r>
          </w:p>
        </w:tc>
        <w:tc>
          <w:tcPr>
            <w:tcW w:w="1220" w:type="dxa"/>
            <w:tcBorders>
              <w:top w:val="nil"/>
              <w:left w:val="nil"/>
              <w:bottom w:val="nil"/>
              <w:right w:val="single" w:sz="4" w:space="0" w:color="auto"/>
            </w:tcBorders>
            <w:shd w:val="clear" w:color="auto" w:fill="auto"/>
            <w:noWrap/>
            <w:vAlign w:val="bottom"/>
            <w:hideMark/>
          </w:tcPr>
          <w:p w:rsidR="006F1FA3" w:rsidRPr="006F1FA3" w:rsidRDefault="006F1FA3" w:rsidP="006F1FA3">
            <w:pPr>
              <w:overflowPunct/>
              <w:autoSpaceDE/>
              <w:autoSpaceDN/>
              <w:adjustRightInd/>
              <w:spacing w:line="240" w:lineRule="auto"/>
              <w:textAlignment w:val="auto"/>
              <w:rPr>
                <w:rFonts w:ascii="Arial" w:hAnsi="Arial" w:cs="Arial"/>
                <w:sz w:val="20"/>
                <w:lang w:val="en-US"/>
              </w:rPr>
            </w:pPr>
            <w:r w:rsidRPr="006F1FA3">
              <w:rPr>
                <w:rFonts w:ascii="Arial" w:hAnsi="Arial" w:cs="Arial"/>
                <w:sz w:val="20"/>
                <w:lang w:val="en-US"/>
              </w:rPr>
              <w:t> </w:t>
            </w:r>
          </w:p>
        </w:tc>
      </w:tr>
      <w:tr w:rsidR="00B66938" w:rsidRPr="006F1FA3" w:rsidTr="00B66938">
        <w:trPr>
          <w:trHeight w:val="271"/>
        </w:trPr>
        <w:tc>
          <w:tcPr>
            <w:tcW w:w="3460" w:type="dxa"/>
            <w:tcBorders>
              <w:top w:val="nil"/>
              <w:left w:val="single" w:sz="4" w:space="0" w:color="auto"/>
              <w:bottom w:val="nil"/>
              <w:right w:val="nil"/>
            </w:tcBorders>
            <w:shd w:val="clear" w:color="auto" w:fill="auto"/>
            <w:noWrap/>
            <w:hideMark/>
          </w:tcPr>
          <w:p w:rsidR="006F1FA3" w:rsidRPr="006F1FA3" w:rsidRDefault="006F1FA3" w:rsidP="006F1FA3">
            <w:pPr>
              <w:overflowPunct/>
              <w:autoSpaceDE/>
              <w:autoSpaceDN/>
              <w:adjustRightInd/>
              <w:spacing w:line="240" w:lineRule="auto"/>
              <w:textAlignment w:val="auto"/>
              <w:rPr>
                <w:rFonts w:ascii="Arial" w:hAnsi="Arial" w:cs="Arial"/>
                <w:sz w:val="20"/>
                <w:lang w:val="en-US"/>
              </w:rPr>
            </w:pPr>
            <w:r w:rsidRPr="006F1FA3">
              <w:rPr>
                <w:rFonts w:ascii="Arial" w:hAnsi="Arial" w:cs="Arial"/>
                <w:sz w:val="20"/>
                <w:lang w:val="en-US"/>
              </w:rPr>
              <w:t>Interest expense to debt holders</w:t>
            </w:r>
          </w:p>
        </w:tc>
        <w:tc>
          <w:tcPr>
            <w:tcW w:w="367" w:type="dxa"/>
            <w:tcBorders>
              <w:top w:val="nil"/>
              <w:left w:val="nil"/>
              <w:bottom w:val="nil"/>
              <w:right w:val="nil"/>
            </w:tcBorders>
            <w:shd w:val="clear" w:color="auto" w:fill="auto"/>
            <w:noWrap/>
            <w:hideMark/>
          </w:tcPr>
          <w:p w:rsidR="006F1FA3" w:rsidRPr="006F1FA3" w:rsidRDefault="006F1FA3" w:rsidP="006F1FA3">
            <w:pPr>
              <w:overflowPunct/>
              <w:autoSpaceDE/>
              <w:autoSpaceDN/>
              <w:adjustRightInd/>
              <w:spacing w:line="240" w:lineRule="auto"/>
              <w:textAlignment w:val="auto"/>
              <w:rPr>
                <w:rFonts w:ascii="Arial" w:hAnsi="Arial" w:cs="Arial"/>
                <w:sz w:val="20"/>
                <w:lang w:val="en-US"/>
              </w:rPr>
            </w:pPr>
          </w:p>
        </w:tc>
        <w:tc>
          <w:tcPr>
            <w:tcW w:w="1250" w:type="dxa"/>
            <w:tcBorders>
              <w:top w:val="nil"/>
              <w:left w:val="nil"/>
              <w:bottom w:val="single" w:sz="4" w:space="0" w:color="auto"/>
              <w:right w:val="nil"/>
            </w:tcBorders>
            <w:shd w:val="clear" w:color="auto" w:fill="auto"/>
            <w:noWrap/>
            <w:vAlign w:val="bottom"/>
            <w:hideMark/>
          </w:tcPr>
          <w:p w:rsidR="006F1FA3" w:rsidRPr="006F1FA3" w:rsidRDefault="006F1FA3" w:rsidP="006F1FA3">
            <w:pPr>
              <w:overflowPunct/>
              <w:autoSpaceDE/>
              <w:autoSpaceDN/>
              <w:adjustRightInd/>
              <w:spacing w:line="240" w:lineRule="auto"/>
              <w:jc w:val="right"/>
              <w:textAlignment w:val="auto"/>
              <w:rPr>
                <w:rFonts w:ascii="Arial" w:hAnsi="Arial" w:cs="Arial"/>
                <w:sz w:val="20"/>
                <w:lang w:val="en-US"/>
              </w:rPr>
            </w:pPr>
            <w:r w:rsidRPr="006F1FA3">
              <w:rPr>
                <w:rFonts w:ascii="Arial" w:hAnsi="Arial" w:cs="Arial"/>
                <w:sz w:val="20"/>
                <w:lang w:val="en-US"/>
              </w:rPr>
              <w:t>( 116'083)</w:t>
            </w:r>
          </w:p>
        </w:tc>
        <w:tc>
          <w:tcPr>
            <w:tcW w:w="1172" w:type="dxa"/>
            <w:tcBorders>
              <w:top w:val="nil"/>
              <w:left w:val="nil"/>
              <w:bottom w:val="nil"/>
              <w:right w:val="nil"/>
            </w:tcBorders>
            <w:shd w:val="clear" w:color="auto" w:fill="auto"/>
            <w:noWrap/>
            <w:vAlign w:val="bottom"/>
            <w:hideMark/>
          </w:tcPr>
          <w:p w:rsidR="006F1FA3" w:rsidRPr="006F1FA3" w:rsidRDefault="006F1FA3" w:rsidP="006F1FA3">
            <w:pPr>
              <w:overflowPunct/>
              <w:autoSpaceDE/>
              <w:autoSpaceDN/>
              <w:adjustRightInd/>
              <w:spacing w:line="240" w:lineRule="auto"/>
              <w:jc w:val="center"/>
              <w:textAlignment w:val="auto"/>
              <w:rPr>
                <w:rFonts w:ascii="Arial" w:hAnsi="Arial" w:cs="Arial"/>
                <w:sz w:val="20"/>
                <w:lang w:val="en-US"/>
              </w:rPr>
            </w:pPr>
          </w:p>
        </w:tc>
        <w:tc>
          <w:tcPr>
            <w:tcW w:w="347" w:type="dxa"/>
            <w:tcBorders>
              <w:top w:val="nil"/>
              <w:left w:val="nil"/>
              <w:bottom w:val="nil"/>
              <w:right w:val="nil"/>
            </w:tcBorders>
            <w:shd w:val="clear" w:color="auto" w:fill="auto"/>
            <w:noWrap/>
            <w:vAlign w:val="bottom"/>
            <w:hideMark/>
          </w:tcPr>
          <w:p w:rsidR="006F1FA3" w:rsidRPr="006F1FA3" w:rsidRDefault="006F1FA3" w:rsidP="006F1FA3">
            <w:pPr>
              <w:overflowPunct/>
              <w:autoSpaceDE/>
              <w:autoSpaceDN/>
              <w:adjustRightInd/>
              <w:spacing w:line="240" w:lineRule="auto"/>
              <w:jc w:val="center"/>
              <w:textAlignment w:val="auto"/>
              <w:rPr>
                <w:rFonts w:ascii="Arial" w:hAnsi="Arial" w:cs="Arial"/>
                <w:sz w:val="20"/>
                <w:lang w:val="en-US"/>
              </w:rPr>
            </w:pPr>
          </w:p>
        </w:tc>
        <w:tc>
          <w:tcPr>
            <w:tcW w:w="1337" w:type="dxa"/>
            <w:tcBorders>
              <w:top w:val="nil"/>
              <w:left w:val="nil"/>
              <w:bottom w:val="single" w:sz="4" w:space="0" w:color="auto"/>
              <w:right w:val="nil"/>
            </w:tcBorders>
            <w:shd w:val="clear" w:color="auto" w:fill="auto"/>
            <w:noWrap/>
            <w:vAlign w:val="bottom"/>
            <w:hideMark/>
          </w:tcPr>
          <w:p w:rsidR="006F1FA3" w:rsidRPr="006F1FA3" w:rsidRDefault="006F1FA3" w:rsidP="006F1FA3">
            <w:pPr>
              <w:overflowPunct/>
              <w:autoSpaceDE/>
              <w:autoSpaceDN/>
              <w:adjustRightInd/>
              <w:spacing w:line="240" w:lineRule="auto"/>
              <w:jc w:val="right"/>
              <w:textAlignment w:val="auto"/>
              <w:rPr>
                <w:rFonts w:ascii="Arial" w:hAnsi="Arial" w:cs="Arial"/>
                <w:sz w:val="20"/>
                <w:lang w:val="en-US"/>
              </w:rPr>
            </w:pPr>
            <w:r w:rsidRPr="006F1FA3">
              <w:rPr>
                <w:rFonts w:ascii="Arial" w:hAnsi="Arial" w:cs="Arial"/>
                <w:sz w:val="20"/>
                <w:lang w:val="en-US"/>
              </w:rPr>
              <w:t>( 132'887)</w:t>
            </w:r>
          </w:p>
        </w:tc>
        <w:tc>
          <w:tcPr>
            <w:tcW w:w="1220" w:type="dxa"/>
            <w:tcBorders>
              <w:top w:val="nil"/>
              <w:left w:val="nil"/>
              <w:bottom w:val="nil"/>
              <w:right w:val="single" w:sz="4" w:space="0" w:color="auto"/>
            </w:tcBorders>
            <w:shd w:val="clear" w:color="auto" w:fill="auto"/>
            <w:noWrap/>
            <w:vAlign w:val="bottom"/>
            <w:hideMark/>
          </w:tcPr>
          <w:p w:rsidR="006F1FA3" w:rsidRPr="006F1FA3" w:rsidRDefault="006F1FA3" w:rsidP="006F1FA3">
            <w:pPr>
              <w:overflowPunct/>
              <w:autoSpaceDE/>
              <w:autoSpaceDN/>
              <w:adjustRightInd/>
              <w:spacing w:line="240" w:lineRule="auto"/>
              <w:jc w:val="right"/>
              <w:textAlignment w:val="auto"/>
              <w:rPr>
                <w:rFonts w:ascii="Arial" w:hAnsi="Arial" w:cs="Arial"/>
                <w:sz w:val="20"/>
                <w:lang w:val="en-US"/>
              </w:rPr>
            </w:pPr>
            <w:r w:rsidRPr="006F1FA3">
              <w:rPr>
                <w:rFonts w:ascii="Arial" w:hAnsi="Arial" w:cs="Arial"/>
                <w:sz w:val="20"/>
                <w:lang w:val="en-US"/>
              </w:rPr>
              <w:t> </w:t>
            </w:r>
          </w:p>
        </w:tc>
      </w:tr>
      <w:tr w:rsidR="00B66938" w:rsidRPr="006F1FA3" w:rsidTr="00B66938">
        <w:trPr>
          <w:trHeight w:val="271"/>
        </w:trPr>
        <w:tc>
          <w:tcPr>
            <w:tcW w:w="3460" w:type="dxa"/>
            <w:tcBorders>
              <w:top w:val="nil"/>
              <w:left w:val="single" w:sz="4" w:space="0" w:color="auto"/>
              <w:bottom w:val="nil"/>
              <w:right w:val="nil"/>
            </w:tcBorders>
            <w:shd w:val="clear" w:color="auto" w:fill="auto"/>
            <w:noWrap/>
            <w:vAlign w:val="bottom"/>
            <w:hideMark/>
          </w:tcPr>
          <w:p w:rsidR="006F1FA3" w:rsidRPr="006F1FA3" w:rsidRDefault="006F1FA3" w:rsidP="006F1FA3">
            <w:pPr>
              <w:overflowPunct/>
              <w:autoSpaceDE/>
              <w:autoSpaceDN/>
              <w:adjustRightInd/>
              <w:spacing w:line="240" w:lineRule="auto"/>
              <w:textAlignment w:val="auto"/>
              <w:rPr>
                <w:rFonts w:ascii="Arial" w:hAnsi="Arial" w:cs="Arial"/>
                <w:sz w:val="20"/>
                <w:lang w:val="en-US"/>
              </w:rPr>
            </w:pPr>
            <w:r w:rsidRPr="006F1FA3">
              <w:rPr>
                <w:rFonts w:ascii="Arial" w:hAnsi="Arial" w:cs="Arial"/>
                <w:sz w:val="20"/>
                <w:lang w:val="en-US"/>
              </w:rPr>
              <w:t> </w:t>
            </w:r>
          </w:p>
        </w:tc>
        <w:tc>
          <w:tcPr>
            <w:tcW w:w="367" w:type="dxa"/>
            <w:tcBorders>
              <w:top w:val="nil"/>
              <w:left w:val="nil"/>
              <w:bottom w:val="nil"/>
              <w:right w:val="nil"/>
            </w:tcBorders>
            <w:shd w:val="clear" w:color="auto" w:fill="auto"/>
            <w:noWrap/>
            <w:hideMark/>
          </w:tcPr>
          <w:p w:rsidR="006F1FA3" w:rsidRPr="006F1FA3" w:rsidRDefault="006F1FA3" w:rsidP="006F1FA3">
            <w:pPr>
              <w:overflowPunct/>
              <w:autoSpaceDE/>
              <w:autoSpaceDN/>
              <w:adjustRightInd/>
              <w:spacing w:line="240" w:lineRule="auto"/>
              <w:textAlignment w:val="auto"/>
              <w:rPr>
                <w:rFonts w:ascii="Arial" w:hAnsi="Arial" w:cs="Arial"/>
                <w:sz w:val="20"/>
                <w:lang w:val="en-US"/>
              </w:rPr>
            </w:pPr>
          </w:p>
        </w:tc>
        <w:tc>
          <w:tcPr>
            <w:tcW w:w="1250" w:type="dxa"/>
            <w:tcBorders>
              <w:top w:val="nil"/>
              <w:left w:val="nil"/>
              <w:bottom w:val="nil"/>
              <w:right w:val="nil"/>
            </w:tcBorders>
            <w:shd w:val="clear" w:color="auto" w:fill="auto"/>
            <w:noWrap/>
            <w:vAlign w:val="bottom"/>
            <w:hideMark/>
          </w:tcPr>
          <w:p w:rsidR="006F1FA3" w:rsidRPr="006F1FA3" w:rsidRDefault="006F1FA3" w:rsidP="006F1FA3">
            <w:pPr>
              <w:overflowPunct/>
              <w:autoSpaceDE/>
              <w:autoSpaceDN/>
              <w:adjustRightInd/>
              <w:spacing w:line="240" w:lineRule="auto"/>
              <w:jc w:val="center"/>
              <w:textAlignment w:val="auto"/>
              <w:rPr>
                <w:rFonts w:ascii="Arial" w:hAnsi="Arial" w:cs="Arial"/>
                <w:sz w:val="20"/>
                <w:lang w:val="en-US"/>
              </w:rPr>
            </w:pPr>
          </w:p>
        </w:tc>
        <w:tc>
          <w:tcPr>
            <w:tcW w:w="1172" w:type="dxa"/>
            <w:tcBorders>
              <w:top w:val="nil"/>
              <w:left w:val="nil"/>
              <w:bottom w:val="nil"/>
              <w:right w:val="nil"/>
            </w:tcBorders>
            <w:shd w:val="clear" w:color="auto" w:fill="auto"/>
            <w:noWrap/>
            <w:vAlign w:val="bottom"/>
            <w:hideMark/>
          </w:tcPr>
          <w:p w:rsidR="006F1FA3" w:rsidRPr="006F1FA3" w:rsidRDefault="006F1FA3" w:rsidP="006F1FA3">
            <w:pPr>
              <w:overflowPunct/>
              <w:autoSpaceDE/>
              <w:autoSpaceDN/>
              <w:adjustRightInd/>
              <w:spacing w:line="240" w:lineRule="auto"/>
              <w:jc w:val="center"/>
              <w:textAlignment w:val="auto"/>
              <w:rPr>
                <w:rFonts w:ascii="Arial" w:hAnsi="Arial" w:cs="Arial"/>
                <w:sz w:val="20"/>
                <w:lang w:val="en-US"/>
              </w:rPr>
            </w:pPr>
          </w:p>
        </w:tc>
        <w:tc>
          <w:tcPr>
            <w:tcW w:w="347" w:type="dxa"/>
            <w:tcBorders>
              <w:top w:val="nil"/>
              <w:left w:val="nil"/>
              <w:bottom w:val="nil"/>
              <w:right w:val="nil"/>
            </w:tcBorders>
            <w:shd w:val="clear" w:color="auto" w:fill="auto"/>
            <w:noWrap/>
            <w:vAlign w:val="bottom"/>
            <w:hideMark/>
          </w:tcPr>
          <w:p w:rsidR="006F1FA3" w:rsidRPr="006F1FA3" w:rsidRDefault="006F1FA3" w:rsidP="006F1FA3">
            <w:pPr>
              <w:overflowPunct/>
              <w:autoSpaceDE/>
              <w:autoSpaceDN/>
              <w:adjustRightInd/>
              <w:spacing w:line="240" w:lineRule="auto"/>
              <w:jc w:val="center"/>
              <w:textAlignment w:val="auto"/>
              <w:rPr>
                <w:rFonts w:ascii="Arial" w:hAnsi="Arial" w:cs="Arial"/>
                <w:sz w:val="20"/>
                <w:lang w:val="en-US"/>
              </w:rPr>
            </w:pPr>
          </w:p>
        </w:tc>
        <w:tc>
          <w:tcPr>
            <w:tcW w:w="1337" w:type="dxa"/>
            <w:tcBorders>
              <w:top w:val="nil"/>
              <w:left w:val="nil"/>
              <w:bottom w:val="nil"/>
              <w:right w:val="nil"/>
            </w:tcBorders>
            <w:shd w:val="clear" w:color="auto" w:fill="auto"/>
            <w:noWrap/>
            <w:vAlign w:val="bottom"/>
            <w:hideMark/>
          </w:tcPr>
          <w:p w:rsidR="006F1FA3" w:rsidRPr="006F1FA3" w:rsidRDefault="006F1FA3" w:rsidP="006F1FA3">
            <w:pPr>
              <w:overflowPunct/>
              <w:autoSpaceDE/>
              <w:autoSpaceDN/>
              <w:adjustRightInd/>
              <w:spacing w:line="240" w:lineRule="auto"/>
              <w:jc w:val="right"/>
              <w:textAlignment w:val="auto"/>
              <w:rPr>
                <w:rFonts w:ascii="Arial" w:hAnsi="Arial" w:cs="Arial"/>
                <w:sz w:val="20"/>
                <w:lang w:val="en-US"/>
              </w:rPr>
            </w:pPr>
          </w:p>
        </w:tc>
        <w:tc>
          <w:tcPr>
            <w:tcW w:w="1220" w:type="dxa"/>
            <w:tcBorders>
              <w:top w:val="nil"/>
              <w:left w:val="nil"/>
              <w:bottom w:val="nil"/>
              <w:right w:val="single" w:sz="4" w:space="0" w:color="auto"/>
            </w:tcBorders>
            <w:shd w:val="clear" w:color="auto" w:fill="auto"/>
            <w:noWrap/>
            <w:vAlign w:val="bottom"/>
            <w:hideMark/>
          </w:tcPr>
          <w:p w:rsidR="006F1FA3" w:rsidRPr="006F1FA3" w:rsidRDefault="006F1FA3" w:rsidP="006F1FA3">
            <w:pPr>
              <w:overflowPunct/>
              <w:autoSpaceDE/>
              <w:autoSpaceDN/>
              <w:adjustRightInd/>
              <w:spacing w:line="240" w:lineRule="auto"/>
              <w:jc w:val="right"/>
              <w:textAlignment w:val="auto"/>
              <w:rPr>
                <w:rFonts w:ascii="Arial" w:hAnsi="Arial" w:cs="Arial"/>
                <w:sz w:val="20"/>
                <w:lang w:val="en-US"/>
              </w:rPr>
            </w:pPr>
            <w:r w:rsidRPr="006F1FA3">
              <w:rPr>
                <w:rFonts w:ascii="Arial" w:hAnsi="Arial" w:cs="Arial"/>
                <w:sz w:val="20"/>
                <w:lang w:val="en-US"/>
              </w:rPr>
              <w:t> </w:t>
            </w:r>
          </w:p>
        </w:tc>
      </w:tr>
      <w:tr w:rsidR="00B66938" w:rsidRPr="006F1FA3" w:rsidTr="00B66938">
        <w:trPr>
          <w:trHeight w:val="283"/>
        </w:trPr>
        <w:tc>
          <w:tcPr>
            <w:tcW w:w="3460" w:type="dxa"/>
            <w:tcBorders>
              <w:top w:val="nil"/>
              <w:left w:val="single" w:sz="4" w:space="0" w:color="auto"/>
              <w:bottom w:val="nil"/>
              <w:right w:val="nil"/>
            </w:tcBorders>
            <w:shd w:val="clear" w:color="auto" w:fill="auto"/>
            <w:noWrap/>
            <w:hideMark/>
          </w:tcPr>
          <w:p w:rsidR="006F1FA3" w:rsidRPr="006F1FA3" w:rsidRDefault="006F1FA3" w:rsidP="006F1FA3">
            <w:pPr>
              <w:overflowPunct/>
              <w:autoSpaceDE/>
              <w:autoSpaceDN/>
              <w:adjustRightInd/>
              <w:spacing w:line="240" w:lineRule="auto"/>
              <w:textAlignment w:val="auto"/>
              <w:rPr>
                <w:rFonts w:ascii="Arial" w:hAnsi="Arial" w:cs="Arial"/>
                <w:sz w:val="20"/>
                <w:lang w:val="en-US"/>
              </w:rPr>
            </w:pPr>
            <w:r w:rsidRPr="006F1FA3">
              <w:rPr>
                <w:rFonts w:ascii="Arial" w:hAnsi="Arial" w:cs="Arial"/>
                <w:sz w:val="20"/>
                <w:lang w:val="en-US"/>
              </w:rPr>
              <w:t>Gross interest margin</w:t>
            </w:r>
          </w:p>
        </w:tc>
        <w:tc>
          <w:tcPr>
            <w:tcW w:w="367" w:type="dxa"/>
            <w:tcBorders>
              <w:top w:val="nil"/>
              <w:left w:val="nil"/>
              <w:bottom w:val="nil"/>
              <w:right w:val="nil"/>
            </w:tcBorders>
            <w:shd w:val="clear" w:color="auto" w:fill="auto"/>
            <w:noWrap/>
            <w:vAlign w:val="bottom"/>
            <w:hideMark/>
          </w:tcPr>
          <w:p w:rsidR="006F1FA3" w:rsidRPr="006F1FA3" w:rsidRDefault="006F1FA3" w:rsidP="006F1FA3">
            <w:pPr>
              <w:overflowPunct/>
              <w:autoSpaceDE/>
              <w:autoSpaceDN/>
              <w:adjustRightInd/>
              <w:spacing w:line="240" w:lineRule="auto"/>
              <w:textAlignment w:val="auto"/>
              <w:rPr>
                <w:rFonts w:ascii="Arial" w:hAnsi="Arial" w:cs="Arial"/>
                <w:i/>
                <w:iCs/>
                <w:sz w:val="20"/>
                <w:lang w:val="en-US"/>
              </w:rPr>
            </w:pPr>
          </w:p>
        </w:tc>
        <w:tc>
          <w:tcPr>
            <w:tcW w:w="1250" w:type="dxa"/>
            <w:tcBorders>
              <w:top w:val="nil"/>
              <w:left w:val="nil"/>
              <w:bottom w:val="nil"/>
              <w:right w:val="nil"/>
            </w:tcBorders>
            <w:shd w:val="clear" w:color="auto" w:fill="auto"/>
            <w:noWrap/>
            <w:vAlign w:val="bottom"/>
            <w:hideMark/>
          </w:tcPr>
          <w:p w:rsidR="006F1FA3" w:rsidRPr="006F1FA3" w:rsidRDefault="006F1FA3" w:rsidP="006F1FA3">
            <w:pPr>
              <w:overflowPunct/>
              <w:autoSpaceDE/>
              <w:autoSpaceDN/>
              <w:adjustRightInd/>
              <w:spacing w:line="240" w:lineRule="auto"/>
              <w:jc w:val="center"/>
              <w:textAlignment w:val="auto"/>
              <w:rPr>
                <w:rFonts w:ascii="Arial" w:hAnsi="Arial" w:cs="Arial"/>
                <w:sz w:val="20"/>
                <w:lang w:val="en-US"/>
              </w:rPr>
            </w:pPr>
          </w:p>
        </w:tc>
        <w:tc>
          <w:tcPr>
            <w:tcW w:w="1172" w:type="dxa"/>
            <w:tcBorders>
              <w:top w:val="nil"/>
              <w:left w:val="nil"/>
              <w:bottom w:val="double" w:sz="6" w:space="0" w:color="auto"/>
              <w:right w:val="nil"/>
            </w:tcBorders>
            <w:shd w:val="clear" w:color="auto" w:fill="auto"/>
            <w:noWrap/>
            <w:vAlign w:val="bottom"/>
            <w:hideMark/>
          </w:tcPr>
          <w:p w:rsidR="006F1FA3" w:rsidRPr="006F1FA3" w:rsidRDefault="006F1FA3" w:rsidP="006F1FA3">
            <w:pPr>
              <w:overflowPunct/>
              <w:autoSpaceDE/>
              <w:autoSpaceDN/>
              <w:adjustRightInd/>
              <w:spacing w:line="240" w:lineRule="auto"/>
              <w:jc w:val="right"/>
              <w:textAlignment w:val="auto"/>
              <w:rPr>
                <w:rFonts w:ascii="Arial" w:hAnsi="Arial" w:cs="Arial"/>
                <w:sz w:val="20"/>
                <w:lang w:val="en-US"/>
              </w:rPr>
            </w:pPr>
            <w:r w:rsidRPr="006F1FA3">
              <w:rPr>
                <w:rFonts w:ascii="Arial" w:hAnsi="Arial" w:cs="Arial"/>
                <w:sz w:val="20"/>
                <w:lang w:val="en-US"/>
              </w:rPr>
              <w:t xml:space="preserve">            738 </w:t>
            </w:r>
          </w:p>
        </w:tc>
        <w:tc>
          <w:tcPr>
            <w:tcW w:w="347" w:type="dxa"/>
            <w:tcBorders>
              <w:top w:val="nil"/>
              <w:left w:val="nil"/>
              <w:bottom w:val="nil"/>
              <w:right w:val="nil"/>
            </w:tcBorders>
            <w:shd w:val="clear" w:color="auto" w:fill="auto"/>
            <w:noWrap/>
            <w:vAlign w:val="bottom"/>
            <w:hideMark/>
          </w:tcPr>
          <w:p w:rsidR="006F1FA3" w:rsidRPr="006F1FA3" w:rsidRDefault="006F1FA3" w:rsidP="006F1FA3">
            <w:pPr>
              <w:overflowPunct/>
              <w:autoSpaceDE/>
              <w:autoSpaceDN/>
              <w:adjustRightInd/>
              <w:spacing w:line="240" w:lineRule="auto"/>
              <w:jc w:val="center"/>
              <w:textAlignment w:val="auto"/>
              <w:rPr>
                <w:rFonts w:ascii="Arial" w:hAnsi="Arial" w:cs="Arial"/>
                <w:sz w:val="20"/>
                <w:lang w:val="en-US"/>
              </w:rPr>
            </w:pPr>
          </w:p>
        </w:tc>
        <w:tc>
          <w:tcPr>
            <w:tcW w:w="1337" w:type="dxa"/>
            <w:tcBorders>
              <w:top w:val="nil"/>
              <w:left w:val="nil"/>
              <w:bottom w:val="nil"/>
              <w:right w:val="nil"/>
            </w:tcBorders>
            <w:shd w:val="clear" w:color="auto" w:fill="auto"/>
            <w:noWrap/>
            <w:vAlign w:val="bottom"/>
            <w:hideMark/>
          </w:tcPr>
          <w:p w:rsidR="006F1FA3" w:rsidRPr="006F1FA3" w:rsidRDefault="006F1FA3" w:rsidP="006F1FA3">
            <w:pPr>
              <w:overflowPunct/>
              <w:autoSpaceDE/>
              <w:autoSpaceDN/>
              <w:adjustRightInd/>
              <w:spacing w:line="240" w:lineRule="auto"/>
              <w:jc w:val="right"/>
              <w:textAlignment w:val="auto"/>
              <w:rPr>
                <w:rFonts w:ascii="Arial" w:hAnsi="Arial" w:cs="Arial"/>
                <w:sz w:val="20"/>
                <w:lang w:val="en-US"/>
              </w:rPr>
            </w:pPr>
          </w:p>
        </w:tc>
        <w:tc>
          <w:tcPr>
            <w:tcW w:w="1220" w:type="dxa"/>
            <w:tcBorders>
              <w:top w:val="nil"/>
              <w:left w:val="nil"/>
              <w:bottom w:val="double" w:sz="6" w:space="0" w:color="auto"/>
              <w:right w:val="single" w:sz="4" w:space="0" w:color="auto"/>
            </w:tcBorders>
            <w:shd w:val="clear" w:color="auto" w:fill="auto"/>
            <w:noWrap/>
            <w:vAlign w:val="bottom"/>
            <w:hideMark/>
          </w:tcPr>
          <w:p w:rsidR="006F1FA3" w:rsidRPr="006F1FA3" w:rsidRDefault="006F1FA3" w:rsidP="006F1FA3">
            <w:pPr>
              <w:overflowPunct/>
              <w:autoSpaceDE/>
              <w:autoSpaceDN/>
              <w:adjustRightInd/>
              <w:spacing w:line="240" w:lineRule="auto"/>
              <w:jc w:val="right"/>
              <w:textAlignment w:val="auto"/>
              <w:rPr>
                <w:rFonts w:ascii="Arial" w:hAnsi="Arial" w:cs="Arial"/>
                <w:sz w:val="20"/>
                <w:lang w:val="en-US"/>
              </w:rPr>
            </w:pPr>
            <w:r w:rsidRPr="006F1FA3">
              <w:rPr>
                <w:rFonts w:ascii="Arial" w:hAnsi="Arial" w:cs="Arial"/>
                <w:sz w:val="20"/>
                <w:lang w:val="en-US"/>
              </w:rPr>
              <w:t xml:space="preserve">           2'759 </w:t>
            </w:r>
          </w:p>
        </w:tc>
      </w:tr>
      <w:tr w:rsidR="00B66938" w:rsidRPr="006F1FA3" w:rsidTr="00B66938">
        <w:trPr>
          <w:trHeight w:val="283"/>
        </w:trPr>
        <w:tc>
          <w:tcPr>
            <w:tcW w:w="3460" w:type="dxa"/>
            <w:tcBorders>
              <w:top w:val="nil"/>
              <w:left w:val="single" w:sz="4" w:space="0" w:color="auto"/>
              <w:bottom w:val="single" w:sz="4" w:space="0" w:color="auto"/>
              <w:right w:val="nil"/>
            </w:tcBorders>
            <w:shd w:val="clear" w:color="auto" w:fill="auto"/>
            <w:noWrap/>
            <w:vAlign w:val="bottom"/>
            <w:hideMark/>
          </w:tcPr>
          <w:p w:rsidR="006F1FA3" w:rsidRPr="006F1FA3" w:rsidRDefault="006F1FA3" w:rsidP="006F1FA3">
            <w:pPr>
              <w:overflowPunct/>
              <w:autoSpaceDE/>
              <w:autoSpaceDN/>
              <w:adjustRightInd/>
              <w:spacing w:line="240" w:lineRule="auto"/>
              <w:textAlignment w:val="auto"/>
              <w:rPr>
                <w:rFonts w:ascii="Arial" w:hAnsi="Arial" w:cs="Arial"/>
                <w:sz w:val="20"/>
                <w:lang w:val="en-US"/>
              </w:rPr>
            </w:pPr>
            <w:r w:rsidRPr="006F1FA3">
              <w:rPr>
                <w:rFonts w:ascii="Arial" w:hAnsi="Arial" w:cs="Arial"/>
                <w:sz w:val="20"/>
                <w:lang w:val="en-US"/>
              </w:rPr>
              <w:t> </w:t>
            </w:r>
          </w:p>
        </w:tc>
        <w:tc>
          <w:tcPr>
            <w:tcW w:w="367" w:type="dxa"/>
            <w:tcBorders>
              <w:top w:val="nil"/>
              <w:left w:val="nil"/>
              <w:bottom w:val="single" w:sz="4" w:space="0" w:color="auto"/>
              <w:right w:val="nil"/>
            </w:tcBorders>
            <w:shd w:val="clear" w:color="auto" w:fill="auto"/>
            <w:hideMark/>
          </w:tcPr>
          <w:p w:rsidR="006F1FA3" w:rsidRPr="006F1FA3" w:rsidRDefault="006F1FA3" w:rsidP="006F1FA3">
            <w:pPr>
              <w:overflowPunct/>
              <w:autoSpaceDE/>
              <w:autoSpaceDN/>
              <w:adjustRightInd/>
              <w:spacing w:line="240" w:lineRule="auto"/>
              <w:textAlignment w:val="auto"/>
              <w:rPr>
                <w:rFonts w:ascii="Arial" w:hAnsi="Arial" w:cs="Arial"/>
                <w:sz w:val="16"/>
                <w:szCs w:val="16"/>
                <w:lang w:val="en-US"/>
              </w:rPr>
            </w:pPr>
            <w:r w:rsidRPr="006F1FA3">
              <w:rPr>
                <w:rFonts w:ascii="Arial" w:hAnsi="Arial" w:cs="Arial"/>
                <w:sz w:val="16"/>
                <w:szCs w:val="16"/>
                <w:lang w:val="en-US"/>
              </w:rPr>
              <w:t> </w:t>
            </w:r>
          </w:p>
        </w:tc>
        <w:tc>
          <w:tcPr>
            <w:tcW w:w="1250" w:type="dxa"/>
            <w:tcBorders>
              <w:top w:val="nil"/>
              <w:left w:val="nil"/>
              <w:bottom w:val="single" w:sz="4" w:space="0" w:color="auto"/>
              <w:right w:val="nil"/>
            </w:tcBorders>
            <w:shd w:val="clear" w:color="auto" w:fill="auto"/>
            <w:hideMark/>
          </w:tcPr>
          <w:p w:rsidR="006F1FA3" w:rsidRPr="006F1FA3" w:rsidRDefault="006F1FA3" w:rsidP="006F1FA3">
            <w:pPr>
              <w:overflowPunct/>
              <w:autoSpaceDE/>
              <w:autoSpaceDN/>
              <w:adjustRightInd/>
              <w:spacing w:line="240" w:lineRule="auto"/>
              <w:ind w:firstLineChars="100" w:firstLine="200"/>
              <w:jc w:val="right"/>
              <w:textAlignment w:val="auto"/>
              <w:rPr>
                <w:rFonts w:ascii="Arial" w:hAnsi="Arial" w:cs="Arial"/>
                <w:sz w:val="20"/>
                <w:lang w:val="en-US"/>
              </w:rPr>
            </w:pPr>
            <w:r w:rsidRPr="006F1FA3">
              <w:rPr>
                <w:rFonts w:ascii="Arial" w:hAnsi="Arial" w:cs="Arial"/>
                <w:sz w:val="20"/>
                <w:lang w:val="en-US"/>
              </w:rPr>
              <w:t> </w:t>
            </w:r>
          </w:p>
        </w:tc>
        <w:tc>
          <w:tcPr>
            <w:tcW w:w="1172" w:type="dxa"/>
            <w:tcBorders>
              <w:top w:val="nil"/>
              <w:left w:val="nil"/>
              <w:bottom w:val="single" w:sz="4" w:space="0" w:color="auto"/>
              <w:right w:val="nil"/>
            </w:tcBorders>
            <w:shd w:val="clear" w:color="auto" w:fill="auto"/>
            <w:hideMark/>
          </w:tcPr>
          <w:p w:rsidR="006F1FA3" w:rsidRPr="006F1FA3" w:rsidRDefault="006F1FA3" w:rsidP="006F1FA3">
            <w:pPr>
              <w:overflowPunct/>
              <w:autoSpaceDE/>
              <w:autoSpaceDN/>
              <w:adjustRightInd/>
              <w:spacing w:line="240" w:lineRule="auto"/>
              <w:ind w:firstLineChars="100" w:firstLine="200"/>
              <w:jc w:val="right"/>
              <w:textAlignment w:val="auto"/>
              <w:rPr>
                <w:rFonts w:ascii="Arial" w:hAnsi="Arial" w:cs="Arial"/>
                <w:sz w:val="20"/>
                <w:lang w:val="en-US"/>
              </w:rPr>
            </w:pPr>
            <w:r w:rsidRPr="006F1FA3">
              <w:rPr>
                <w:rFonts w:ascii="Arial" w:hAnsi="Arial" w:cs="Arial"/>
                <w:sz w:val="20"/>
                <w:lang w:val="en-US"/>
              </w:rPr>
              <w:t> </w:t>
            </w:r>
          </w:p>
        </w:tc>
        <w:tc>
          <w:tcPr>
            <w:tcW w:w="347" w:type="dxa"/>
            <w:tcBorders>
              <w:top w:val="nil"/>
              <w:left w:val="nil"/>
              <w:bottom w:val="single" w:sz="4" w:space="0" w:color="auto"/>
              <w:right w:val="nil"/>
            </w:tcBorders>
            <w:shd w:val="clear" w:color="auto" w:fill="auto"/>
            <w:hideMark/>
          </w:tcPr>
          <w:p w:rsidR="006F1FA3" w:rsidRPr="006F1FA3" w:rsidRDefault="006F1FA3" w:rsidP="006F1FA3">
            <w:pPr>
              <w:overflowPunct/>
              <w:autoSpaceDE/>
              <w:autoSpaceDN/>
              <w:adjustRightInd/>
              <w:spacing w:line="240" w:lineRule="auto"/>
              <w:ind w:firstLineChars="100" w:firstLine="200"/>
              <w:jc w:val="right"/>
              <w:textAlignment w:val="auto"/>
              <w:rPr>
                <w:rFonts w:ascii="Arial" w:hAnsi="Arial" w:cs="Arial"/>
                <w:sz w:val="20"/>
                <w:lang w:val="en-US"/>
              </w:rPr>
            </w:pPr>
            <w:r w:rsidRPr="006F1FA3">
              <w:rPr>
                <w:rFonts w:ascii="Arial" w:hAnsi="Arial" w:cs="Arial"/>
                <w:sz w:val="20"/>
                <w:lang w:val="en-US"/>
              </w:rPr>
              <w:t> </w:t>
            </w:r>
          </w:p>
        </w:tc>
        <w:tc>
          <w:tcPr>
            <w:tcW w:w="1337" w:type="dxa"/>
            <w:tcBorders>
              <w:top w:val="nil"/>
              <w:left w:val="nil"/>
              <w:bottom w:val="single" w:sz="4" w:space="0" w:color="auto"/>
              <w:right w:val="nil"/>
            </w:tcBorders>
            <w:shd w:val="clear" w:color="auto" w:fill="auto"/>
            <w:noWrap/>
            <w:vAlign w:val="bottom"/>
            <w:hideMark/>
          </w:tcPr>
          <w:p w:rsidR="006F1FA3" w:rsidRPr="006F1FA3" w:rsidRDefault="006F1FA3" w:rsidP="006F1FA3">
            <w:pPr>
              <w:overflowPunct/>
              <w:autoSpaceDE/>
              <w:autoSpaceDN/>
              <w:adjustRightInd/>
              <w:spacing w:line="240" w:lineRule="auto"/>
              <w:textAlignment w:val="auto"/>
              <w:rPr>
                <w:rFonts w:ascii="Arial" w:hAnsi="Arial" w:cs="Arial"/>
                <w:sz w:val="20"/>
                <w:lang w:val="en-US"/>
              </w:rPr>
            </w:pPr>
            <w:r w:rsidRPr="006F1FA3">
              <w:rPr>
                <w:rFonts w:ascii="Arial" w:hAnsi="Arial" w:cs="Arial"/>
                <w:sz w:val="20"/>
                <w:lang w:val="en-US"/>
              </w:rPr>
              <w:t> </w:t>
            </w:r>
          </w:p>
        </w:tc>
        <w:tc>
          <w:tcPr>
            <w:tcW w:w="1220" w:type="dxa"/>
            <w:tcBorders>
              <w:top w:val="nil"/>
              <w:left w:val="nil"/>
              <w:bottom w:val="single" w:sz="4" w:space="0" w:color="auto"/>
              <w:right w:val="single" w:sz="4" w:space="0" w:color="auto"/>
            </w:tcBorders>
            <w:shd w:val="clear" w:color="auto" w:fill="auto"/>
            <w:noWrap/>
            <w:vAlign w:val="bottom"/>
            <w:hideMark/>
          </w:tcPr>
          <w:p w:rsidR="006F1FA3" w:rsidRPr="006F1FA3" w:rsidRDefault="006F1FA3" w:rsidP="006F1FA3">
            <w:pPr>
              <w:overflowPunct/>
              <w:autoSpaceDE/>
              <w:autoSpaceDN/>
              <w:adjustRightInd/>
              <w:spacing w:line="240" w:lineRule="auto"/>
              <w:textAlignment w:val="auto"/>
              <w:rPr>
                <w:rFonts w:ascii="Arial" w:hAnsi="Arial" w:cs="Arial"/>
                <w:sz w:val="20"/>
                <w:lang w:val="en-US"/>
              </w:rPr>
            </w:pPr>
            <w:r w:rsidRPr="006F1FA3">
              <w:rPr>
                <w:rFonts w:ascii="Arial" w:hAnsi="Arial" w:cs="Arial"/>
                <w:sz w:val="20"/>
                <w:lang w:val="en-US"/>
              </w:rPr>
              <w:t> </w:t>
            </w:r>
          </w:p>
        </w:tc>
      </w:tr>
    </w:tbl>
    <w:p w:rsidR="00E86E67" w:rsidRDefault="001D24F8" w:rsidP="00E86E67">
      <w:pPr>
        <w:pStyle w:val="081"/>
        <w:rPr>
          <w:rFonts w:cs="Arial"/>
          <w:bCs/>
          <w:color w:val="FF0000"/>
        </w:rPr>
      </w:pPr>
      <w:r w:rsidRPr="009049AB">
        <w:rPr>
          <w:rFonts w:cs="Arial"/>
          <w:bCs/>
          <w:szCs w:val="24"/>
        </w:rPr>
        <w:t xml:space="preserve">8. </w:t>
      </w:r>
      <w:r w:rsidR="00F00529" w:rsidRPr="009049AB">
        <w:rPr>
          <w:rFonts w:cs="Arial"/>
          <w:bCs/>
          <w:szCs w:val="24"/>
        </w:rPr>
        <w:t>Net operating income</w:t>
      </w:r>
      <w:r w:rsidR="006B70F9">
        <w:rPr>
          <w:rFonts w:cs="Arial"/>
          <w:bCs/>
          <w:szCs w:val="24"/>
        </w:rPr>
        <w:t xml:space="preserve"> </w:t>
      </w:r>
    </w:p>
    <w:tbl>
      <w:tblPr>
        <w:tblW w:w="9093" w:type="dxa"/>
        <w:tblInd w:w="103" w:type="dxa"/>
        <w:tblLook w:val="04A0"/>
      </w:tblPr>
      <w:tblGrid>
        <w:gridCol w:w="3440"/>
        <w:gridCol w:w="405"/>
        <w:gridCol w:w="1242"/>
        <w:gridCol w:w="1165"/>
        <w:gridCol w:w="343"/>
        <w:gridCol w:w="1867"/>
        <w:gridCol w:w="631"/>
      </w:tblGrid>
      <w:tr w:rsidR="00D36407" w:rsidRPr="00D36407" w:rsidTr="00B66938">
        <w:trPr>
          <w:trHeight w:val="305"/>
        </w:trPr>
        <w:tc>
          <w:tcPr>
            <w:tcW w:w="3440" w:type="dxa"/>
            <w:tcBorders>
              <w:top w:val="single" w:sz="4" w:space="0" w:color="auto"/>
              <w:left w:val="single" w:sz="4" w:space="0" w:color="auto"/>
              <w:bottom w:val="single" w:sz="4" w:space="0" w:color="auto"/>
              <w:right w:val="nil"/>
            </w:tcBorders>
            <w:shd w:val="clear" w:color="auto" w:fill="auto"/>
            <w:noWrap/>
            <w:vAlign w:val="bottom"/>
            <w:hideMark/>
          </w:tcPr>
          <w:p w:rsidR="00D36407" w:rsidRPr="00D36407" w:rsidRDefault="00D36407" w:rsidP="00D36407">
            <w:pPr>
              <w:overflowPunct/>
              <w:autoSpaceDE/>
              <w:autoSpaceDN/>
              <w:adjustRightInd/>
              <w:spacing w:line="240" w:lineRule="auto"/>
              <w:textAlignment w:val="auto"/>
              <w:rPr>
                <w:rFonts w:ascii="Arial" w:hAnsi="Arial" w:cs="Arial"/>
                <w:i/>
                <w:iCs/>
                <w:sz w:val="20"/>
                <w:lang w:val="en-US"/>
              </w:rPr>
            </w:pPr>
            <w:r w:rsidRPr="00D36407">
              <w:rPr>
                <w:rFonts w:ascii="Arial" w:hAnsi="Arial" w:cs="Arial"/>
                <w:i/>
                <w:iCs/>
                <w:sz w:val="20"/>
                <w:lang w:val="en-US"/>
              </w:rPr>
              <w:t> </w:t>
            </w:r>
          </w:p>
        </w:tc>
        <w:tc>
          <w:tcPr>
            <w:tcW w:w="405" w:type="dxa"/>
            <w:tcBorders>
              <w:top w:val="single" w:sz="4" w:space="0" w:color="auto"/>
              <w:left w:val="nil"/>
              <w:bottom w:val="nil"/>
              <w:right w:val="nil"/>
            </w:tcBorders>
            <w:shd w:val="clear" w:color="auto" w:fill="auto"/>
            <w:noWrap/>
            <w:vAlign w:val="bottom"/>
            <w:hideMark/>
          </w:tcPr>
          <w:p w:rsidR="00D36407" w:rsidRPr="00D36407" w:rsidRDefault="00D36407" w:rsidP="00D36407">
            <w:pPr>
              <w:overflowPunct/>
              <w:autoSpaceDE/>
              <w:autoSpaceDN/>
              <w:adjustRightInd/>
              <w:spacing w:line="240" w:lineRule="auto"/>
              <w:textAlignment w:val="auto"/>
              <w:rPr>
                <w:rFonts w:ascii="Arial" w:hAnsi="Arial" w:cs="Arial"/>
                <w:i/>
                <w:iCs/>
                <w:sz w:val="20"/>
                <w:lang w:val="en-US"/>
              </w:rPr>
            </w:pPr>
            <w:r w:rsidRPr="00D36407">
              <w:rPr>
                <w:rFonts w:ascii="Arial" w:hAnsi="Arial" w:cs="Arial"/>
                <w:i/>
                <w:iCs/>
                <w:sz w:val="20"/>
                <w:lang w:val="en-US"/>
              </w:rPr>
              <w:t> </w:t>
            </w:r>
          </w:p>
        </w:tc>
        <w:tc>
          <w:tcPr>
            <w:tcW w:w="2407" w:type="dxa"/>
            <w:gridSpan w:val="2"/>
            <w:tcBorders>
              <w:top w:val="single" w:sz="4" w:space="0" w:color="auto"/>
              <w:left w:val="nil"/>
              <w:bottom w:val="single" w:sz="4" w:space="0" w:color="auto"/>
              <w:right w:val="nil"/>
            </w:tcBorders>
            <w:shd w:val="clear" w:color="auto" w:fill="auto"/>
            <w:vAlign w:val="bottom"/>
            <w:hideMark/>
          </w:tcPr>
          <w:p w:rsidR="00D36407" w:rsidRPr="00D36407" w:rsidRDefault="00D36407" w:rsidP="00D36407">
            <w:pPr>
              <w:overflowPunct/>
              <w:autoSpaceDE/>
              <w:autoSpaceDN/>
              <w:adjustRightInd/>
              <w:spacing w:line="240" w:lineRule="auto"/>
              <w:jc w:val="center"/>
              <w:textAlignment w:val="auto"/>
              <w:rPr>
                <w:rFonts w:ascii="Arial" w:hAnsi="Arial" w:cs="Arial"/>
                <w:sz w:val="20"/>
                <w:lang w:val="en-US"/>
              </w:rPr>
            </w:pPr>
            <w:r w:rsidRPr="00D36407">
              <w:rPr>
                <w:rFonts w:ascii="Arial" w:hAnsi="Arial" w:cs="Arial"/>
                <w:sz w:val="20"/>
                <w:lang w:val="en-US"/>
              </w:rPr>
              <w:t>2011</w:t>
            </w:r>
          </w:p>
        </w:tc>
        <w:tc>
          <w:tcPr>
            <w:tcW w:w="343" w:type="dxa"/>
            <w:tcBorders>
              <w:top w:val="single" w:sz="4" w:space="0" w:color="auto"/>
              <w:left w:val="nil"/>
              <w:bottom w:val="nil"/>
              <w:right w:val="nil"/>
            </w:tcBorders>
            <w:shd w:val="clear" w:color="auto" w:fill="auto"/>
            <w:noWrap/>
            <w:vAlign w:val="bottom"/>
            <w:hideMark/>
          </w:tcPr>
          <w:p w:rsidR="00D36407" w:rsidRPr="00D36407" w:rsidRDefault="00D36407" w:rsidP="00D36407">
            <w:pPr>
              <w:overflowPunct/>
              <w:autoSpaceDE/>
              <w:autoSpaceDN/>
              <w:adjustRightInd/>
              <w:spacing w:line="240" w:lineRule="auto"/>
              <w:jc w:val="center"/>
              <w:textAlignment w:val="auto"/>
              <w:rPr>
                <w:rFonts w:ascii="Arial" w:hAnsi="Arial" w:cs="Arial"/>
                <w:sz w:val="20"/>
                <w:lang w:val="en-US"/>
              </w:rPr>
            </w:pPr>
            <w:r w:rsidRPr="00D36407">
              <w:rPr>
                <w:rFonts w:ascii="Arial" w:hAnsi="Arial" w:cs="Arial"/>
                <w:sz w:val="20"/>
                <w:lang w:val="en-US"/>
              </w:rPr>
              <w:t> </w:t>
            </w:r>
          </w:p>
        </w:tc>
        <w:tc>
          <w:tcPr>
            <w:tcW w:w="2498" w:type="dxa"/>
            <w:gridSpan w:val="2"/>
            <w:tcBorders>
              <w:top w:val="single" w:sz="4" w:space="0" w:color="auto"/>
              <w:left w:val="nil"/>
              <w:bottom w:val="single" w:sz="4" w:space="0" w:color="auto"/>
              <w:right w:val="single" w:sz="4" w:space="0" w:color="000000"/>
            </w:tcBorders>
            <w:shd w:val="clear" w:color="auto" w:fill="auto"/>
            <w:vAlign w:val="bottom"/>
            <w:hideMark/>
          </w:tcPr>
          <w:p w:rsidR="00D36407" w:rsidRPr="00D36407" w:rsidRDefault="00D36407" w:rsidP="00D36407">
            <w:pPr>
              <w:overflowPunct/>
              <w:autoSpaceDE/>
              <w:autoSpaceDN/>
              <w:adjustRightInd/>
              <w:spacing w:line="240" w:lineRule="auto"/>
              <w:jc w:val="center"/>
              <w:textAlignment w:val="auto"/>
              <w:rPr>
                <w:rFonts w:ascii="Arial" w:hAnsi="Arial" w:cs="Arial"/>
                <w:sz w:val="20"/>
                <w:lang w:val="en-US"/>
              </w:rPr>
            </w:pPr>
            <w:r w:rsidRPr="00D36407">
              <w:rPr>
                <w:rFonts w:ascii="Arial" w:hAnsi="Arial" w:cs="Arial"/>
                <w:sz w:val="20"/>
                <w:lang w:val="en-US"/>
              </w:rPr>
              <w:t>2010</w:t>
            </w:r>
          </w:p>
        </w:tc>
      </w:tr>
      <w:tr w:rsidR="00D36407" w:rsidRPr="00D36407" w:rsidTr="00B66938">
        <w:trPr>
          <w:trHeight w:val="305"/>
        </w:trPr>
        <w:tc>
          <w:tcPr>
            <w:tcW w:w="3440" w:type="dxa"/>
            <w:tcBorders>
              <w:top w:val="nil"/>
              <w:left w:val="single" w:sz="4" w:space="0" w:color="auto"/>
              <w:bottom w:val="nil"/>
              <w:right w:val="nil"/>
            </w:tcBorders>
            <w:shd w:val="clear" w:color="auto" w:fill="auto"/>
            <w:hideMark/>
          </w:tcPr>
          <w:p w:rsidR="00D36407" w:rsidRPr="00D36407" w:rsidRDefault="00D36407" w:rsidP="00D36407">
            <w:pPr>
              <w:overflowPunct/>
              <w:autoSpaceDE/>
              <w:autoSpaceDN/>
              <w:adjustRightInd/>
              <w:spacing w:line="240" w:lineRule="auto"/>
              <w:textAlignment w:val="auto"/>
              <w:rPr>
                <w:rFonts w:ascii="Arial" w:hAnsi="Arial" w:cs="Arial"/>
                <w:sz w:val="16"/>
                <w:szCs w:val="16"/>
                <w:lang w:val="en-US"/>
              </w:rPr>
            </w:pPr>
            <w:r w:rsidRPr="00D36407">
              <w:rPr>
                <w:rFonts w:ascii="Arial" w:hAnsi="Arial" w:cs="Arial"/>
                <w:sz w:val="16"/>
                <w:szCs w:val="16"/>
                <w:lang w:val="en-US"/>
              </w:rPr>
              <w:t>(in thousands of USD)</w:t>
            </w:r>
          </w:p>
        </w:tc>
        <w:tc>
          <w:tcPr>
            <w:tcW w:w="405" w:type="dxa"/>
            <w:tcBorders>
              <w:top w:val="nil"/>
              <w:left w:val="nil"/>
              <w:bottom w:val="nil"/>
              <w:right w:val="nil"/>
            </w:tcBorders>
            <w:shd w:val="clear" w:color="auto" w:fill="auto"/>
            <w:noWrap/>
            <w:hideMark/>
          </w:tcPr>
          <w:p w:rsidR="00D36407" w:rsidRPr="00D36407" w:rsidRDefault="00D36407" w:rsidP="00D36407">
            <w:pPr>
              <w:overflowPunct/>
              <w:autoSpaceDE/>
              <w:autoSpaceDN/>
              <w:adjustRightInd/>
              <w:spacing w:line="240" w:lineRule="auto"/>
              <w:textAlignment w:val="auto"/>
              <w:rPr>
                <w:rFonts w:ascii="Arial" w:hAnsi="Arial" w:cs="Arial"/>
                <w:sz w:val="20"/>
                <w:lang w:val="en-US"/>
              </w:rPr>
            </w:pPr>
          </w:p>
        </w:tc>
        <w:tc>
          <w:tcPr>
            <w:tcW w:w="1242" w:type="dxa"/>
            <w:tcBorders>
              <w:top w:val="nil"/>
              <w:left w:val="nil"/>
              <w:bottom w:val="nil"/>
              <w:right w:val="nil"/>
            </w:tcBorders>
            <w:shd w:val="clear" w:color="auto" w:fill="auto"/>
            <w:noWrap/>
            <w:hideMark/>
          </w:tcPr>
          <w:p w:rsidR="00D36407" w:rsidRPr="00D36407" w:rsidRDefault="00D36407" w:rsidP="00D36407">
            <w:pPr>
              <w:overflowPunct/>
              <w:autoSpaceDE/>
              <w:autoSpaceDN/>
              <w:adjustRightInd/>
              <w:spacing w:line="240" w:lineRule="auto"/>
              <w:textAlignment w:val="auto"/>
              <w:rPr>
                <w:rFonts w:ascii="Arial" w:hAnsi="Arial" w:cs="Arial"/>
                <w:sz w:val="20"/>
                <w:lang w:val="en-US"/>
              </w:rPr>
            </w:pPr>
          </w:p>
        </w:tc>
        <w:tc>
          <w:tcPr>
            <w:tcW w:w="1164" w:type="dxa"/>
            <w:tcBorders>
              <w:top w:val="nil"/>
              <w:left w:val="nil"/>
              <w:bottom w:val="nil"/>
              <w:right w:val="nil"/>
            </w:tcBorders>
            <w:shd w:val="clear" w:color="auto" w:fill="auto"/>
            <w:noWrap/>
            <w:hideMark/>
          </w:tcPr>
          <w:p w:rsidR="00D36407" w:rsidRPr="00D36407" w:rsidRDefault="00D36407" w:rsidP="00D36407">
            <w:pPr>
              <w:overflowPunct/>
              <w:autoSpaceDE/>
              <w:autoSpaceDN/>
              <w:adjustRightInd/>
              <w:spacing w:line="240" w:lineRule="auto"/>
              <w:textAlignment w:val="auto"/>
              <w:rPr>
                <w:rFonts w:ascii="Arial" w:hAnsi="Arial" w:cs="Arial"/>
                <w:sz w:val="20"/>
                <w:lang w:val="en-US"/>
              </w:rPr>
            </w:pPr>
          </w:p>
        </w:tc>
        <w:tc>
          <w:tcPr>
            <w:tcW w:w="343" w:type="dxa"/>
            <w:tcBorders>
              <w:top w:val="nil"/>
              <w:left w:val="nil"/>
              <w:bottom w:val="nil"/>
              <w:right w:val="nil"/>
            </w:tcBorders>
            <w:shd w:val="clear" w:color="auto" w:fill="auto"/>
            <w:noWrap/>
            <w:hideMark/>
          </w:tcPr>
          <w:p w:rsidR="00D36407" w:rsidRPr="00D36407" w:rsidRDefault="00D36407" w:rsidP="00D36407">
            <w:pPr>
              <w:overflowPunct/>
              <w:autoSpaceDE/>
              <w:autoSpaceDN/>
              <w:adjustRightInd/>
              <w:spacing w:line="240" w:lineRule="auto"/>
              <w:textAlignment w:val="auto"/>
              <w:rPr>
                <w:rFonts w:ascii="Arial" w:hAnsi="Arial" w:cs="Arial"/>
                <w:sz w:val="20"/>
                <w:lang w:val="en-US"/>
              </w:rPr>
            </w:pPr>
          </w:p>
        </w:tc>
        <w:tc>
          <w:tcPr>
            <w:tcW w:w="1867" w:type="dxa"/>
            <w:tcBorders>
              <w:top w:val="nil"/>
              <w:left w:val="nil"/>
              <w:bottom w:val="nil"/>
              <w:right w:val="nil"/>
            </w:tcBorders>
            <w:shd w:val="clear" w:color="auto" w:fill="auto"/>
            <w:noWrap/>
            <w:vAlign w:val="bottom"/>
            <w:hideMark/>
          </w:tcPr>
          <w:p w:rsidR="00D36407" w:rsidRPr="00D36407" w:rsidRDefault="00D36407" w:rsidP="00D36407">
            <w:pPr>
              <w:overflowPunct/>
              <w:autoSpaceDE/>
              <w:autoSpaceDN/>
              <w:adjustRightInd/>
              <w:spacing w:line="240" w:lineRule="auto"/>
              <w:jc w:val="right"/>
              <w:textAlignment w:val="auto"/>
              <w:rPr>
                <w:rFonts w:ascii="Arial" w:hAnsi="Arial" w:cs="Arial"/>
                <w:sz w:val="20"/>
                <w:lang w:val="en-US"/>
              </w:rPr>
            </w:pPr>
          </w:p>
        </w:tc>
        <w:tc>
          <w:tcPr>
            <w:tcW w:w="631" w:type="dxa"/>
            <w:tcBorders>
              <w:top w:val="nil"/>
              <w:left w:val="nil"/>
              <w:bottom w:val="nil"/>
              <w:right w:val="single" w:sz="4" w:space="0" w:color="auto"/>
            </w:tcBorders>
            <w:shd w:val="clear" w:color="auto" w:fill="auto"/>
            <w:noWrap/>
            <w:vAlign w:val="bottom"/>
            <w:hideMark/>
          </w:tcPr>
          <w:p w:rsidR="00D36407" w:rsidRPr="00D36407" w:rsidRDefault="00D36407" w:rsidP="00D36407">
            <w:pPr>
              <w:overflowPunct/>
              <w:autoSpaceDE/>
              <w:autoSpaceDN/>
              <w:adjustRightInd/>
              <w:spacing w:line="240" w:lineRule="auto"/>
              <w:jc w:val="right"/>
              <w:textAlignment w:val="auto"/>
              <w:rPr>
                <w:rFonts w:ascii="Arial" w:hAnsi="Arial" w:cs="Arial"/>
                <w:sz w:val="20"/>
                <w:lang w:val="en-US"/>
              </w:rPr>
            </w:pPr>
            <w:r w:rsidRPr="00D36407">
              <w:rPr>
                <w:rFonts w:ascii="Arial" w:hAnsi="Arial" w:cs="Arial"/>
                <w:sz w:val="20"/>
                <w:lang w:val="en-US"/>
              </w:rPr>
              <w:t> </w:t>
            </w:r>
          </w:p>
        </w:tc>
      </w:tr>
      <w:tr w:rsidR="00D36407" w:rsidRPr="00D36407" w:rsidTr="00B66938">
        <w:trPr>
          <w:trHeight w:val="305"/>
        </w:trPr>
        <w:tc>
          <w:tcPr>
            <w:tcW w:w="3440" w:type="dxa"/>
            <w:tcBorders>
              <w:top w:val="nil"/>
              <w:left w:val="single" w:sz="4" w:space="0" w:color="auto"/>
              <w:bottom w:val="nil"/>
              <w:right w:val="nil"/>
            </w:tcBorders>
            <w:shd w:val="clear" w:color="auto" w:fill="auto"/>
            <w:noWrap/>
            <w:hideMark/>
          </w:tcPr>
          <w:p w:rsidR="00D36407" w:rsidRPr="00D36407" w:rsidRDefault="00D36407" w:rsidP="00D36407">
            <w:pPr>
              <w:overflowPunct/>
              <w:autoSpaceDE/>
              <w:autoSpaceDN/>
              <w:adjustRightInd/>
              <w:spacing w:line="240" w:lineRule="auto"/>
              <w:textAlignment w:val="auto"/>
              <w:rPr>
                <w:rFonts w:ascii="Arial" w:hAnsi="Arial" w:cs="Arial"/>
                <w:sz w:val="20"/>
                <w:lang w:val="en-US"/>
              </w:rPr>
            </w:pPr>
            <w:r w:rsidRPr="00D36407">
              <w:rPr>
                <w:rFonts w:ascii="Arial" w:hAnsi="Arial" w:cs="Arial"/>
                <w:sz w:val="20"/>
                <w:lang w:val="en-US"/>
              </w:rPr>
              <w:t>Other operating income/(expenses)</w:t>
            </w:r>
          </w:p>
        </w:tc>
        <w:tc>
          <w:tcPr>
            <w:tcW w:w="405" w:type="dxa"/>
            <w:tcBorders>
              <w:top w:val="nil"/>
              <w:left w:val="nil"/>
              <w:bottom w:val="nil"/>
              <w:right w:val="nil"/>
            </w:tcBorders>
            <w:shd w:val="clear" w:color="auto" w:fill="auto"/>
            <w:noWrap/>
            <w:hideMark/>
          </w:tcPr>
          <w:p w:rsidR="00D36407" w:rsidRPr="00D36407" w:rsidRDefault="00D36407" w:rsidP="00D36407">
            <w:pPr>
              <w:overflowPunct/>
              <w:autoSpaceDE/>
              <w:autoSpaceDN/>
              <w:adjustRightInd/>
              <w:spacing w:line="240" w:lineRule="auto"/>
              <w:ind w:firstLineChars="300" w:firstLine="600"/>
              <w:textAlignment w:val="auto"/>
              <w:rPr>
                <w:rFonts w:ascii="Arial" w:hAnsi="Arial" w:cs="Arial"/>
                <w:sz w:val="20"/>
                <w:lang w:val="en-US"/>
              </w:rPr>
            </w:pPr>
          </w:p>
        </w:tc>
        <w:tc>
          <w:tcPr>
            <w:tcW w:w="1242" w:type="dxa"/>
            <w:tcBorders>
              <w:top w:val="nil"/>
              <w:left w:val="nil"/>
              <w:bottom w:val="nil"/>
              <w:right w:val="nil"/>
            </w:tcBorders>
            <w:shd w:val="clear" w:color="auto" w:fill="auto"/>
            <w:noWrap/>
            <w:vAlign w:val="bottom"/>
            <w:hideMark/>
          </w:tcPr>
          <w:p w:rsidR="00D36407" w:rsidRPr="00D36407" w:rsidRDefault="00D36407" w:rsidP="00D36407">
            <w:pPr>
              <w:overflowPunct/>
              <w:autoSpaceDE/>
              <w:autoSpaceDN/>
              <w:adjustRightInd/>
              <w:spacing w:line="240" w:lineRule="auto"/>
              <w:jc w:val="right"/>
              <w:textAlignment w:val="auto"/>
              <w:rPr>
                <w:rFonts w:ascii="Arial" w:hAnsi="Arial" w:cs="Arial"/>
                <w:sz w:val="20"/>
                <w:lang w:val="en-US"/>
              </w:rPr>
            </w:pPr>
            <w:r w:rsidRPr="00D36407">
              <w:rPr>
                <w:rFonts w:ascii="Arial" w:hAnsi="Arial" w:cs="Arial"/>
                <w:sz w:val="20"/>
                <w:lang w:val="en-US"/>
              </w:rPr>
              <w:t>( 4)</w:t>
            </w:r>
          </w:p>
        </w:tc>
        <w:tc>
          <w:tcPr>
            <w:tcW w:w="1164" w:type="dxa"/>
            <w:tcBorders>
              <w:top w:val="nil"/>
              <w:left w:val="nil"/>
              <w:bottom w:val="nil"/>
              <w:right w:val="nil"/>
            </w:tcBorders>
            <w:shd w:val="clear" w:color="auto" w:fill="auto"/>
            <w:noWrap/>
            <w:vAlign w:val="bottom"/>
            <w:hideMark/>
          </w:tcPr>
          <w:p w:rsidR="00D36407" w:rsidRPr="00D36407" w:rsidRDefault="00D36407" w:rsidP="00D36407">
            <w:pPr>
              <w:overflowPunct/>
              <w:autoSpaceDE/>
              <w:autoSpaceDN/>
              <w:adjustRightInd/>
              <w:spacing w:line="240" w:lineRule="auto"/>
              <w:textAlignment w:val="auto"/>
              <w:rPr>
                <w:rFonts w:ascii="Arial" w:hAnsi="Arial" w:cs="Arial"/>
                <w:sz w:val="20"/>
                <w:lang w:val="en-US"/>
              </w:rPr>
            </w:pPr>
          </w:p>
        </w:tc>
        <w:tc>
          <w:tcPr>
            <w:tcW w:w="343" w:type="dxa"/>
            <w:tcBorders>
              <w:top w:val="nil"/>
              <w:left w:val="nil"/>
              <w:bottom w:val="nil"/>
              <w:right w:val="nil"/>
            </w:tcBorders>
            <w:shd w:val="clear" w:color="auto" w:fill="auto"/>
            <w:noWrap/>
            <w:vAlign w:val="bottom"/>
            <w:hideMark/>
          </w:tcPr>
          <w:p w:rsidR="00D36407" w:rsidRPr="00D36407" w:rsidRDefault="00D36407" w:rsidP="00D36407">
            <w:pPr>
              <w:overflowPunct/>
              <w:autoSpaceDE/>
              <w:autoSpaceDN/>
              <w:adjustRightInd/>
              <w:spacing w:line="240" w:lineRule="auto"/>
              <w:textAlignment w:val="auto"/>
              <w:rPr>
                <w:rFonts w:ascii="Arial" w:hAnsi="Arial" w:cs="Arial"/>
                <w:sz w:val="20"/>
                <w:lang w:val="en-US"/>
              </w:rPr>
            </w:pPr>
          </w:p>
        </w:tc>
        <w:tc>
          <w:tcPr>
            <w:tcW w:w="1867" w:type="dxa"/>
            <w:tcBorders>
              <w:top w:val="nil"/>
              <w:left w:val="nil"/>
              <w:bottom w:val="nil"/>
              <w:right w:val="nil"/>
            </w:tcBorders>
            <w:shd w:val="clear" w:color="auto" w:fill="auto"/>
            <w:noWrap/>
            <w:vAlign w:val="bottom"/>
            <w:hideMark/>
          </w:tcPr>
          <w:p w:rsidR="00D36407" w:rsidRPr="00D36407" w:rsidRDefault="00D36407" w:rsidP="00D36407">
            <w:pPr>
              <w:overflowPunct/>
              <w:autoSpaceDE/>
              <w:autoSpaceDN/>
              <w:adjustRightInd/>
              <w:spacing w:line="240" w:lineRule="auto"/>
              <w:jc w:val="right"/>
              <w:textAlignment w:val="auto"/>
              <w:rPr>
                <w:rFonts w:ascii="Arial" w:hAnsi="Arial" w:cs="Arial"/>
                <w:sz w:val="20"/>
                <w:lang w:val="en-US"/>
              </w:rPr>
            </w:pPr>
            <w:r w:rsidRPr="00D36407">
              <w:rPr>
                <w:rFonts w:ascii="Arial" w:hAnsi="Arial" w:cs="Arial"/>
                <w:sz w:val="20"/>
                <w:lang w:val="en-US"/>
              </w:rPr>
              <w:t xml:space="preserve">                10 </w:t>
            </w:r>
          </w:p>
        </w:tc>
        <w:tc>
          <w:tcPr>
            <w:tcW w:w="631" w:type="dxa"/>
            <w:tcBorders>
              <w:top w:val="nil"/>
              <w:left w:val="nil"/>
              <w:bottom w:val="nil"/>
              <w:right w:val="single" w:sz="4" w:space="0" w:color="auto"/>
            </w:tcBorders>
            <w:shd w:val="clear" w:color="auto" w:fill="auto"/>
            <w:noWrap/>
            <w:vAlign w:val="bottom"/>
            <w:hideMark/>
          </w:tcPr>
          <w:p w:rsidR="00D36407" w:rsidRPr="00D36407" w:rsidRDefault="00D36407" w:rsidP="00D36407">
            <w:pPr>
              <w:overflowPunct/>
              <w:autoSpaceDE/>
              <w:autoSpaceDN/>
              <w:adjustRightInd/>
              <w:spacing w:line="240" w:lineRule="auto"/>
              <w:jc w:val="right"/>
              <w:textAlignment w:val="auto"/>
              <w:rPr>
                <w:rFonts w:ascii="Arial" w:hAnsi="Arial" w:cs="Arial"/>
                <w:sz w:val="20"/>
                <w:lang w:val="en-US"/>
              </w:rPr>
            </w:pPr>
            <w:r w:rsidRPr="00D36407">
              <w:rPr>
                <w:rFonts w:ascii="Arial" w:hAnsi="Arial" w:cs="Arial"/>
                <w:sz w:val="20"/>
                <w:lang w:val="en-US"/>
              </w:rPr>
              <w:t> </w:t>
            </w:r>
          </w:p>
        </w:tc>
      </w:tr>
      <w:tr w:rsidR="00D36407" w:rsidRPr="00D36407" w:rsidTr="00B66938">
        <w:trPr>
          <w:trHeight w:val="305"/>
        </w:trPr>
        <w:tc>
          <w:tcPr>
            <w:tcW w:w="3440" w:type="dxa"/>
            <w:tcBorders>
              <w:top w:val="nil"/>
              <w:left w:val="single" w:sz="4" w:space="0" w:color="auto"/>
              <w:bottom w:val="nil"/>
              <w:right w:val="nil"/>
            </w:tcBorders>
            <w:shd w:val="clear" w:color="auto" w:fill="auto"/>
            <w:noWrap/>
            <w:hideMark/>
          </w:tcPr>
          <w:p w:rsidR="00D36407" w:rsidRPr="00D36407" w:rsidRDefault="00D36407" w:rsidP="00D36407">
            <w:pPr>
              <w:overflowPunct/>
              <w:autoSpaceDE/>
              <w:autoSpaceDN/>
              <w:adjustRightInd/>
              <w:spacing w:line="240" w:lineRule="auto"/>
              <w:textAlignment w:val="auto"/>
              <w:rPr>
                <w:rFonts w:ascii="Arial" w:hAnsi="Arial" w:cs="Arial"/>
                <w:sz w:val="20"/>
                <w:lang w:val="en-US"/>
              </w:rPr>
            </w:pPr>
            <w:r w:rsidRPr="00D36407">
              <w:rPr>
                <w:rFonts w:ascii="Arial" w:hAnsi="Arial" w:cs="Arial"/>
                <w:sz w:val="20"/>
                <w:lang w:val="en-US"/>
              </w:rPr>
              <w:t>Audit fees</w:t>
            </w:r>
          </w:p>
        </w:tc>
        <w:tc>
          <w:tcPr>
            <w:tcW w:w="405" w:type="dxa"/>
            <w:tcBorders>
              <w:top w:val="nil"/>
              <w:left w:val="nil"/>
              <w:bottom w:val="nil"/>
              <w:right w:val="nil"/>
            </w:tcBorders>
            <w:shd w:val="clear" w:color="auto" w:fill="auto"/>
            <w:noWrap/>
            <w:hideMark/>
          </w:tcPr>
          <w:p w:rsidR="00D36407" w:rsidRPr="00D36407" w:rsidRDefault="00D36407" w:rsidP="00D36407">
            <w:pPr>
              <w:overflowPunct/>
              <w:autoSpaceDE/>
              <w:autoSpaceDN/>
              <w:adjustRightInd/>
              <w:spacing w:line="240" w:lineRule="auto"/>
              <w:ind w:firstLineChars="300" w:firstLine="600"/>
              <w:textAlignment w:val="auto"/>
              <w:rPr>
                <w:rFonts w:ascii="Arial" w:hAnsi="Arial" w:cs="Arial"/>
                <w:sz w:val="20"/>
                <w:lang w:val="en-US"/>
              </w:rPr>
            </w:pPr>
          </w:p>
        </w:tc>
        <w:tc>
          <w:tcPr>
            <w:tcW w:w="1242" w:type="dxa"/>
            <w:tcBorders>
              <w:top w:val="nil"/>
              <w:left w:val="nil"/>
              <w:bottom w:val="nil"/>
              <w:right w:val="nil"/>
            </w:tcBorders>
            <w:shd w:val="clear" w:color="auto" w:fill="auto"/>
            <w:noWrap/>
            <w:vAlign w:val="bottom"/>
            <w:hideMark/>
          </w:tcPr>
          <w:p w:rsidR="00D36407" w:rsidRPr="00D36407" w:rsidRDefault="00D36407" w:rsidP="00D36407">
            <w:pPr>
              <w:overflowPunct/>
              <w:autoSpaceDE/>
              <w:autoSpaceDN/>
              <w:adjustRightInd/>
              <w:spacing w:line="240" w:lineRule="auto"/>
              <w:jc w:val="right"/>
              <w:textAlignment w:val="auto"/>
              <w:rPr>
                <w:rFonts w:ascii="Arial" w:hAnsi="Arial" w:cs="Arial"/>
                <w:sz w:val="20"/>
                <w:lang w:val="en-US"/>
              </w:rPr>
            </w:pPr>
            <w:r w:rsidRPr="00D36407">
              <w:rPr>
                <w:rFonts w:ascii="Arial" w:hAnsi="Arial" w:cs="Arial"/>
                <w:sz w:val="20"/>
                <w:lang w:val="en-US"/>
              </w:rPr>
              <w:t>( 17)</w:t>
            </w:r>
          </w:p>
        </w:tc>
        <w:tc>
          <w:tcPr>
            <w:tcW w:w="1164" w:type="dxa"/>
            <w:tcBorders>
              <w:top w:val="nil"/>
              <w:left w:val="nil"/>
              <w:bottom w:val="nil"/>
              <w:right w:val="nil"/>
            </w:tcBorders>
            <w:shd w:val="clear" w:color="auto" w:fill="auto"/>
            <w:noWrap/>
            <w:vAlign w:val="bottom"/>
            <w:hideMark/>
          </w:tcPr>
          <w:p w:rsidR="00D36407" w:rsidRPr="00D36407" w:rsidRDefault="00D36407" w:rsidP="00D36407">
            <w:pPr>
              <w:overflowPunct/>
              <w:autoSpaceDE/>
              <w:autoSpaceDN/>
              <w:adjustRightInd/>
              <w:spacing w:line="240" w:lineRule="auto"/>
              <w:jc w:val="center"/>
              <w:textAlignment w:val="auto"/>
              <w:rPr>
                <w:rFonts w:ascii="Arial" w:hAnsi="Arial" w:cs="Arial"/>
                <w:sz w:val="20"/>
                <w:lang w:val="en-US"/>
              </w:rPr>
            </w:pPr>
          </w:p>
        </w:tc>
        <w:tc>
          <w:tcPr>
            <w:tcW w:w="343" w:type="dxa"/>
            <w:tcBorders>
              <w:top w:val="nil"/>
              <w:left w:val="nil"/>
              <w:bottom w:val="nil"/>
              <w:right w:val="nil"/>
            </w:tcBorders>
            <w:shd w:val="clear" w:color="auto" w:fill="auto"/>
            <w:noWrap/>
            <w:vAlign w:val="bottom"/>
            <w:hideMark/>
          </w:tcPr>
          <w:p w:rsidR="00D36407" w:rsidRPr="00D36407" w:rsidRDefault="00D36407" w:rsidP="00D36407">
            <w:pPr>
              <w:overflowPunct/>
              <w:autoSpaceDE/>
              <w:autoSpaceDN/>
              <w:adjustRightInd/>
              <w:spacing w:line="240" w:lineRule="auto"/>
              <w:jc w:val="center"/>
              <w:textAlignment w:val="auto"/>
              <w:rPr>
                <w:rFonts w:ascii="Arial" w:hAnsi="Arial" w:cs="Arial"/>
                <w:sz w:val="20"/>
                <w:lang w:val="en-US"/>
              </w:rPr>
            </w:pPr>
          </w:p>
        </w:tc>
        <w:tc>
          <w:tcPr>
            <w:tcW w:w="1867" w:type="dxa"/>
            <w:tcBorders>
              <w:top w:val="nil"/>
              <w:left w:val="nil"/>
              <w:bottom w:val="nil"/>
              <w:right w:val="nil"/>
            </w:tcBorders>
            <w:shd w:val="clear" w:color="auto" w:fill="auto"/>
            <w:noWrap/>
            <w:vAlign w:val="bottom"/>
            <w:hideMark/>
          </w:tcPr>
          <w:p w:rsidR="00D36407" w:rsidRPr="00D36407" w:rsidRDefault="00D36407" w:rsidP="00D36407">
            <w:pPr>
              <w:overflowPunct/>
              <w:autoSpaceDE/>
              <w:autoSpaceDN/>
              <w:adjustRightInd/>
              <w:spacing w:line="240" w:lineRule="auto"/>
              <w:jc w:val="right"/>
              <w:textAlignment w:val="auto"/>
              <w:rPr>
                <w:rFonts w:ascii="Arial" w:hAnsi="Arial" w:cs="Arial"/>
                <w:sz w:val="20"/>
                <w:lang w:val="en-US"/>
              </w:rPr>
            </w:pPr>
            <w:r w:rsidRPr="00D36407">
              <w:rPr>
                <w:rFonts w:ascii="Arial" w:hAnsi="Arial" w:cs="Arial"/>
                <w:sz w:val="20"/>
                <w:lang w:val="en-US"/>
              </w:rPr>
              <w:t>( 17)</w:t>
            </w:r>
          </w:p>
        </w:tc>
        <w:tc>
          <w:tcPr>
            <w:tcW w:w="631" w:type="dxa"/>
            <w:tcBorders>
              <w:top w:val="nil"/>
              <w:left w:val="nil"/>
              <w:bottom w:val="nil"/>
              <w:right w:val="single" w:sz="4" w:space="0" w:color="auto"/>
            </w:tcBorders>
            <w:shd w:val="clear" w:color="auto" w:fill="auto"/>
            <w:noWrap/>
            <w:vAlign w:val="bottom"/>
            <w:hideMark/>
          </w:tcPr>
          <w:p w:rsidR="00D36407" w:rsidRPr="00D36407" w:rsidRDefault="00D36407" w:rsidP="00D36407">
            <w:pPr>
              <w:overflowPunct/>
              <w:autoSpaceDE/>
              <w:autoSpaceDN/>
              <w:adjustRightInd/>
              <w:spacing w:line="240" w:lineRule="auto"/>
              <w:textAlignment w:val="auto"/>
              <w:rPr>
                <w:rFonts w:ascii="Arial" w:hAnsi="Arial" w:cs="Arial"/>
                <w:sz w:val="20"/>
                <w:lang w:val="en-US"/>
              </w:rPr>
            </w:pPr>
            <w:r w:rsidRPr="00D36407">
              <w:rPr>
                <w:rFonts w:ascii="Arial" w:hAnsi="Arial" w:cs="Arial"/>
                <w:sz w:val="20"/>
                <w:lang w:val="en-US"/>
              </w:rPr>
              <w:t> </w:t>
            </w:r>
          </w:p>
        </w:tc>
      </w:tr>
      <w:tr w:rsidR="00D36407" w:rsidRPr="00D36407" w:rsidTr="00B66938">
        <w:trPr>
          <w:trHeight w:val="305"/>
        </w:trPr>
        <w:tc>
          <w:tcPr>
            <w:tcW w:w="3440" w:type="dxa"/>
            <w:tcBorders>
              <w:top w:val="nil"/>
              <w:left w:val="single" w:sz="4" w:space="0" w:color="auto"/>
              <w:bottom w:val="nil"/>
              <w:right w:val="nil"/>
            </w:tcBorders>
            <w:shd w:val="clear" w:color="auto" w:fill="auto"/>
            <w:noWrap/>
            <w:hideMark/>
          </w:tcPr>
          <w:p w:rsidR="00D36407" w:rsidRPr="00D36407" w:rsidRDefault="00D36407" w:rsidP="00D36407">
            <w:pPr>
              <w:overflowPunct/>
              <w:autoSpaceDE/>
              <w:autoSpaceDN/>
              <w:adjustRightInd/>
              <w:spacing w:line="240" w:lineRule="auto"/>
              <w:textAlignment w:val="auto"/>
              <w:rPr>
                <w:rFonts w:ascii="Arial" w:hAnsi="Arial" w:cs="Arial"/>
                <w:sz w:val="20"/>
                <w:lang w:val="en-US"/>
              </w:rPr>
            </w:pPr>
            <w:r w:rsidRPr="00D36407">
              <w:rPr>
                <w:rFonts w:ascii="Arial" w:hAnsi="Arial" w:cs="Arial"/>
                <w:sz w:val="20"/>
                <w:lang w:val="en-US"/>
              </w:rPr>
              <w:t>Recharge to group companies</w:t>
            </w:r>
          </w:p>
        </w:tc>
        <w:tc>
          <w:tcPr>
            <w:tcW w:w="405" w:type="dxa"/>
            <w:tcBorders>
              <w:top w:val="nil"/>
              <w:left w:val="nil"/>
              <w:bottom w:val="nil"/>
              <w:right w:val="nil"/>
            </w:tcBorders>
            <w:shd w:val="clear" w:color="auto" w:fill="auto"/>
            <w:noWrap/>
            <w:hideMark/>
          </w:tcPr>
          <w:p w:rsidR="00D36407" w:rsidRPr="00D36407" w:rsidRDefault="00D36407" w:rsidP="00D36407">
            <w:pPr>
              <w:overflowPunct/>
              <w:autoSpaceDE/>
              <w:autoSpaceDN/>
              <w:adjustRightInd/>
              <w:spacing w:line="240" w:lineRule="auto"/>
              <w:textAlignment w:val="auto"/>
              <w:rPr>
                <w:rFonts w:ascii="Arial" w:hAnsi="Arial" w:cs="Arial"/>
                <w:sz w:val="20"/>
                <w:lang w:val="en-US"/>
              </w:rPr>
            </w:pPr>
          </w:p>
        </w:tc>
        <w:tc>
          <w:tcPr>
            <w:tcW w:w="1242" w:type="dxa"/>
            <w:tcBorders>
              <w:top w:val="nil"/>
              <w:left w:val="nil"/>
              <w:bottom w:val="single" w:sz="4" w:space="0" w:color="auto"/>
              <w:right w:val="nil"/>
            </w:tcBorders>
            <w:shd w:val="clear" w:color="auto" w:fill="auto"/>
            <w:noWrap/>
            <w:vAlign w:val="bottom"/>
            <w:hideMark/>
          </w:tcPr>
          <w:p w:rsidR="00D36407" w:rsidRPr="00D36407" w:rsidRDefault="00D36407" w:rsidP="00D36407">
            <w:pPr>
              <w:overflowPunct/>
              <w:autoSpaceDE/>
              <w:autoSpaceDN/>
              <w:adjustRightInd/>
              <w:spacing w:line="240" w:lineRule="auto"/>
              <w:jc w:val="right"/>
              <w:textAlignment w:val="auto"/>
              <w:rPr>
                <w:rFonts w:ascii="Arial" w:hAnsi="Arial" w:cs="Arial"/>
                <w:sz w:val="20"/>
                <w:lang w:val="en-US"/>
              </w:rPr>
            </w:pPr>
            <w:r w:rsidRPr="00D36407">
              <w:rPr>
                <w:rFonts w:ascii="Arial" w:hAnsi="Arial" w:cs="Arial"/>
                <w:sz w:val="20"/>
                <w:lang w:val="en-US"/>
              </w:rPr>
              <w:t xml:space="preserve">             366 </w:t>
            </w:r>
          </w:p>
        </w:tc>
        <w:tc>
          <w:tcPr>
            <w:tcW w:w="1164" w:type="dxa"/>
            <w:tcBorders>
              <w:top w:val="nil"/>
              <w:left w:val="nil"/>
              <w:bottom w:val="nil"/>
              <w:right w:val="nil"/>
            </w:tcBorders>
            <w:shd w:val="clear" w:color="auto" w:fill="auto"/>
            <w:noWrap/>
            <w:vAlign w:val="bottom"/>
            <w:hideMark/>
          </w:tcPr>
          <w:p w:rsidR="00D36407" w:rsidRPr="00D36407" w:rsidRDefault="00D36407" w:rsidP="00D36407">
            <w:pPr>
              <w:overflowPunct/>
              <w:autoSpaceDE/>
              <w:autoSpaceDN/>
              <w:adjustRightInd/>
              <w:spacing w:line="240" w:lineRule="auto"/>
              <w:jc w:val="center"/>
              <w:textAlignment w:val="auto"/>
              <w:rPr>
                <w:rFonts w:ascii="Arial" w:hAnsi="Arial" w:cs="Arial"/>
                <w:sz w:val="20"/>
                <w:lang w:val="en-US"/>
              </w:rPr>
            </w:pPr>
          </w:p>
        </w:tc>
        <w:tc>
          <w:tcPr>
            <w:tcW w:w="343" w:type="dxa"/>
            <w:tcBorders>
              <w:top w:val="nil"/>
              <w:left w:val="nil"/>
              <w:bottom w:val="nil"/>
              <w:right w:val="nil"/>
            </w:tcBorders>
            <w:shd w:val="clear" w:color="auto" w:fill="auto"/>
            <w:noWrap/>
            <w:vAlign w:val="bottom"/>
            <w:hideMark/>
          </w:tcPr>
          <w:p w:rsidR="00D36407" w:rsidRPr="00D36407" w:rsidRDefault="00D36407" w:rsidP="00D36407">
            <w:pPr>
              <w:overflowPunct/>
              <w:autoSpaceDE/>
              <w:autoSpaceDN/>
              <w:adjustRightInd/>
              <w:spacing w:line="240" w:lineRule="auto"/>
              <w:jc w:val="center"/>
              <w:textAlignment w:val="auto"/>
              <w:rPr>
                <w:rFonts w:ascii="Arial" w:hAnsi="Arial" w:cs="Arial"/>
                <w:sz w:val="20"/>
                <w:lang w:val="en-US"/>
              </w:rPr>
            </w:pPr>
          </w:p>
        </w:tc>
        <w:tc>
          <w:tcPr>
            <w:tcW w:w="1867" w:type="dxa"/>
            <w:tcBorders>
              <w:top w:val="nil"/>
              <w:left w:val="nil"/>
              <w:bottom w:val="single" w:sz="4" w:space="0" w:color="auto"/>
              <w:right w:val="nil"/>
            </w:tcBorders>
            <w:shd w:val="clear" w:color="auto" w:fill="auto"/>
            <w:noWrap/>
            <w:vAlign w:val="bottom"/>
            <w:hideMark/>
          </w:tcPr>
          <w:p w:rsidR="00D36407" w:rsidRPr="00D36407" w:rsidRDefault="00D36407" w:rsidP="00D36407">
            <w:pPr>
              <w:overflowPunct/>
              <w:autoSpaceDE/>
              <w:autoSpaceDN/>
              <w:adjustRightInd/>
              <w:spacing w:line="240" w:lineRule="auto"/>
              <w:jc w:val="right"/>
              <w:textAlignment w:val="auto"/>
              <w:rPr>
                <w:rFonts w:ascii="Arial" w:hAnsi="Arial" w:cs="Arial"/>
                <w:sz w:val="20"/>
                <w:lang w:val="en-US"/>
              </w:rPr>
            </w:pPr>
            <w:r w:rsidRPr="00D36407">
              <w:rPr>
                <w:rFonts w:ascii="Arial" w:hAnsi="Arial" w:cs="Arial"/>
                <w:sz w:val="20"/>
                <w:lang w:val="en-US"/>
              </w:rPr>
              <w:t xml:space="preserve">               338 </w:t>
            </w:r>
          </w:p>
        </w:tc>
        <w:tc>
          <w:tcPr>
            <w:tcW w:w="631" w:type="dxa"/>
            <w:tcBorders>
              <w:top w:val="nil"/>
              <w:left w:val="nil"/>
              <w:bottom w:val="nil"/>
              <w:right w:val="single" w:sz="4" w:space="0" w:color="auto"/>
            </w:tcBorders>
            <w:shd w:val="clear" w:color="auto" w:fill="auto"/>
            <w:noWrap/>
            <w:vAlign w:val="bottom"/>
            <w:hideMark/>
          </w:tcPr>
          <w:p w:rsidR="00D36407" w:rsidRPr="00D36407" w:rsidRDefault="00D36407" w:rsidP="00D36407">
            <w:pPr>
              <w:overflowPunct/>
              <w:autoSpaceDE/>
              <w:autoSpaceDN/>
              <w:adjustRightInd/>
              <w:spacing w:line="240" w:lineRule="auto"/>
              <w:jc w:val="right"/>
              <w:textAlignment w:val="auto"/>
              <w:rPr>
                <w:rFonts w:ascii="Arial" w:hAnsi="Arial" w:cs="Arial"/>
                <w:sz w:val="20"/>
                <w:lang w:val="en-US"/>
              </w:rPr>
            </w:pPr>
            <w:r w:rsidRPr="00D36407">
              <w:rPr>
                <w:rFonts w:ascii="Arial" w:hAnsi="Arial" w:cs="Arial"/>
                <w:sz w:val="20"/>
                <w:lang w:val="en-US"/>
              </w:rPr>
              <w:t> </w:t>
            </w:r>
          </w:p>
        </w:tc>
      </w:tr>
      <w:tr w:rsidR="00D36407" w:rsidRPr="00D36407" w:rsidTr="00B66938">
        <w:trPr>
          <w:trHeight w:val="305"/>
        </w:trPr>
        <w:tc>
          <w:tcPr>
            <w:tcW w:w="3440" w:type="dxa"/>
            <w:tcBorders>
              <w:top w:val="nil"/>
              <w:left w:val="single" w:sz="4" w:space="0" w:color="auto"/>
              <w:bottom w:val="nil"/>
              <w:right w:val="nil"/>
            </w:tcBorders>
            <w:shd w:val="clear" w:color="auto" w:fill="auto"/>
            <w:noWrap/>
            <w:vAlign w:val="bottom"/>
            <w:hideMark/>
          </w:tcPr>
          <w:p w:rsidR="00D36407" w:rsidRPr="00D36407" w:rsidRDefault="00D36407" w:rsidP="00D36407">
            <w:pPr>
              <w:overflowPunct/>
              <w:autoSpaceDE/>
              <w:autoSpaceDN/>
              <w:adjustRightInd/>
              <w:spacing w:line="240" w:lineRule="auto"/>
              <w:textAlignment w:val="auto"/>
              <w:rPr>
                <w:rFonts w:ascii="Arial" w:hAnsi="Arial" w:cs="Arial"/>
                <w:sz w:val="20"/>
                <w:lang w:val="en-US"/>
              </w:rPr>
            </w:pPr>
            <w:r w:rsidRPr="00D36407">
              <w:rPr>
                <w:rFonts w:ascii="Arial" w:hAnsi="Arial" w:cs="Arial"/>
                <w:sz w:val="20"/>
                <w:lang w:val="en-US"/>
              </w:rPr>
              <w:t> </w:t>
            </w:r>
          </w:p>
        </w:tc>
        <w:tc>
          <w:tcPr>
            <w:tcW w:w="405" w:type="dxa"/>
            <w:tcBorders>
              <w:top w:val="nil"/>
              <w:left w:val="nil"/>
              <w:bottom w:val="nil"/>
              <w:right w:val="nil"/>
            </w:tcBorders>
            <w:shd w:val="clear" w:color="auto" w:fill="auto"/>
            <w:noWrap/>
            <w:hideMark/>
          </w:tcPr>
          <w:p w:rsidR="00D36407" w:rsidRPr="00D36407" w:rsidRDefault="00D36407" w:rsidP="00D36407">
            <w:pPr>
              <w:overflowPunct/>
              <w:autoSpaceDE/>
              <w:autoSpaceDN/>
              <w:adjustRightInd/>
              <w:spacing w:line="240" w:lineRule="auto"/>
              <w:textAlignment w:val="auto"/>
              <w:rPr>
                <w:rFonts w:ascii="Arial" w:hAnsi="Arial" w:cs="Arial"/>
                <w:sz w:val="20"/>
                <w:lang w:val="en-US"/>
              </w:rPr>
            </w:pPr>
          </w:p>
        </w:tc>
        <w:tc>
          <w:tcPr>
            <w:tcW w:w="1242" w:type="dxa"/>
            <w:tcBorders>
              <w:top w:val="nil"/>
              <w:left w:val="nil"/>
              <w:bottom w:val="nil"/>
              <w:right w:val="nil"/>
            </w:tcBorders>
            <w:shd w:val="clear" w:color="auto" w:fill="auto"/>
            <w:noWrap/>
            <w:vAlign w:val="bottom"/>
            <w:hideMark/>
          </w:tcPr>
          <w:p w:rsidR="00D36407" w:rsidRPr="00D36407" w:rsidRDefault="00D36407" w:rsidP="00D36407">
            <w:pPr>
              <w:overflowPunct/>
              <w:autoSpaceDE/>
              <w:autoSpaceDN/>
              <w:adjustRightInd/>
              <w:spacing w:line="240" w:lineRule="auto"/>
              <w:jc w:val="right"/>
              <w:textAlignment w:val="auto"/>
              <w:rPr>
                <w:rFonts w:ascii="Arial" w:hAnsi="Arial" w:cs="Arial"/>
                <w:sz w:val="20"/>
                <w:lang w:val="en-US"/>
              </w:rPr>
            </w:pPr>
          </w:p>
        </w:tc>
        <w:tc>
          <w:tcPr>
            <w:tcW w:w="1164" w:type="dxa"/>
            <w:tcBorders>
              <w:top w:val="nil"/>
              <w:left w:val="nil"/>
              <w:bottom w:val="nil"/>
              <w:right w:val="nil"/>
            </w:tcBorders>
            <w:shd w:val="clear" w:color="auto" w:fill="auto"/>
            <w:noWrap/>
            <w:vAlign w:val="bottom"/>
            <w:hideMark/>
          </w:tcPr>
          <w:p w:rsidR="00D36407" w:rsidRPr="00D36407" w:rsidRDefault="00D36407" w:rsidP="00D36407">
            <w:pPr>
              <w:overflowPunct/>
              <w:autoSpaceDE/>
              <w:autoSpaceDN/>
              <w:adjustRightInd/>
              <w:spacing w:line="240" w:lineRule="auto"/>
              <w:jc w:val="center"/>
              <w:textAlignment w:val="auto"/>
              <w:rPr>
                <w:rFonts w:ascii="Arial" w:hAnsi="Arial" w:cs="Arial"/>
                <w:sz w:val="20"/>
                <w:lang w:val="en-US"/>
              </w:rPr>
            </w:pPr>
          </w:p>
        </w:tc>
        <w:tc>
          <w:tcPr>
            <w:tcW w:w="343" w:type="dxa"/>
            <w:tcBorders>
              <w:top w:val="nil"/>
              <w:left w:val="nil"/>
              <w:bottom w:val="nil"/>
              <w:right w:val="nil"/>
            </w:tcBorders>
            <w:shd w:val="clear" w:color="auto" w:fill="auto"/>
            <w:noWrap/>
            <w:vAlign w:val="bottom"/>
            <w:hideMark/>
          </w:tcPr>
          <w:p w:rsidR="00D36407" w:rsidRPr="00D36407" w:rsidRDefault="00D36407" w:rsidP="00D36407">
            <w:pPr>
              <w:overflowPunct/>
              <w:autoSpaceDE/>
              <w:autoSpaceDN/>
              <w:adjustRightInd/>
              <w:spacing w:line="240" w:lineRule="auto"/>
              <w:jc w:val="center"/>
              <w:textAlignment w:val="auto"/>
              <w:rPr>
                <w:rFonts w:ascii="Arial" w:hAnsi="Arial" w:cs="Arial"/>
                <w:sz w:val="20"/>
                <w:lang w:val="en-US"/>
              </w:rPr>
            </w:pPr>
          </w:p>
        </w:tc>
        <w:tc>
          <w:tcPr>
            <w:tcW w:w="1867" w:type="dxa"/>
            <w:tcBorders>
              <w:top w:val="nil"/>
              <w:left w:val="nil"/>
              <w:bottom w:val="nil"/>
              <w:right w:val="nil"/>
            </w:tcBorders>
            <w:shd w:val="clear" w:color="auto" w:fill="auto"/>
            <w:noWrap/>
            <w:vAlign w:val="bottom"/>
            <w:hideMark/>
          </w:tcPr>
          <w:p w:rsidR="00D36407" w:rsidRPr="00D36407" w:rsidRDefault="00D36407" w:rsidP="00D36407">
            <w:pPr>
              <w:overflowPunct/>
              <w:autoSpaceDE/>
              <w:autoSpaceDN/>
              <w:adjustRightInd/>
              <w:spacing w:line="240" w:lineRule="auto"/>
              <w:jc w:val="right"/>
              <w:textAlignment w:val="auto"/>
              <w:rPr>
                <w:rFonts w:ascii="Arial" w:hAnsi="Arial" w:cs="Arial"/>
                <w:sz w:val="20"/>
                <w:lang w:val="en-US"/>
              </w:rPr>
            </w:pPr>
          </w:p>
        </w:tc>
        <w:tc>
          <w:tcPr>
            <w:tcW w:w="631" w:type="dxa"/>
            <w:tcBorders>
              <w:top w:val="nil"/>
              <w:left w:val="nil"/>
              <w:bottom w:val="nil"/>
              <w:right w:val="single" w:sz="4" w:space="0" w:color="auto"/>
            </w:tcBorders>
            <w:shd w:val="clear" w:color="auto" w:fill="auto"/>
            <w:noWrap/>
            <w:vAlign w:val="bottom"/>
            <w:hideMark/>
          </w:tcPr>
          <w:p w:rsidR="00D36407" w:rsidRPr="00D36407" w:rsidRDefault="00D36407" w:rsidP="00D36407">
            <w:pPr>
              <w:overflowPunct/>
              <w:autoSpaceDE/>
              <w:autoSpaceDN/>
              <w:adjustRightInd/>
              <w:spacing w:line="240" w:lineRule="auto"/>
              <w:jc w:val="right"/>
              <w:textAlignment w:val="auto"/>
              <w:rPr>
                <w:rFonts w:ascii="Arial" w:hAnsi="Arial" w:cs="Arial"/>
                <w:sz w:val="20"/>
                <w:lang w:val="en-US"/>
              </w:rPr>
            </w:pPr>
            <w:r w:rsidRPr="00D36407">
              <w:rPr>
                <w:rFonts w:ascii="Arial" w:hAnsi="Arial" w:cs="Arial"/>
                <w:sz w:val="20"/>
                <w:lang w:val="en-US"/>
              </w:rPr>
              <w:t> </w:t>
            </w:r>
          </w:p>
        </w:tc>
      </w:tr>
      <w:tr w:rsidR="00D36407" w:rsidRPr="00D36407" w:rsidTr="00B66938">
        <w:trPr>
          <w:trHeight w:val="320"/>
        </w:trPr>
        <w:tc>
          <w:tcPr>
            <w:tcW w:w="3440" w:type="dxa"/>
            <w:tcBorders>
              <w:top w:val="nil"/>
              <w:left w:val="single" w:sz="4" w:space="0" w:color="auto"/>
              <w:bottom w:val="nil"/>
              <w:right w:val="nil"/>
            </w:tcBorders>
            <w:shd w:val="clear" w:color="auto" w:fill="auto"/>
            <w:noWrap/>
            <w:hideMark/>
          </w:tcPr>
          <w:p w:rsidR="00D36407" w:rsidRPr="00D36407" w:rsidRDefault="00D36407" w:rsidP="00D36407">
            <w:pPr>
              <w:overflowPunct/>
              <w:autoSpaceDE/>
              <w:autoSpaceDN/>
              <w:adjustRightInd/>
              <w:spacing w:line="240" w:lineRule="auto"/>
              <w:textAlignment w:val="auto"/>
              <w:rPr>
                <w:rFonts w:ascii="Arial" w:hAnsi="Arial" w:cs="Arial"/>
                <w:sz w:val="20"/>
                <w:lang w:val="en-US"/>
              </w:rPr>
            </w:pPr>
            <w:r w:rsidRPr="00D36407">
              <w:rPr>
                <w:rFonts w:ascii="Arial" w:hAnsi="Arial" w:cs="Arial"/>
                <w:sz w:val="20"/>
                <w:lang w:val="en-US"/>
              </w:rPr>
              <w:t>Total net operating income</w:t>
            </w:r>
          </w:p>
        </w:tc>
        <w:tc>
          <w:tcPr>
            <w:tcW w:w="405" w:type="dxa"/>
            <w:tcBorders>
              <w:top w:val="nil"/>
              <w:left w:val="nil"/>
              <w:bottom w:val="nil"/>
              <w:right w:val="nil"/>
            </w:tcBorders>
            <w:shd w:val="clear" w:color="auto" w:fill="auto"/>
            <w:noWrap/>
            <w:vAlign w:val="bottom"/>
            <w:hideMark/>
          </w:tcPr>
          <w:p w:rsidR="00D36407" w:rsidRPr="00D36407" w:rsidRDefault="00D36407" w:rsidP="00D36407">
            <w:pPr>
              <w:overflowPunct/>
              <w:autoSpaceDE/>
              <w:autoSpaceDN/>
              <w:adjustRightInd/>
              <w:spacing w:line="240" w:lineRule="auto"/>
              <w:textAlignment w:val="auto"/>
              <w:rPr>
                <w:rFonts w:ascii="Arial" w:hAnsi="Arial" w:cs="Arial"/>
                <w:i/>
                <w:iCs/>
                <w:sz w:val="20"/>
                <w:lang w:val="en-US"/>
              </w:rPr>
            </w:pPr>
          </w:p>
        </w:tc>
        <w:tc>
          <w:tcPr>
            <w:tcW w:w="1242" w:type="dxa"/>
            <w:tcBorders>
              <w:top w:val="nil"/>
              <w:left w:val="nil"/>
              <w:bottom w:val="nil"/>
              <w:right w:val="nil"/>
            </w:tcBorders>
            <w:shd w:val="clear" w:color="auto" w:fill="auto"/>
            <w:noWrap/>
            <w:vAlign w:val="bottom"/>
            <w:hideMark/>
          </w:tcPr>
          <w:p w:rsidR="00D36407" w:rsidRPr="00D36407" w:rsidRDefault="00D36407" w:rsidP="00D36407">
            <w:pPr>
              <w:overflowPunct/>
              <w:autoSpaceDE/>
              <w:autoSpaceDN/>
              <w:adjustRightInd/>
              <w:spacing w:line="240" w:lineRule="auto"/>
              <w:jc w:val="center"/>
              <w:textAlignment w:val="auto"/>
              <w:rPr>
                <w:rFonts w:ascii="Arial" w:hAnsi="Arial" w:cs="Arial"/>
                <w:sz w:val="20"/>
                <w:lang w:val="en-US"/>
              </w:rPr>
            </w:pPr>
          </w:p>
        </w:tc>
        <w:tc>
          <w:tcPr>
            <w:tcW w:w="1164" w:type="dxa"/>
            <w:tcBorders>
              <w:top w:val="nil"/>
              <w:left w:val="nil"/>
              <w:bottom w:val="double" w:sz="6" w:space="0" w:color="auto"/>
              <w:right w:val="nil"/>
            </w:tcBorders>
            <w:shd w:val="clear" w:color="auto" w:fill="auto"/>
            <w:noWrap/>
            <w:vAlign w:val="bottom"/>
            <w:hideMark/>
          </w:tcPr>
          <w:p w:rsidR="00D36407" w:rsidRPr="00D36407" w:rsidRDefault="00D36407" w:rsidP="00D36407">
            <w:pPr>
              <w:overflowPunct/>
              <w:autoSpaceDE/>
              <w:autoSpaceDN/>
              <w:adjustRightInd/>
              <w:spacing w:line="240" w:lineRule="auto"/>
              <w:jc w:val="right"/>
              <w:textAlignment w:val="auto"/>
              <w:rPr>
                <w:rFonts w:ascii="Arial" w:hAnsi="Arial" w:cs="Arial"/>
                <w:sz w:val="20"/>
                <w:lang w:val="en-US"/>
              </w:rPr>
            </w:pPr>
            <w:r w:rsidRPr="00D36407">
              <w:rPr>
                <w:rFonts w:ascii="Arial" w:hAnsi="Arial" w:cs="Arial"/>
                <w:sz w:val="20"/>
                <w:lang w:val="en-US"/>
              </w:rPr>
              <w:t xml:space="preserve"> 345 </w:t>
            </w:r>
          </w:p>
        </w:tc>
        <w:tc>
          <w:tcPr>
            <w:tcW w:w="343" w:type="dxa"/>
            <w:tcBorders>
              <w:top w:val="nil"/>
              <w:left w:val="nil"/>
              <w:bottom w:val="nil"/>
              <w:right w:val="nil"/>
            </w:tcBorders>
            <w:shd w:val="clear" w:color="auto" w:fill="auto"/>
            <w:noWrap/>
            <w:vAlign w:val="bottom"/>
            <w:hideMark/>
          </w:tcPr>
          <w:p w:rsidR="00D36407" w:rsidRPr="00D36407" w:rsidRDefault="00D36407" w:rsidP="00D36407">
            <w:pPr>
              <w:overflowPunct/>
              <w:autoSpaceDE/>
              <w:autoSpaceDN/>
              <w:adjustRightInd/>
              <w:spacing w:line="240" w:lineRule="auto"/>
              <w:jc w:val="center"/>
              <w:textAlignment w:val="auto"/>
              <w:rPr>
                <w:rFonts w:ascii="Arial" w:hAnsi="Arial" w:cs="Arial"/>
                <w:sz w:val="20"/>
                <w:lang w:val="en-US"/>
              </w:rPr>
            </w:pPr>
          </w:p>
        </w:tc>
        <w:tc>
          <w:tcPr>
            <w:tcW w:w="1867" w:type="dxa"/>
            <w:tcBorders>
              <w:top w:val="nil"/>
              <w:left w:val="nil"/>
              <w:bottom w:val="nil"/>
              <w:right w:val="nil"/>
            </w:tcBorders>
            <w:shd w:val="clear" w:color="auto" w:fill="auto"/>
            <w:noWrap/>
            <w:vAlign w:val="bottom"/>
            <w:hideMark/>
          </w:tcPr>
          <w:p w:rsidR="00D36407" w:rsidRPr="00D36407" w:rsidRDefault="00D36407" w:rsidP="00D36407">
            <w:pPr>
              <w:overflowPunct/>
              <w:autoSpaceDE/>
              <w:autoSpaceDN/>
              <w:adjustRightInd/>
              <w:spacing w:line="240" w:lineRule="auto"/>
              <w:jc w:val="right"/>
              <w:textAlignment w:val="auto"/>
              <w:rPr>
                <w:rFonts w:ascii="Arial" w:hAnsi="Arial" w:cs="Arial"/>
                <w:sz w:val="20"/>
                <w:lang w:val="en-US"/>
              </w:rPr>
            </w:pPr>
          </w:p>
        </w:tc>
        <w:tc>
          <w:tcPr>
            <w:tcW w:w="631" w:type="dxa"/>
            <w:tcBorders>
              <w:top w:val="nil"/>
              <w:left w:val="nil"/>
              <w:bottom w:val="double" w:sz="6" w:space="0" w:color="auto"/>
              <w:right w:val="single" w:sz="4" w:space="0" w:color="auto"/>
            </w:tcBorders>
            <w:shd w:val="clear" w:color="auto" w:fill="auto"/>
            <w:noWrap/>
            <w:vAlign w:val="bottom"/>
            <w:hideMark/>
          </w:tcPr>
          <w:p w:rsidR="00D36407" w:rsidRPr="00D36407" w:rsidRDefault="00D36407" w:rsidP="00D36407">
            <w:pPr>
              <w:overflowPunct/>
              <w:autoSpaceDE/>
              <w:autoSpaceDN/>
              <w:adjustRightInd/>
              <w:spacing w:line="240" w:lineRule="auto"/>
              <w:jc w:val="right"/>
              <w:textAlignment w:val="auto"/>
              <w:rPr>
                <w:rFonts w:ascii="Arial" w:hAnsi="Arial" w:cs="Arial"/>
                <w:sz w:val="20"/>
                <w:lang w:val="en-US"/>
              </w:rPr>
            </w:pPr>
            <w:r w:rsidRPr="00D36407">
              <w:rPr>
                <w:rFonts w:ascii="Arial" w:hAnsi="Arial" w:cs="Arial"/>
                <w:sz w:val="20"/>
                <w:lang w:val="en-US"/>
              </w:rPr>
              <w:t xml:space="preserve"> 331 </w:t>
            </w:r>
          </w:p>
        </w:tc>
      </w:tr>
      <w:tr w:rsidR="00D36407" w:rsidRPr="00D36407" w:rsidTr="00B66938">
        <w:trPr>
          <w:trHeight w:val="320"/>
        </w:trPr>
        <w:tc>
          <w:tcPr>
            <w:tcW w:w="3440" w:type="dxa"/>
            <w:tcBorders>
              <w:top w:val="nil"/>
              <w:left w:val="single" w:sz="4" w:space="0" w:color="auto"/>
              <w:bottom w:val="single" w:sz="4" w:space="0" w:color="auto"/>
              <w:right w:val="nil"/>
            </w:tcBorders>
            <w:shd w:val="clear" w:color="auto" w:fill="auto"/>
            <w:noWrap/>
            <w:vAlign w:val="bottom"/>
            <w:hideMark/>
          </w:tcPr>
          <w:p w:rsidR="00D36407" w:rsidRPr="00D36407" w:rsidRDefault="00D36407" w:rsidP="00D36407">
            <w:pPr>
              <w:overflowPunct/>
              <w:autoSpaceDE/>
              <w:autoSpaceDN/>
              <w:adjustRightInd/>
              <w:spacing w:line="240" w:lineRule="auto"/>
              <w:textAlignment w:val="auto"/>
              <w:rPr>
                <w:rFonts w:ascii="Arial" w:hAnsi="Arial" w:cs="Arial"/>
                <w:sz w:val="20"/>
                <w:lang w:val="en-US"/>
              </w:rPr>
            </w:pPr>
            <w:r w:rsidRPr="00D36407">
              <w:rPr>
                <w:rFonts w:ascii="Arial" w:hAnsi="Arial" w:cs="Arial"/>
                <w:sz w:val="20"/>
                <w:lang w:val="en-US"/>
              </w:rPr>
              <w:t> </w:t>
            </w:r>
          </w:p>
        </w:tc>
        <w:tc>
          <w:tcPr>
            <w:tcW w:w="405" w:type="dxa"/>
            <w:tcBorders>
              <w:top w:val="nil"/>
              <w:left w:val="nil"/>
              <w:bottom w:val="single" w:sz="4" w:space="0" w:color="auto"/>
              <w:right w:val="nil"/>
            </w:tcBorders>
            <w:shd w:val="clear" w:color="auto" w:fill="auto"/>
            <w:hideMark/>
          </w:tcPr>
          <w:p w:rsidR="00D36407" w:rsidRPr="00D36407" w:rsidRDefault="00D36407" w:rsidP="00D36407">
            <w:pPr>
              <w:overflowPunct/>
              <w:autoSpaceDE/>
              <w:autoSpaceDN/>
              <w:adjustRightInd/>
              <w:spacing w:line="240" w:lineRule="auto"/>
              <w:textAlignment w:val="auto"/>
              <w:rPr>
                <w:rFonts w:ascii="Arial" w:hAnsi="Arial" w:cs="Arial"/>
                <w:sz w:val="16"/>
                <w:szCs w:val="16"/>
                <w:lang w:val="en-US"/>
              </w:rPr>
            </w:pPr>
            <w:r w:rsidRPr="00D36407">
              <w:rPr>
                <w:rFonts w:ascii="Arial" w:hAnsi="Arial" w:cs="Arial"/>
                <w:sz w:val="16"/>
                <w:szCs w:val="16"/>
                <w:lang w:val="en-US"/>
              </w:rPr>
              <w:t> </w:t>
            </w:r>
          </w:p>
        </w:tc>
        <w:tc>
          <w:tcPr>
            <w:tcW w:w="1242" w:type="dxa"/>
            <w:tcBorders>
              <w:top w:val="nil"/>
              <w:left w:val="nil"/>
              <w:bottom w:val="single" w:sz="4" w:space="0" w:color="auto"/>
              <w:right w:val="nil"/>
            </w:tcBorders>
            <w:shd w:val="clear" w:color="auto" w:fill="auto"/>
            <w:hideMark/>
          </w:tcPr>
          <w:p w:rsidR="00D36407" w:rsidRPr="00D36407" w:rsidRDefault="00D36407" w:rsidP="00D36407">
            <w:pPr>
              <w:overflowPunct/>
              <w:autoSpaceDE/>
              <w:autoSpaceDN/>
              <w:adjustRightInd/>
              <w:spacing w:line="240" w:lineRule="auto"/>
              <w:ind w:firstLineChars="100" w:firstLine="200"/>
              <w:jc w:val="right"/>
              <w:textAlignment w:val="auto"/>
              <w:rPr>
                <w:rFonts w:ascii="Arial" w:hAnsi="Arial" w:cs="Arial"/>
                <w:sz w:val="20"/>
                <w:lang w:val="en-US"/>
              </w:rPr>
            </w:pPr>
            <w:r w:rsidRPr="00D36407">
              <w:rPr>
                <w:rFonts w:ascii="Arial" w:hAnsi="Arial" w:cs="Arial"/>
                <w:sz w:val="20"/>
                <w:lang w:val="en-US"/>
              </w:rPr>
              <w:t> </w:t>
            </w:r>
          </w:p>
        </w:tc>
        <w:tc>
          <w:tcPr>
            <w:tcW w:w="1164" w:type="dxa"/>
            <w:tcBorders>
              <w:top w:val="nil"/>
              <w:left w:val="nil"/>
              <w:bottom w:val="single" w:sz="4" w:space="0" w:color="auto"/>
              <w:right w:val="nil"/>
            </w:tcBorders>
            <w:shd w:val="clear" w:color="auto" w:fill="auto"/>
            <w:hideMark/>
          </w:tcPr>
          <w:p w:rsidR="00D36407" w:rsidRPr="00D36407" w:rsidRDefault="00D36407" w:rsidP="00D36407">
            <w:pPr>
              <w:overflowPunct/>
              <w:autoSpaceDE/>
              <w:autoSpaceDN/>
              <w:adjustRightInd/>
              <w:spacing w:line="240" w:lineRule="auto"/>
              <w:ind w:firstLineChars="100" w:firstLine="200"/>
              <w:jc w:val="right"/>
              <w:textAlignment w:val="auto"/>
              <w:rPr>
                <w:rFonts w:ascii="Arial" w:hAnsi="Arial" w:cs="Arial"/>
                <w:sz w:val="20"/>
                <w:lang w:val="en-US"/>
              </w:rPr>
            </w:pPr>
            <w:r w:rsidRPr="00D36407">
              <w:rPr>
                <w:rFonts w:ascii="Arial" w:hAnsi="Arial" w:cs="Arial"/>
                <w:sz w:val="20"/>
                <w:lang w:val="en-US"/>
              </w:rPr>
              <w:t> </w:t>
            </w:r>
          </w:p>
        </w:tc>
        <w:tc>
          <w:tcPr>
            <w:tcW w:w="343" w:type="dxa"/>
            <w:tcBorders>
              <w:top w:val="nil"/>
              <w:left w:val="nil"/>
              <w:bottom w:val="single" w:sz="4" w:space="0" w:color="auto"/>
              <w:right w:val="nil"/>
            </w:tcBorders>
            <w:shd w:val="clear" w:color="auto" w:fill="auto"/>
            <w:hideMark/>
          </w:tcPr>
          <w:p w:rsidR="00D36407" w:rsidRPr="00D36407" w:rsidRDefault="00D36407" w:rsidP="00D36407">
            <w:pPr>
              <w:overflowPunct/>
              <w:autoSpaceDE/>
              <w:autoSpaceDN/>
              <w:adjustRightInd/>
              <w:spacing w:line="240" w:lineRule="auto"/>
              <w:ind w:firstLineChars="100" w:firstLine="200"/>
              <w:jc w:val="right"/>
              <w:textAlignment w:val="auto"/>
              <w:rPr>
                <w:rFonts w:ascii="Arial" w:hAnsi="Arial" w:cs="Arial"/>
                <w:sz w:val="20"/>
                <w:lang w:val="en-US"/>
              </w:rPr>
            </w:pPr>
            <w:r w:rsidRPr="00D36407">
              <w:rPr>
                <w:rFonts w:ascii="Arial" w:hAnsi="Arial" w:cs="Arial"/>
                <w:sz w:val="20"/>
                <w:lang w:val="en-US"/>
              </w:rPr>
              <w:t> </w:t>
            </w:r>
          </w:p>
        </w:tc>
        <w:tc>
          <w:tcPr>
            <w:tcW w:w="1867" w:type="dxa"/>
            <w:tcBorders>
              <w:top w:val="nil"/>
              <w:left w:val="nil"/>
              <w:bottom w:val="single" w:sz="4" w:space="0" w:color="auto"/>
              <w:right w:val="nil"/>
            </w:tcBorders>
            <w:shd w:val="clear" w:color="auto" w:fill="auto"/>
            <w:noWrap/>
            <w:vAlign w:val="bottom"/>
            <w:hideMark/>
          </w:tcPr>
          <w:p w:rsidR="00D36407" w:rsidRPr="00D36407" w:rsidRDefault="00D36407" w:rsidP="00D36407">
            <w:pPr>
              <w:overflowPunct/>
              <w:autoSpaceDE/>
              <w:autoSpaceDN/>
              <w:adjustRightInd/>
              <w:spacing w:line="240" w:lineRule="auto"/>
              <w:textAlignment w:val="auto"/>
              <w:rPr>
                <w:rFonts w:ascii="Arial" w:hAnsi="Arial" w:cs="Arial"/>
                <w:sz w:val="20"/>
                <w:lang w:val="en-US"/>
              </w:rPr>
            </w:pPr>
            <w:r w:rsidRPr="00D36407">
              <w:rPr>
                <w:rFonts w:ascii="Arial" w:hAnsi="Arial" w:cs="Arial"/>
                <w:sz w:val="20"/>
                <w:lang w:val="en-US"/>
              </w:rPr>
              <w:t> </w:t>
            </w:r>
          </w:p>
        </w:tc>
        <w:tc>
          <w:tcPr>
            <w:tcW w:w="631" w:type="dxa"/>
            <w:tcBorders>
              <w:top w:val="nil"/>
              <w:left w:val="nil"/>
              <w:bottom w:val="single" w:sz="4" w:space="0" w:color="auto"/>
              <w:right w:val="single" w:sz="4" w:space="0" w:color="auto"/>
            </w:tcBorders>
            <w:shd w:val="clear" w:color="auto" w:fill="auto"/>
            <w:noWrap/>
            <w:vAlign w:val="bottom"/>
            <w:hideMark/>
          </w:tcPr>
          <w:p w:rsidR="00D36407" w:rsidRPr="00D36407" w:rsidRDefault="00D36407" w:rsidP="00D36407">
            <w:pPr>
              <w:overflowPunct/>
              <w:autoSpaceDE/>
              <w:autoSpaceDN/>
              <w:adjustRightInd/>
              <w:spacing w:line="240" w:lineRule="auto"/>
              <w:textAlignment w:val="auto"/>
              <w:rPr>
                <w:rFonts w:ascii="Arial" w:hAnsi="Arial" w:cs="Arial"/>
                <w:sz w:val="20"/>
                <w:lang w:val="en-US"/>
              </w:rPr>
            </w:pPr>
            <w:r w:rsidRPr="00D36407">
              <w:rPr>
                <w:rFonts w:ascii="Arial" w:hAnsi="Arial" w:cs="Arial"/>
                <w:sz w:val="20"/>
                <w:lang w:val="en-US"/>
              </w:rPr>
              <w:t> </w:t>
            </w:r>
          </w:p>
        </w:tc>
      </w:tr>
    </w:tbl>
    <w:p w:rsidR="001D24F8" w:rsidRDefault="001D24F8" w:rsidP="001D24F8">
      <w:pPr>
        <w:pStyle w:val="200"/>
      </w:pPr>
    </w:p>
    <w:p w:rsidR="00B66938" w:rsidRDefault="001D24F8" w:rsidP="00B66938">
      <w:pPr>
        <w:pStyle w:val="200"/>
        <w:rPr>
          <w:rFonts w:cs="Arial"/>
        </w:rPr>
      </w:pPr>
      <w:r>
        <w:rPr>
          <w:rFonts w:cs="Arial"/>
        </w:rPr>
        <w:t xml:space="preserve"> </w:t>
      </w:r>
      <w:r w:rsidR="00FF661B">
        <w:rPr>
          <w:rFonts w:cs="Arial"/>
        </w:rPr>
        <w:t>Recharge</w:t>
      </w:r>
      <w:r w:rsidR="00D36407">
        <w:rPr>
          <w:rFonts w:cs="Arial"/>
        </w:rPr>
        <w:t>s</w:t>
      </w:r>
      <w:r w:rsidR="00FF661B">
        <w:rPr>
          <w:rFonts w:cs="Arial"/>
        </w:rPr>
        <w:t xml:space="preserve"> to group companies </w:t>
      </w:r>
      <w:r w:rsidR="00E86E67">
        <w:rPr>
          <w:rFonts w:cs="Arial"/>
        </w:rPr>
        <w:t xml:space="preserve">are </w:t>
      </w:r>
      <w:r w:rsidR="00FF661B">
        <w:rPr>
          <w:rFonts w:cs="Arial"/>
        </w:rPr>
        <w:t>calculated based on a</w:t>
      </w:r>
      <w:r w:rsidR="00D62300">
        <w:rPr>
          <w:rFonts w:cs="Arial"/>
        </w:rPr>
        <w:t xml:space="preserve">n </w:t>
      </w:r>
      <w:r w:rsidR="004A3956">
        <w:rPr>
          <w:rFonts w:cs="Arial"/>
        </w:rPr>
        <w:t xml:space="preserve">arm’s length </w:t>
      </w:r>
      <w:r w:rsidR="00FF661B">
        <w:rPr>
          <w:rFonts w:cs="Arial"/>
        </w:rPr>
        <w:t>principle</w:t>
      </w:r>
      <w:r w:rsidR="00E86E67">
        <w:rPr>
          <w:rFonts w:cs="Arial"/>
        </w:rPr>
        <w:t>.</w:t>
      </w:r>
    </w:p>
    <w:p w:rsidR="002A3441" w:rsidRDefault="002A3441" w:rsidP="001D24F8">
      <w:pPr>
        <w:pStyle w:val="081"/>
        <w:rPr>
          <w:rFonts w:cs="Arial"/>
        </w:rPr>
      </w:pPr>
    </w:p>
    <w:p w:rsidR="002A3441" w:rsidRDefault="002A3441" w:rsidP="001D24F8">
      <w:pPr>
        <w:pStyle w:val="081"/>
        <w:rPr>
          <w:rFonts w:cs="Arial"/>
        </w:rPr>
      </w:pPr>
    </w:p>
    <w:p w:rsidR="002A3441" w:rsidRDefault="002A3441" w:rsidP="001D24F8">
      <w:pPr>
        <w:pStyle w:val="081"/>
        <w:rPr>
          <w:rFonts w:cs="Arial"/>
        </w:rPr>
      </w:pPr>
    </w:p>
    <w:p w:rsidR="002A3441" w:rsidRDefault="002A3441" w:rsidP="002A3441">
      <w:pPr>
        <w:pStyle w:val="000"/>
      </w:pPr>
    </w:p>
    <w:p w:rsidR="002A3441" w:rsidRDefault="002A3441" w:rsidP="002A3441">
      <w:pPr>
        <w:pStyle w:val="000"/>
      </w:pPr>
    </w:p>
    <w:p w:rsidR="002A3441" w:rsidRPr="002A3441" w:rsidRDefault="002A3441" w:rsidP="002A3441">
      <w:pPr>
        <w:pStyle w:val="000"/>
      </w:pPr>
    </w:p>
    <w:p w:rsidR="001D24F8" w:rsidRPr="00D756D3" w:rsidRDefault="001D24F8" w:rsidP="001D24F8">
      <w:pPr>
        <w:pStyle w:val="081"/>
        <w:rPr>
          <w:rFonts w:cs="Arial"/>
        </w:rPr>
      </w:pPr>
      <w:r w:rsidRPr="009049AB">
        <w:rPr>
          <w:rFonts w:cs="Arial"/>
        </w:rPr>
        <w:lastRenderedPageBreak/>
        <w:t>9. Taxation</w:t>
      </w:r>
      <w:r w:rsidR="006B70F9">
        <w:rPr>
          <w:rFonts w:cs="Arial"/>
        </w:rPr>
        <w:t xml:space="preserve"> </w:t>
      </w:r>
    </w:p>
    <w:p w:rsidR="009B4417" w:rsidRDefault="009B4417" w:rsidP="001D24F8">
      <w:pPr>
        <w:pStyle w:val="Style000"/>
        <w:rPr>
          <w:rFonts w:cs="Arial"/>
        </w:rPr>
      </w:pPr>
      <w:r w:rsidRPr="009B4417">
        <w:rPr>
          <w:rFonts w:cs="Arial"/>
        </w:rPr>
        <w:t xml:space="preserve">The </w:t>
      </w:r>
      <w:r w:rsidR="007D71CC">
        <w:rPr>
          <w:rFonts w:cs="Arial"/>
        </w:rPr>
        <w:t>C</w:t>
      </w:r>
      <w:r w:rsidRPr="009B4417">
        <w:rPr>
          <w:rFonts w:cs="Arial"/>
        </w:rPr>
        <w:t xml:space="preserve">ompany </w:t>
      </w:r>
      <w:r>
        <w:rPr>
          <w:rFonts w:cs="Arial"/>
        </w:rPr>
        <w:t xml:space="preserve">forms a fiscal unity with Syngenta Treasury N.V. Tax charges </w:t>
      </w:r>
      <w:r w:rsidR="006528F3">
        <w:rPr>
          <w:rFonts w:cs="Arial"/>
        </w:rPr>
        <w:t>are recorded</w:t>
      </w:r>
      <w:r w:rsidR="004D444D">
        <w:rPr>
          <w:rFonts w:cs="Arial"/>
        </w:rPr>
        <w:t xml:space="preserve"> through </w:t>
      </w:r>
      <w:r>
        <w:rPr>
          <w:rFonts w:cs="Arial"/>
        </w:rPr>
        <w:t>Syngenta Treasury N.V.</w:t>
      </w:r>
    </w:p>
    <w:p w:rsidR="00974386" w:rsidRDefault="00974386" w:rsidP="001D24F8">
      <w:pPr>
        <w:pStyle w:val="200"/>
        <w:rPr>
          <w:rFonts w:cs="Arial"/>
          <w:b/>
        </w:rPr>
      </w:pPr>
    </w:p>
    <w:p w:rsidR="00974386" w:rsidRPr="007C0F8B" w:rsidRDefault="001D24F8" w:rsidP="007C0F8B">
      <w:pPr>
        <w:pStyle w:val="200"/>
        <w:rPr>
          <w:rFonts w:cs="Arial"/>
          <w:b/>
        </w:rPr>
      </w:pPr>
      <w:r w:rsidRPr="00A501C8">
        <w:rPr>
          <w:rFonts w:cs="Arial"/>
          <w:b/>
        </w:rPr>
        <w:t xml:space="preserve">Reconciliation </w:t>
      </w:r>
      <w:r w:rsidR="006528F3">
        <w:rPr>
          <w:rFonts w:cs="Arial"/>
          <w:b/>
        </w:rPr>
        <w:t xml:space="preserve">of the </w:t>
      </w:r>
      <w:r w:rsidRPr="00A501C8">
        <w:rPr>
          <w:rFonts w:cs="Arial"/>
          <w:b/>
        </w:rPr>
        <w:t>effective tax rate</w:t>
      </w:r>
      <w:r w:rsidR="006B70F9">
        <w:rPr>
          <w:rFonts w:cs="Arial"/>
          <w:b/>
        </w:rPr>
        <w:t xml:space="preserve"> </w:t>
      </w:r>
    </w:p>
    <w:p w:rsidR="00974386" w:rsidRDefault="00974386" w:rsidP="00974386">
      <w:pPr>
        <w:pStyle w:val="204"/>
      </w:pPr>
    </w:p>
    <w:p w:rsidR="00974386" w:rsidRPr="00974386" w:rsidRDefault="00974386" w:rsidP="00974386">
      <w:pPr>
        <w:pStyle w:val="204"/>
      </w:pPr>
    </w:p>
    <w:tbl>
      <w:tblPr>
        <w:tblW w:w="9165" w:type="dxa"/>
        <w:tblInd w:w="103" w:type="dxa"/>
        <w:tblLook w:val="04A0"/>
      </w:tblPr>
      <w:tblGrid>
        <w:gridCol w:w="3467"/>
        <w:gridCol w:w="366"/>
        <w:gridCol w:w="1248"/>
        <w:gridCol w:w="1165"/>
        <w:gridCol w:w="346"/>
        <w:gridCol w:w="1348"/>
        <w:gridCol w:w="1225"/>
      </w:tblGrid>
      <w:tr w:rsidR="00B66938" w:rsidRPr="00B66938" w:rsidTr="00B66938">
        <w:trPr>
          <w:trHeight w:val="265"/>
        </w:trPr>
        <w:tc>
          <w:tcPr>
            <w:tcW w:w="3467" w:type="dxa"/>
            <w:tcBorders>
              <w:top w:val="single" w:sz="4" w:space="0" w:color="auto"/>
              <w:left w:val="single" w:sz="4" w:space="0" w:color="auto"/>
              <w:bottom w:val="single" w:sz="4" w:space="0" w:color="auto"/>
              <w:right w:val="nil"/>
            </w:tcBorders>
            <w:shd w:val="clear" w:color="000000" w:fill="FFFFFF"/>
            <w:noWrap/>
            <w:vAlign w:val="bottom"/>
            <w:hideMark/>
          </w:tcPr>
          <w:p w:rsidR="00B66938" w:rsidRPr="00B66938" w:rsidRDefault="00B66938" w:rsidP="00B66938">
            <w:pPr>
              <w:overflowPunct/>
              <w:autoSpaceDE/>
              <w:autoSpaceDN/>
              <w:adjustRightInd/>
              <w:spacing w:line="240" w:lineRule="auto"/>
              <w:textAlignment w:val="auto"/>
              <w:rPr>
                <w:rFonts w:ascii="Arial" w:hAnsi="Arial" w:cs="Arial"/>
                <w:i/>
                <w:iCs/>
                <w:sz w:val="20"/>
                <w:lang w:val="en-US"/>
              </w:rPr>
            </w:pPr>
            <w:r w:rsidRPr="00B66938">
              <w:rPr>
                <w:rFonts w:ascii="Arial" w:hAnsi="Arial" w:cs="Arial"/>
                <w:i/>
                <w:iCs/>
                <w:sz w:val="20"/>
                <w:lang w:val="en-US"/>
              </w:rPr>
              <w:t> </w:t>
            </w:r>
          </w:p>
        </w:tc>
        <w:tc>
          <w:tcPr>
            <w:tcW w:w="366" w:type="dxa"/>
            <w:tcBorders>
              <w:top w:val="single" w:sz="4" w:space="0" w:color="auto"/>
              <w:left w:val="nil"/>
              <w:bottom w:val="nil"/>
              <w:right w:val="nil"/>
            </w:tcBorders>
            <w:shd w:val="clear" w:color="000000" w:fill="FFFFFF"/>
            <w:noWrap/>
            <w:vAlign w:val="bottom"/>
            <w:hideMark/>
          </w:tcPr>
          <w:p w:rsidR="00B66938" w:rsidRPr="00B66938" w:rsidRDefault="00B66938" w:rsidP="00B66938">
            <w:pPr>
              <w:overflowPunct/>
              <w:autoSpaceDE/>
              <w:autoSpaceDN/>
              <w:adjustRightInd/>
              <w:spacing w:line="240" w:lineRule="auto"/>
              <w:textAlignment w:val="auto"/>
              <w:rPr>
                <w:rFonts w:ascii="Arial" w:hAnsi="Arial" w:cs="Arial"/>
                <w:i/>
                <w:iCs/>
                <w:sz w:val="20"/>
                <w:lang w:val="en-US"/>
              </w:rPr>
            </w:pPr>
            <w:r w:rsidRPr="00B66938">
              <w:rPr>
                <w:rFonts w:ascii="Arial" w:hAnsi="Arial" w:cs="Arial"/>
                <w:i/>
                <w:iCs/>
                <w:sz w:val="20"/>
                <w:lang w:val="en-US"/>
              </w:rPr>
              <w:t> </w:t>
            </w:r>
          </w:p>
        </w:tc>
        <w:tc>
          <w:tcPr>
            <w:tcW w:w="2413" w:type="dxa"/>
            <w:gridSpan w:val="2"/>
            <w:tcBorders>
              <w:top w:val="single" w:sz="4" w:space="0" w:color="auto"/>
              <w:left w:val="nil"/>
              <w:bottom w:val="single" w:sz="4" w:space="0" w:color="auto"/>
              <w:right w:val="nil"/>
            </w:tcBorders>
            <w:shd w:val="clear" w:color="000000" w:fill="FFFFFF"/>
            <w:vAlign w:val="bottom"/>
            <w:hideMark/>
          </w:tcPr>
          <w:p w:rsidR="00B66938" w:rsidRPr="00B66938" w:rsidRDefault="00B66938" w:rsidP="00B66938">
            <w:pPr>
              <w:overflowPunct/>
              <w:autoSpaceDE/>
              <w:autoSpaceDN/>
              <w:adjustRightInd/>
              <w:spacing w:line="240" w:lineRule="auto"/>
              <w:jc w:val="center"/>
              <w:textAlignment w:val="auto"/>
              <w:rPr>
                <w:rFonts w:ascii="Arial" w:hAnsi="Arial" w:cs="Arial"/>
                <w:sz w:val="20"/>
                <w:lang w:val="en-US"/>
              </w:rPr>
            </w:pPr>
            <w:r w:rsidRPr="00B66938">
              <w:rPr>
                <w:rFonts w:ascii="Arial" w:hAnsi="Arial" w:cs="Arial"/>
                <w:sz w:val="20"/>
                <w:lang w:val="en-US"/>
              </w:rPr>
              <w:t>2011</w:t>
            </w:r>
          </w:p>
        </w:tc>
        <w:tc>
          <w:tcPr>
            <w:tcW w:w="346" w:type="dxa"/>
            <w:tcBorders>
              <w:top w:val="single" w:sz="4" w:space="0" w:color="auto"/>
              <w:left w:val="nil"/>
              <w:bottom w:val="nil"/>
              <w:right w:val="nil"/>
            </w:tcBorders>
            <w:shd w:val="clear" w:color="000000" w:fill="FFFFFF"/>
            <w:noWrap/>
            <w:vAlign w:val="bottom"/>
            <w:hideMark/>
          </w:tcPr>
          <w:p w:rsidR="00B66938" w:rsidRPr="00B66938" w:rsidRDefault="00B66938" w:rsidP="00B66938">
            <w:pPr>
              <w:overflowPunct/>
              <w:autoSpaceDE/>
              <w:autoSpaceDN/>
              <w:adjustRightInd/>
              <w:spacing w:line="240" w:lineRule="auto"/>
              <w:jc w:val="center"/>
              <w:textAlignment w:val="auto"/>
              <w:rPr>
                <w:rFonts w:ascii="Arial" w:hAnsi="Arial" w:cs="Arial"/>
                <w:sz w:val="20"/>
                <w:lang w:val="en-US"/>
              </w:rPr>
            </w:pPr>
            <w:r w:rsidRPr="00B66938">
              <w:rPr>
                <w:rFonts w:ascii="Arial" w:hAnsi="Arial" w:cs="Arial"/>
                <w:sz w:val="20"/>
                <w:lang w:val="en-US"/>
              </w:rPr>
              <w:t> </w:t>
            </w:r>
          </w:p>
        </w:tc>
        <w:tc>
          <w:tcPr>
            <w:tcW w:w="2572" w:type="dxa"/>
            <w:gridSpan w:val="2"/>
            <w:tcBorders>
              <w:top w:val="single" w:sz="4" w:space="0" w:color="auto"/>
              <w:left w:val="nil"/>
              <w:bottom w:val="single" w:sz="4" w:space="0" w:color="auto"/>
              <w:right w:val="single" w:sz="4" w:space="0" w:color="000000"/>
            </w:tcBorders>
            <w:shd w:val="clear" w:color="000000" w:fill="FFFFFF"/>
            <w:vAlign w:val="bottom"/>
            <w:hideMark/>
          </w:tcPr>
          <w:p w:rsidR="00B66938" w:rsidRPr="00B66938" w:rsidRDefault="00B66938" w:rsidP="00B66938">
            <w:pPr>
              <w:overflowPunct/>
              <w:autoSpaceDE/>
              <w:autoSpaceDN/>
              <w:adjustRightInd/>
              <w:spacing w:line="240" w:lineRule="auto"/>
              <w:jc w:val="center"/>
              <w:textAlignment w:val="auto"/>
              <w:rPr>
                <w:rFonts w:ascii="Arial" w:hAnsi="Arial" w:cs="Arial"/>
                <w:sz w:val="20"/>
                <w:lang w:val="en-US"/>
              </w:rPr>
            </w:pPr>
            <w:r w:rsidRPr="00B66938">
              <w:rPr>
                <w:rFonts w:ascii="Arial" w:hAnsi="Arial" w:cs="Arial"/>
                <w:sz w:val="20"/>
                <w:lang w:val="en-US"/>
              </w:rPr>
              <w:t>2010</w:t>
            </w:r>
          </w:p>
        </w:tc>
      </w:tr>
      <w:tr w:rsidR="00B66938" w:rsidRPr="00B66938" w:rsidTr="00B66938">
        <w:trPr>
          <w:trHeight w:val="265"/>
        </w:trPr>
        <w:tc>
          <w:tcPr>
            <w:tcW w:w="3467" w:type="dxa"/>
            <w:tcBorders>
              <w:top w:val="nil"/>
              <w:left w:val="single" w:sz="4" w:space="0" w:color="auto"/>
              <w:bottom w:val="nil"/>
              <w:right w:val="nil"/>
            </w:tcBorders>
            <w:shd w:val="clear" w:color="000000" w:fill="FFFFFF"/>
            <w:hideMark/>
          </w:tcPr>
          <w:p w:rsidR="00B66938" w:rsidRPr="00B66938" w:rsidRDefault="00B66938" w:rsidP="00B66938">
            <w:pPr>
              <w:overflowPunct/>
              <w:autoSpaceDE/>
              <w:autoSpaceDN/>
              <w:adjustRightInd/>
              <w:spacing w:line="240" w:lineRule="auto"/>
              <w:textAlignment w:val="auto"/>
              <w:rPr>
                <w:rFonts w:ascii="Arial" w:hAnsi="Arial" w:cs="Arial"/>
                <w:sz w:val="16"/>
                <w:szCs w:val="16"/>
                <w:lang w:val="en-US"/>
              </w:rPr>
            </w:pPr>
            <w:r w:rsidRPr="00B66938">
              <w:rPr>
                <w:rFonts w:ascii="Arial" w:hAnsi="Arial" w:cs="Arial"/>
                <w:sz w:val="16"/>
                <w:szCs w:val="16"/>
                <w:lang w:val="en-US"/>
              </w:rPr>
              <w:t>(in thousands of USD)</w:t>
            </w:r>
          </w:p>
        </w:tc>
        <w:tc>
          <w:tcPr>
            <w:tcW w:w="366" w:type="dxa"/>
            <w:tcBorders>
              <w:top w:val="nil"/>
              <w:left w:val="nil"/>
              <w:bottom w:val="nil"/>
              <w:right w:val="nil"/>
            </w:tcBorders>
            <w:shd w:val="clear" w:color="000000" w:fill="FFFFFF"/>
            <w:noWrap/>
            <w:hideMark/>
          </w:tcPr>
          <w:p w:rsidR="00B66938" w:rsidRPr="00B66938" w:rsidRDefault="00B66938" w:rsidP="00B66938">
            <w:pPr>
              <w:overflowPunct/>
              <w:autoSpaceDE/>
              <w:autoSpaceDN/>
              <w:adjustRightInd/>
              <w:spacing w:line="240" w:lineRule="auto"/>
              <w:textAlignment w:val="auto"/>
              <w:rPr>
                <w:rFonts w:ascii="Arial" w:hAnsi="Arial" w:cs="Arial"/>
                <w:sz w:val="20"/>
                <w:lang w:val="en-US"/>
              </w:rPr>
            </w:pPr>
            <w:r w:rsidRPr="00B66938">
              <w:rPr>
                <w:rFonts w:ascii="Arial" w:hAnsi="Arial" w:cs="Arial"/>
                <w:sz w:val="20"/>
                <w:lang w:val="en-US"/>
              </w:rPr>
              <w:t> </w:t>
            </w:r>
          </w:p>
        </w:tc>
        <w:tc>
          <w:tcPr>
            <w:tcW w:w="1248" w:type="dxa"/>
            <w:tcBorders>
              <w:top w:val="nil"/>
              <w:left w:val="nil"/>
              <w:bottom w:val="nil"/>
              <w:right w:val="nil"/>
            </w:tcBorders>
            <w:shd w:val="clear" w:color="000000" w:fill="FFFFFF"/>
            <w:noWrap/>
            <w:hideMark/>
          </w:tcPr>
          <w:p w:rsidR="00B66938" w:rsidRPr="00B66938" w:rsidRDefault="00B66938" w:rsidP="00B66938">
            <w:pPr>
              <w:overflowPunct/>
              <w:autoSpaceDE/>
              <w:autoSpaceDN/>
              <w:adjustRightInd/>
              <w:spacing w:line="240" w:lineRule="auto"/>
              <w:textAlignment w:val="auto"/>
              <w:rPr>
                <w:rFonts w:ascii="Arial" w:hAnsi="Arial" w:cs="Arial"/>
                <w:sz w:val="20"/>
                <w:lang w:val="en-US"/>
              </w:rPr>
            </w:pPr>
            <w:r w:rsidRPr="00B66938">
              <w:rPr>
                <w:rFonts w:ascii="Arial" w:hAnsi="Arial" w:cs="Arial"/>
                <w:sz w:val="20"/>
                <w:lang w:val="en-US"/>
              </w:rPr>
              <w:t> </w:t>
            </w:r>
          </w:p>
        </w:tc>
        <w:tc>
          <w:tcPr>
            <w:tcW w:w="1165" w:type="dxa"/>
            <w:tcBorders>
              <w:top w:val="nil"/>
              <w:left w:val="nil"/>
              <w:bottom w:val="nil"/>
              <w:right w:val="nil"/>
            </w:tcBorders>
            <w:shd w:val="clear" w:color="000000" w:fill="FFFFFF"/>
            <w:noWrap/>
            <w:hideMark/>
          </w:tcPr>
          <w:p w:rsidR="00B66938" w:rsidRPr="00B66938" w:rsidRDefault="00B66938" w:rsidP="00B66938">
            <w:pPr>
              <w:overflowPunct/>
              <w:autoSpaceDE/>
              <w:autoSpaceDN/>
              <w:adjustRightInd/>
              <w:spacing w:line="240" w:lineRule="auto"/>
              <w:textAlignment w:val="auto"/>
              <w:rPr>
                <w:rFonts w:ascii="Arial" w:hAnsi="Arial" w:cs="Arial"/>
                <w:sz w:val="20"/>
                <w:lang w:val="en-US"/>
              </w:rPr>
            </w:pPr>
            <w:r w:rsidRPr="00B66938">
              <w:rPr>
                <w:rFonts w:ascii="Arial" w:hAnsi="Arial" w:cs="Arial"/>
                <w:sz w:val="20"/>
                <w:lang w:val="en-US"/>
              </w:rPr>
              <w:t> </w:t>
            </w:r>
          </w:p>
        </w:tc>
        <w:tc>
          <w:tcPr>
            <w:tcW w:w="346" w:type="dxa"/>
            <w:tcBorders>
              <w:top w:val="nil"/>
              <w:left w:val="nil"/>
              <w:bottom w:val="nil"/>
              <w:right w:val="nil"/>
            </w:tcBorders>
            <w:shd w:val="clear" w:color="000000" w:fill="FFFFFF"/>
            <w:noWrap/>
            <w:hideMark/>
          </w:tcPr>
          <w:p w:rsidR="00B66938" w:rsidRPr="00B66938" w:rsidRDefault="00B66938" w:rsidP="00B66938">
            <w:pPr>
              <w:overflowPunct/>
              <w:autoSpaceDE/>
              <w:autoSpaceDN/>
              <w:adjustRightInd/>
              <w:spacing w:line="240" w:lineRule="auto"/>
              <w:textAlignment w:val="auto"/>
              <w:rPr>
                <w:rFonts w:ascii="Arial" w:hAnsi="Arial" w:cs="Arial"/>
                <w:sz w:val="20"/>
                <w:lang w:val="en-US"/>
              </w:rPr>
            </w:pPr>
            <w:r w:rsidRPr="00B66938">
              <w:rPr>
                <w:rFonts w:ascii="Arial" w:hAnsi="Arial" w:cs="Arial"/>
                <w:sz w:val="20"/>
                <w:lang w:val="en-US"/>
              </w:rPr>
              <w:t> </w:t>
            </w:r>
          </w:p>
        </w:tc>
        <w:tc>
          <w:tcPr>
            <w:tcW w:w="1348" w:type="dxa"/>
            <w:tcBorders>
              <w:top w:val="nil"/>
              <w:left w:val="nil"/>
              <w:bottom w:val="nil"/>
              <w:right w:val="nil"/>
            </w:tcBorders>
            <w:shd w:val="clear" w:color="000000" w:fill="FFFFFF"/>
            <w:noWrap/>
            <w:vAlign w:val="bottom"/>
            <w:hideMark/>
          </w:tcPr>
          <w:p w:rsidR="00B66938" w:rsidRPr="00B66938" w:rsidRDefault="00B66938" w:rsidP="00B66938">
            <w:pPr>
              <w:overflowPunct/>
              <w:autoSpaceDE/>
              <w:autoSpaceDN/>
              <w:adjustRightInd/>
              <w:spacing w:line="240" w:lineRule="auto"/>
              <w:jc w:val="right"/>
              <w:textAlignment w:val="auto"/>
              <w:rPr>
                <w:rFonts w:ascii="Arial" w:hAnsi="Arial" w:cs="Arial"/>
                <w:sz w:val="20"/>
                <w:lang w:val="en-US"/>
              </w:rPr>
            </w:pPr>
            <w:r w:rsidRPr="00B66938">
              <w:rPr>
                <w:rFonts w:ascii="Arial" w:hAnsi="Arial" w:cs="Arial"/>
                <w:sz w:val="20"/>
                <w:lang w:val="en-US"/>
              </w:rPr>
              <w:t> </w:t>
            </w:r>
          </w:p>
        </w:tc>
        <w:tc>
          <w:tcPr>
            <w:tcW w:w="1225" w:type="dxa"/>
            <w:tcBorders>
              <w:top w:val="nil"/>
              <w:left w:val="nil"/>
              <w:bottom w:val="nil"/>
              <w:right w:val="single" w:sz="4" w:space="0" w:color="auto"/>
            </w:tcBorders>
            <w:shd w:val="clear" w:color="000000" w:fill="FFFFFF"/>
            <w:noWrap/>
            <w:vAlign w:val="bottom"/>
            <w:hideMark/>
          </w:tcPr>
          <w:p w:rsidR="00B66938" w:rsidRPr="00B66938" w:rsidRDefault="00B66938" w:rsidP="00B66938">
            <w:pPr>
              <w:overflowPunct/>
              <w:autoSpaceDE/>
              <w:autoSpaceDN/>
              <w:adjustRightInd/>
              <w:spacing w:line="240" w:lineRule="auto"/>
              <w:jc w:val="right"/>
              <w:textAlignment w:val="auto"/>
              <w:rPr>
                <w:rFonts w:ascii="Arial" w:hAnsi="Arial" w:cs="Arial"/>
                <w:sz w:val="20"/>
                <w:lang w:val="en-US"/>
              </w:rPr>
            </w:pPr>
            <w:r w:rsidRPr="00B66938">
              <w:rPr>
                <w:rFonts w:ascii="Arial" w:hAnsi="Arial" w:cs="Arial"/>
                <w:sz w:val="20"/>
                <w:lang w:val="en-US"/>
              </w:rPr>
              <w:t> </w:t>
            </w:r>
          </w:p>
        </w:tc>
      </w:tr>
      <w:tr w:rsidR="00B66938" w:rsidRPr="00B66938" w:rsidTr="00B66938">
        <w:trPr>
          <w:trHeight w:val="265"/>
        </w:trPr>
        <w:tc>
          <w:tcPr>
            <w:tcW w:w="3467" w:type="dxa"/>
            <w:tcBorders>
              <w:top w:val="nil"/>
              <w:left w:val="single" w:sz="4" w:space="0" w:color="auto"/>
              <w:bottom w:val="nil"/>
              <w:right w:val="nil"/>
            </w:tcBorders>
            <w:shd w:val="clear" w:color="000000" w:fill="FFFFFF"/>
            <w:noWrap/>
            <w:hideMark/>
          </w:tcPr>
          <w:p w:rsidR="00B66938" w:rsidRPr="00B66938" w:rsidRDefault="00B66938" w:rsidP="00B66938">
            <w:pPr>
              <w:overflowPunct/>
              <w:autoSpaceDE/>
              <w:autoSpaceDN/>
              <w:adjustRightInd/>
              <w:spacing w:line="240" w:lineRule="auto"/>
              <w:textAlignment w:val="auto"/>
              <w:rPr>
                <w:rFonts w:ascii="Arial" w:hAnsi="Arial" w:cs="Arial"/>
                <w:sz w:val="20"/>
                <w:lang w:val="en-US"/>
              </w:rPr>
            </w:pPr>
            <w:r w:rsidRPr="00B66938">
              <w:rPr>
                <w:rFonts w:ascii="Arial" w:hAnsi="Arial" w:cs="Arial"/>
                <w:sz w:val="20"/>
                <w:lang w:val="en-US"/>
              </w:rPr>
              <w:t>Profit for the year</w:t>
            </w:r>
          </w:p>
        </w:tc>
        <w:tc>
          <w:tcPr>
            <w:tcW w:w="366" w:type="dxa"/>
            <w:tcBorders>
              <w:top w:val="nil"/>
              <w:left w:val="nil"/>
              <w:bottom w:val="nil"/>
              <w:right w:val="nil"/>
            </w:tcBorders>
            <w:shd w:val="clear" w:color="000000" w:fill="FFFFFF"/>
            <w:noWrap/>
            <w:hideMark/>
          </w:tcPr>
          <w:p w:rsidR="00B66938" w:rsidRPr="00B66938" w:rsidRDefault="00B66938" w:rsidP="00B66938">
            <w:pPr>
              <w:overflowPunct/>
              <w:autoSpaceDE/>
              <w:autoSpaceDN/>
              <w:adjustRightInd/>
              <w:spacing w:line="240" w:lineRule="auto"/>
              <w:textAlignment w:val="auto"/>
              <w:rPr>
                <w:rFonts w:ascii="Arial" w:hAnsi="Arial" w:cs="Arial"/>
                <w:sz w:val="20"/>
                <w:lang w:val="en-US"/>
              </w:rPr>
            </w:pPr>
            <w:r w:rsidRPr="00B66938">
              <w:rPr>
                <w:rFonts w:ascii="Arial" w:hAnsi="Arial" w:cs="Arial"/>
                <w:sz w:val="20"/>
                <w:lang w:val="en-US"/>
              </w:rPr>
              <w:t> </w:t>
            </w:r>
          </w:p>
        </w:tc>
        <w:tc>
          <w:tcPr>
            <w:tcW w:w="1248" w:type="dxa"/>
            <w:tcBorders>
              <w:top w:val="nil"/>
              <w:left w:val="nil"/>
              <w:bottom w:val="nil"/>
              <w:right w:val="nil"/>
            </w:tcBorders>
            <w:shd w:val="clear" w:color="000000" w:fill="FFFFFF"/>
            <w:noWrap/>
            <w:vAlign w:val="bottom"/>
            <w:hideMark/>
          </w:tcPr>
          <w:p w:rsidR="00B66938" w:rsidRPr="00B66938" w:rsidRDefault="00B66938" w:rsidP="00B66938">
            <w:pPr>
              <w:overflowPunct/>
              <w:autoSpaceDE/>
              <w:autoSpaceDN/>
              <w:adjustRightInd/>
              <w:spacing w:line="240" w:lineRule="auto"/>
              <w:jc w:val="right"/>
              <w:textAlignment w:val="auto"/>
              <w:rPr>
                <w:rFonts w:ascii="Arial" w:hAnsi="Arial" w:cs="Arial"/>
                <w:sz w:val="20"/>
                <w:lang w:val="en-US"/>
              </w:rPr>
            </w:pPr>
            <w:r w:rsidRPr="00B66938">
              <w:rPr>
                <w:rFonts w:ascii="Arial" w:hAnsi="Arial" w:cs="Arial"/>
                <w:sz w:val="20"/>
                <w:lang w:val="en-US"/>
              </w:rPr>
              <w:t xml:space="preserve">           1'083 </w:t>
            </w:r>
          </w:p>
        </w:tc>
        <w:tc>
          <w:tcPr>
            <w:tcW w:w="1165" w:type="dxa"/>
            <w:tcBorders>
              <w:top w:val="nil"/>
              <w:left w:val="nil"/>
              <w:bottom w:val="nil"/>
              <w:right w:val="nil"/>
            </w:tcBorders>
            <w:shd w:val="clear" w:color="000000" w:fill="FFFFFF"/>
            <w:hideMark/>
          </w:tcPr>
          <w:p w:rsidR="00B66938" w:rsidRPr="00B66938" w:rsidRDefault="00B66938" w:rsidP="00B66938">
            <w:pPr>
              <w:overflowPunct/>
              <w:autoSpaceDE/>
              <w:autoSpaceDN/>
              <w:adjustRightInd/>
              <w:spacing w:line="240" w:lineRule="auto"/>
              <w:textAlignment w:val="auto"/>
              <w:rPr>
                <w:rFonts w:ascii="Arial" w:hAnsi="Arial" w:cs="Arial"/>
                <w:sz w:val="20"/>
                <w:lang w:val="en-US"/>
              </w:rPr>
            </w:pPr>
            <w:r w:rsidRPr="00B66938">
              <w:rPr>
                <w:rFonts w:ascii="Arial" w:hAnsi="Arial" w:cs="Arial"/>
                <w:sz w:val="20"/>
                <w:lang w:val="en-US"/>
              </w:rPr>
              <w:t> </w:t>
            </w:r>
          </w:p>
        </w:tc>
        <w:tc>
          <w:tcPr>
            <w:tcW w:w="346" w:type="dxa"/>
            <w:tcBorders>
              <w:top w:val="nil"/>
              <w:left w:val="nil"/>
              <w:bottom w:val="nil"/>
              <w:right w:val="nil"/>
            </w:tcBorders>
            <w:shd w:val="clear" w:color="000000" w:fill="FFFFFF"/>
            <w:hideMark/>
          </w:tcPr>
          <w:p w:rsidR="00B66938" w:rsidRPr="00B66938" w:rsidRDefault="00B66938" w:rsidP="00B66938">
            <w:pPr>
              <w:overflowPunct/>
              <w:autoSpaceDE/>
              <w:autoSpaceDN/>
              <w:adjustRightInd/>
              <w:spacing w:line="240" w:lineRule="auto"/>
              <w:textAlignment w:val="auto"/>
              <w:rPr>
                <w:rFonts w:ascii="Arial" w:hAnsi="Arial" w:cs="Arial"/>
                <w:sz w:val="20"/>
                <w:lang w:val="en-US"/>
              </w:rPr>
            </w:pPr>
            <w:r w:rsidRPr="00B66938">
              <w:rPr>
                <w:rFonts w:ascii="Arial" w:hAnsi="Arial" w:cs="Arial"/>
                <w:sz w:val="20"/>
                <w:lang w:val="en-US"/>
              </w:rPr>
              <w:t> </w:t>
            </w:r>
          </w:p>
        </w:tc>
        <w:tc>
          <w:tcPr>
            <w:tcW w:w="1348" w:type="dxa"/>
            <w:tcBorders>
              <w:top w:val="nil"/>
              <w:left w:val="nil"/>
              <w:bottom w:val="nil"/>
              <w:right w:val="nil"/>
            </w:tcBorders>
            <w:shd w:val="clear" w:color="000000" w:fill="FFFFFF"/>
            <w:noWrap/>
            <w:vAlign w:val="bottom"/>
            <w:hideMark/>
          </w:tcPr>
          <w:p w:rsidR="00B66938" w:rsidRPr="00B66938" w:rsidRDefault="00B66938" w:rsidP="00B66938">
            <w:pPr>
              <w:overflowPunct/>
              <w:autoSpaceDE/>
              <w:autoSpaceDN/>
              <w:adjustRightInd/>
              <w:spacing w:line="240" w:lineRule="auto"/>
              <w:jc w:val="right"/>
              <w:textAlignment w:val="auto"/>
              <w:rPr>
                <w:rFonts w:ascii="Arial" w:hAnsi="Arial" w:cs="Arial"/>
                <w:sz w:val="20"/>
                <w:lang w:val="en-US"/>
              </w:rPr>
            </w:pPr>
            <w:r w:rsidRPr="00B66938">
              <w:rPr>
                <w:rFonts w:ascii="Arial" w:hAnsi="Arial" w:cs="Arial"/>
                <w:sz w:val="20"/>
                <w:lang w:val="en-US"/>
              </w:rPr>
              <w:t xml:space="preserve">            3'090 </w:t>
            </w:r>
          </w:p>
        </w:tc>
        <w:tc>
          <w:tcPr>
            <w:tcW w:w="1225" w:type="dxa"/>
            <w:tcBorders>
              <w:top w:val="nil"/>
              <w:left w:val="nil"/>
              <w:bottom w:val="nil"/>
              <w:right w:val="single" w:sz="4" w:space="0" w:color="auto"/>
            </w:tcBorders>
            <w:shd w:val="clear" w:color="000000" w:fill="FFFFFF"/>
            <w:noWrap/>
            <w:vAlign w:val="bottom"/>
            <w:hideMark/>
          </w:tcPr>
          <w:p w:rsidR="00B66938" w:rsidRPr="00B66938" w:rsidRDefault="00B66938" w:rsidP="00B66938">
            <w:pPr>
              <w:overflowPunct/>
              <w:autoSpaceDE/>
              <w:autoSpaceDN/>
              <w:adjustRightInd/>
              <w:spacing w:line="240" w:lineRule="auto"/>
              <w:jc w:val="right"/>
              <w:textAlignment w:val="auto"/>
              <w:rPr>
                <w:rFonts w:ascii="Arial" w:hAnsi="Arial" w:cs="Arial"/>
                <w:sz w:val="20"/>
                <w:lang w:val="en-US"/>
              </w:rPr>
            </w:pPr>
            <w:r w:rsidRPr="00B66938">
              <w:rPr>
                <w:rFonts w:ascii="Arial" w:hAnsi="Arial" w:cs="Arial"/>
                <w:sz w:val="20"/>
                <w:lang w:val="en-US"/>
              </w:rPr>
              <w:t> </w:t>
            </w:r>
          </w:p>
        </w:tc>
      </w:tr>
      <w:tr w:rsidR="00B66938" w:rsidRPr="00B66938" w:rsidTr="00B66938">
        <w:trPr>
          <w:trHeight w:val="265"/>
        </w:trPr>
        <w:tc>
          <w:tcPr>
            <w:tcW w:w="3467" w:type="dxa"/>
            <w:tcBorders>
              <w:top w:val="nil"/>
              <w:left w:val="single" w:sz="4" w:space="0" w:color="auto"/>
              <w:bottom w:val="nil"/>
              <w:right w:val="nil"/>
            </w:tcBorders>
            <w:shd w:val="clear" w:color="000000" w:fill="FFFFFF"/>
            <w:noWrap/>
            <w:hideMark/>
          </w:tcPr>
          <w:p w:rsidR="00B66938" w:rsidRPr="00B66938" w:rsidRDefault="00B66938" w:rsidP="00B66938">
            <w:pPr>
              <w:overflowPunct/>
              <w:autoSpaceDE/>
              <w:autoSpaceDN/>
              <w:adjustRightInd/>
              <w:spacing w:line="240" w:lineRule="auto"/>
              <w:textAlignment w:val="auto"/>
              <w:rPr>
                <w:rFonts w:ascii="Arial" w:hAnsi="Arial" w:cs="Arial"/>
                <w:sz w:val="20"/>
                <w:lang w:val="en-US"/>
              </w:rPr>
            </w:pPr>
            <w:r w:rsidRPr="00B66938">
              <w:rPr>
                <w:rFonts w:ascii="Arial" w:hAnsi="Arial" w:cs="Arial"/>
                <w:sz w:val="20"/>
                <w:lang w:val="en-US"/>
              </w:rPr>
              <w:t> </w:t>
            </w:r>
          </w:p>
        </w:tc>
        <w:tc>
          <w:tcPr>
            <w:tcW w:w="366" w:type="dxa"/>
            <w:tcBorders>
              <w:top w:val="nil"/>
              <w:left w:val="nil"/>
              <w:bottom w:val="nil"/>
              <w:right w:val="nil"/>
            </w:tcBorders>
            <w:shd w:val="clear" w:color="000000" w:fill="FFFFFF"/>
            <w:noWrap/>
            <w:hideMark/>
          </w:tcPr>
          <w:p w:rsidR="00B66938" w:rsidRPr="00B66938" w:rsidRDefault="00B66938" w:rsidP="00B66938">
            <w:pPr>
              <w:overflowPunct/>
              <w:autoSpaceDE/>
              <w:autoSpaceDN/>
              <w:adjustRightInd/>
              <w:spacing w:line="240" w:lineRule="auto"/>
              <w:textAlignment w:val="auto"/>
              <w:rPr>
                <w:rFonts w:ascii="Arial" w:hAnsi="Arial" w:cs="Arial"/>
                <w:sz w:val="20"/>
                <w:lang w:val="en-US"/>
              </w:rPr>
            </w:pPr>
            <w:r w:rsidRPr="00B66938">
              <w:rPr>
                <w:rFonts w:ascii="Arial" w:hAnsi="Arial" w:cs="Arial"/>
                <w:sz w:val="20"/>
                <w:lang w:val="en-US"/>
              </w:rPr>
              <w:t> </w:t>
            </w:r>
          </w:p>
        </w:tc>
        <w:tc>
          <w:tcPr>
            <w:tcW w:w="1248" w:type="dxa"/>
            <w:tcBorders>
              <w:top w:val="nil"/>
              <w:left w:val="nil"/>
              <w:bottom w:val="nil"/>
              <w:right w:val="nil"/>
            </w:tcBorders>
            <w:shd w:val="clear" w:color="000000" w:fill="FFFFFF"/>
            <w:hideMark/>
          </w:tcPr>
          <w:p w:rsidR="00B66938" w:rsidRPr="00B66938" w:rsidRDefault="00B66938" w:rsidP="00B66938">
            <w:pPr>
              <w:overflowPunct/>
              <w:autoSpaceDE/>
              <w:autoSpaceDN/>
              <w:adjustRightInd/>
              <w:spacing w:line="240" w:lineRule="auto"/>
              <w:textAlignment w:val="auto"/>
              <w:rPr>
                <w:rFonts w:ascii="Arial" w:hAnsi="Arial" w:cs="Arial"/>
                <w:sz w:val="20"/>
                <w:lang w:val="en-US"/>
              </w:rPr>
            </w:pPr>
            <w:r w:rsidRPr="00B66938">
              <w:rPr>
                <w:rFonts w:ascii="Arial" w:hAnsi="Arial" w:cs="Arial"/>
                <w:sz w:val="20"/>
                <w:lang w:val="en-US"/>
              </w:rPr>
              <w:t> </w:t>
            </w:r>
          </w:p>
        </w:tc>
        <w:tc>
          <w:tcPr>
            <w:tcW w:w="1165" w:type="dxa"/>
            <w:tcBorders>
              <w:top w:val="nil"/>
              <w:left w:val="nil"/>
              <w:bottom w:val="nil"/>
              <w:right w:val="nil"/>
            </w:tcBorders>
            <w:shd w:val="clear" w:color="000000" w:fill="FFFFFF"/>
            <w:hideMark/>
          </w:tcPr>
          <w:p w:rsidR="00B66938" w:rsidRPr="00B66938" w:rsidRDefault="00B66938" w:rsidP="00B66938">
            <w:pPr>
              <w:overflowPunct/>
              <w:autoSpaceDE/>
              <w:autoSpaceDN/>
              <w:adjustRightInd/>
              <w:spacing w:line="240" w:lineRule="auto"/>
              <w:textAlignment w:val="auto"/>
              <w:rPr>
                <w:rFonts w:ascii="Arial" w:hAnsi="Arial" w:cs="Arial"/>
                <w:sz w:val="20"/>
                <w:lang w:val="en-US"/>
              </w:rPr>
            </w:pPr>
            <w:r w:rsidRPr="00B66938">
              <w:rPr>
                <w:rFonts w:ascii="Arial" w:hAnsi="Arial" w:cs="Arial"/>
                <w:sz w:val="20"/>
                <w:lang w:val="en-US"/>
              </w:rPr>
              <w:t> </w:t>
            </w:r>
          </w:p>
        </w:tc>
        <w:tc>
          <w:tcPr>
            <w:tcW w:w="346" w:type="dxa"/>
            <w:tcBorders>
              <w:top w:val="nil"/>
              <w:left w:val="nil"/>
              <w:bottom w:val="nil"/>
              <w:right w:val="nil"/>
            </w:tcBorders>
            <w:shd w:val="clear" w:color="000000" w:fill="FFFFFF"/>
            <w:hideMark/>
          </w:tcPr>
          <w:p w:rsidR="00B66938" w:rsidRPr="00B66938" w:rsidRDefault="00B66938" w:rsidP="00B66938">
            <w:pPr>
              <w:overflowPunct/>
              <w:autoSpaceDE/>
              <w:autoSpaceDN/>
              <w:adjustRightInd/>
              <w:spacing w:line="240" w:lineRule="auto"/>
              <w:textAlignment w:val="auto"/>
              <w:rPr>
                <w:rFonts w:ascii="Arial" w:hAnsi="Arial" w:cs="Arial"/>
                <w:sz w:val="20"/>
                <w:lang w:val="en-US"/>
              </w:rPr>
            </w:pPr>
            <w:r w:rsidRPr="00B66938">
              <w:rPr>
                <w:rFonts w:ascii="Arial" w:hAnsi="Arial" w:cs="Arial"/>
                <w:sz w:val="20"/>
                <w:lang w:val="en-US"/>
              </w:rPr>
              <w:t> </w:t>
            </w:r>
          </w:p>
        </w:tc>
        <w:tc>
          <w:tcPr>
            <w:tcW w:w="1348" w:type="dxa"/>
            <w:tcBorders>
              <w:top w:val="nil"/>
              <w:left w:val="nil"/>
              <w:bottom w:val="nil"/>
              <w:right w:val="nil"/>
            </w:tcBorders>
            <w:shd w:val="clear" w:color="000000" w:fill="FFFFFF"/>
            <w:hideMark/>
          </w:tcPr>
          <w:p w:rsidR="00B66938" w:rsidRPr="00B66938" w:rsidRDefault="00B66938" w:rsidP="00B66938">
            <w:pPr>
              <w:overflowPunct/>
              <w:autoSpaceDE/>
              <w:autoSpaceDN/>
              <w:adjustRightInd/>
              <w:spacing w:line="240" w:lineRule="auto"/>
              <w:textAlignment w:val="auto"/>
              <w:rPr>
                <w:rFonts w:ascii="Arial" w:hAnsi="Arial" w:cs="Arial"/>
                <w:sz w:val="20"/>
                <w:lang w:val="en-US"/>
              </w:rPr>
            </w:pPr>
            <w:r w:rsidRPr="00B66938">
              <w:rPr>
                <w:rFonts w:ascii="Arial" w:hAnsi="Arial" w:cs="Arial"/>
                <w:sz w:val="20"/>
                <w:lang w:val="en-US"/>
              </w:rPr>
              <w:t> </w:t>
            </w:r>
          </w:p>
        </w:tc>
        <w:tc>
          <w:tcPr>
            <w:tcW w:w="1225" w:type="dxa"/>
            <w:tcBorders>
              <w:top w:val="nil"/>
              <w:left w:val="nil"/>
              <w:bottom w:val="nil"/>
              <w:right w:val="single" w:sz="4" w:space="0" w:color="auto"/>
            </w:tcBorders>
            <w:shd w:val="clear" w:color="000000" w:fill="FFFFFF"/>
            <w:noWrap/>
            <w:vAlign w:val="bottom"/>
            <w:hideMark/>
          </w:tcPr>
          <w:p w:rsidR="00B66938" w:rsidRPr="00B66938" w:rsidRDefault="00B66938" w:rsidP="00B66938">
            <w:pPr>
              <w:overflowPunct/>
              <w:autoSpaceDE/>
              <w:autoSpaceDN/>
              <w:adjustRightInd/>
              <w:spacing w:line="240" w:lineRule="auto"/>
              <w:jc w:val="right"/>
              <w:textAlignment w:val="auto"/>
              <w:rPr>
                <w:rFonts w:ascii="Arial" w:hAnsi="Arial" w:cs="Arial"/>
                <w:sz w:val="20"/>
                <w:lang w:val="en-US"/>
              </w:rPr>
            </w:pPr>
            <w:r w:rsidRPr="00B66938">
              <w:rPr>
                <w:rFonts w:ascii="Arial" w:hAnsi="Arial" w:cs="Arial"/>
                <w:sz w:val="20"/>
                <w:lang w:val="en-US"/>
              </w:rPr>
              <w:t> </w:t>
            </w:r>
          </w:p>
        </w:tc>
      </w:tr>
      <w:tr w:rsidR="00B66938" w:rsidRPr="00B66938" w:rsidTr="00B66938">
        <w:trPr>
          <w:trHeight w:val="265"/>
        </w:trPr>
        <w:tc>
          <w:tcPr>
            <w:tcW w:w="3467" w:type="dxa"/>
            <w:tcBorders>
              <w:top w:val="nil"/>
              <w:left w:val="single" w:sz="4" w:space="0" w:color="auto"/>
              <w:bottom w:val="nil"/>
              <w:right w:val="nil"/>
            </w:tcBorders>
            <w:shd w:val="clear" w:color="000000" w:fill="FFFFFF"/>
            <w:noWrap/>
            <w:hideMark/>
          </w:tcPr>
          <w:p w:rsidR="00B66938" w:rsidRPr="00B66938" w:rsidRDefault="00B66938" w:rsidP="00E94FA5">
            <w:pPr>
              <w:overflowPunct/>
              <w:autoSpaceDE/>
              <w:autoSpaceDN/>
              <w:adjustRightInd/>
              <w:spacing w:line="240" w:lineRule="auto"/>
              <w:textAlignment w:val="auto"/>
              <w:rPr>
                <w:rFonts w:ascii="Arial" w:hAnsi="Arial" w:cs="Arial"/>
                <w:sz w:val="20"/>
                <w:lang w:val="en-US"/>
              </w:rPr>
            </w:pPr>
            <w:r w:rsidRPr="00B66938">
              <w:rPr>
                <w:rFonts w:ascii="Arial" w:hAnsi="Arial" w:cs="Arial"/>
                <w:sz w:val="20"/>
                <w:lang w:val="en-US"/>
              </w:rPr>
              <w:t>Local tax rate (25%)</w:t>
            </w:r>
          </w:p>
        </w:tc>
        <w:tc>
          <w:tcPr>
            <w:tcW w:w="366" w:type="dxa"/>
            <w:tcBorders>
              <w:top w:val="nil"/>
              <w:left w:val="nil"/>
              <w:bottom w:val="nil"/>
              <w:right w:val="nil"/>
            </w:tcBorders>
            <w:shd w:val="clear" w:color="000000" w:fill="FFFFFF"/>
            <w:noWrap/>
            <w:hideMark/>
          </w:tcPr>
          <w:p w:rsidR="00B66938" w:rsidRPr="00B66938" w:rsidRDefault="00B66938" w:rsidP="00B66938">
            <w:pPr>
              <w:overflowPunct/>
              <w:autoSpaceDE/>
              <w:autoSpaceDN/>
              <w:adjustRightInd/>
              <w:spacing w:line="240" w:lineRule="auto"/>
              <w:textAlignment w:val="auto"/>
              <w:rPr>
                <w:rFonts w:ascii="Arial" w:hAnsi="Arial" w:cs="Arial"/>
                <w:sz w:val="20"/>
                <w:lang w:val="en-US"/>
              </w:rPr>
            </w:pPr>
            <w:r w:rsidRPr="00B66938">
              <w:rPr>
                <w:rFonts w:ascii="Arial" w:hAnsi="Arial" w:cs="Arial"/>
                <w:sz w:val="20"/>
                <w:lang w:val="en-US"/>
              </w:rPr>
              <w:t> </w:t>
            </w:r>
          </w:p>
        </w:tc>
        <w:tc>
          <w:tcPr>
            <w:tcW w:w="1248" w:type="dxa"/>
            <w:tcBorders>
              <w:top w:val="nil"/>
              <w:left w:val="nil"/>
              <w:bottom w:val="nil"/>
              <w:right w:val="nil"/>
            </w:tcBorders>
            <w:shd w:val="clear" w:color="000000" w:fill="FFFFFF"/>
            <w:noWrap/>
            <w:vAlign w:val="bottom"/>
            <w:hideMark/>
          </w:tcPr>
          <w:p w:rsidR="00B66938" w:rsidRPr="00B66938" w:rsidRDefault="00B66938" w:rsidP="00E94FA5">
            <w:pPr>
              <w:overflowPunct/>
              <w:autoSpaceDE/>
              <w:autoSpaceDN/>
              <w:adjustRightInd/>
              <w:spacing w:line="240" w:lineRule="auto"/>
              <w:jc w:val="right"/>
              <w:textAlignment w:val="auto"/>
              <w:rPr>
                <w:rFonts w:ascii="Arial" w:hAnsi="Arial" w:cs="Arial"/>
                <w:sz w:val="20"/>
                <w:lang w:val="en-US"/>
              </w:rPr>
            </w:pPr>
            <w:r w:rsidRPr="00B66938">
              <w:rPr>
                <w:rFonts w:ascii="Arial" w:hAnsi="Arial" w:cs="Arial"/>
                <w:sz w:val="20"/>
                <w:lang w:val="en-US"/>
              </w:rPr>
              <w:t xml:space="preserve">             </w:t>
            </w:r>
            <w:r w:rsidR="00E94FA5" w:rsidRPr="00B66938">
              <w:rPr>
                <w:rFonts w:ascii="Arial" w:hAnsi="Arial" w:cs="Arial"/>
                <w:sz w:val="20"/>
                <w:lang w:val="en-US"/>
              </w:rPr>
              <w:t>27</w:t>
            </w:r>
            <w:r w:rsidR="00E94FA5">
              <w:rPr>
                <w:rFonts w:ascii="Arial" w:hAnsi="Arial" w:cs="Arial"/>
                <w:sz w:val="20"/>
                <w:lang w:val="en-US"/>
              </w:rPr>
              <w:t>1</w:t>
            </w:r>
            <w:r w:rsidR="00E94FA5" w:rsidRPr="00B66938">
              <w:rPr>
                <w:rFonts w:ascii="Arial" w:hAnsi="Arial" w:cs="Arial"/>
                <w:sz w:val="20"/>
                <w:lang w:val="en-US"/>
              </w:rPr>
              <w:t xml:space="preserve"> </w:t>
            </w:r>
          </w:p>
        </w:tc>
        <w:tc>
          <w:tcPr>
            <w:tcW w:w="1165" w:type="dxa"/>
            <w:tcBorders>
              <w:top w:val="nil"/>
              <w:left w:val="nil"/>
              <w:bottom w:val="nil"/>
              <w:right w:val="nil"/>
            </w:tcBorders>
            <w:shd w:val="clear" w:color="000000" w:fill="FFFFFF"/>
            <w:noWrap/>
            <w:vAlign w:val="bottom"/>
            <w:hideMark/>
          </w:tcPr>
          <w:p w:rsidR="00B66938" w:rsidRPr="00B66938" w:rsidRDefault="00B66938" w:rsidP="00B66938">
            <w:pPr>
              <w:overflowPunct/>
              <w:autoSpaceDE/>
              <w:autoSpaceDN/>
              <w:adjustRightInd/>
              <w:spacing w:line="240" w:lineRule="auto"/>
              <w:jc w:val="center"/>
              <w:textAlignment w:val="auto"/>
              <w:rPr>
                <w:rFonts w:ascii="Arial" w:hAnsi="Arial" w:cs="Arial"/>
                <w:sz w:val="20"/>
                <w:lang w:val="en-US"/>
              </w:rPr>
            </w:pPr>
            <w:r w:rsidRPr="00B66938">
              <w:rPr>
                <w:rFonts w:ascii="Arial" w:hAnsi="Arial" w:cs="Arial"/>
                <w:sz w:val="20"/>
                <w:lang w:val="en-US"/>
              </w:rPr>
              <w:t> </w:t>
            </w:r>
          </w:p>
        </w:tc>
        <w:tc>
          <w:tcPr>
            <w:tcW w:w="346" w:type="dxa"/>
            <w:tcBorders>
              <w:top w:val="nil"/>
              <w:left w:val="nil"/>
              <w:bottom w:val="nil"/>
              <w:right w:val="nil"/>
            </w:tcBorders>
            <w:shd w:val="clear" w:color="000000" w:fill="FFFFFF"/>
            <w:noWrap/>
            <w:vAlign w:val="bottom"/>
            <w:hideMark/>
          </w:tcPr>
          <w:p w:rsidR="00B66938" w:rsidRPr="00B66938" w:rsidRDefault="00B66938" w:rsidP="00B66938">
            <w:pPr>
              <w:overflowPunct/>
              <w:autoSpaceDE/>
              <w:autoSpaceDN/>
              <w:adjustRightInd/>
              <w:spacing w:line="240" w:lineRule="auto"/>
              <w:jc w:val="center"/>
              <w:textAlignment w:val="auto"/>
              <w:rPr>
                <w:rFonts w:ascii="Arial" w:hAnsi="Arial" w:cs="Arial"/>
                <w:sz w:val="20"/>
                <w:lang w:val="en-US"/>
              </w:rPr>
            </w:pPr>
            <w:r w:rsidRPr="00B66938">
              <w:rPr>
                <w:rFonts w:ascii="Arial" w:hAnsi="Arial" w:cs="Arial"/>
                <w:sz w:val="20"/>
                <w:lang w:val="en-US"/>
              </w:rPr>
              <w:t> </w:t>
            </w:r>
          </w:p>
        </w:tc>
        <w:tc>
          <w:tcPr>
            <w:tcW w:w="1348" w:type="dxa"/>
            <w:tcBorders>
              <w:top w:val="nil"/>
              <w:left w:val="nil"/>
              <w:bottom w:val="nil"/>
              <w:right w:val="nil"/>
            </w:tcBorders>
            <w:shd w:val="clear" w:color="000000" w:fill="FFFFFF"/>
            <w:noWrap/>
            <w:vAlign w:val="bottom"/>
            <w:hideMark/>
          </w:tcPr>
          <w:p w:rsidR="00B66938" w:rsidRPr="00B66938" w:rsidRDefault="00B66938" w:rsidP="00B66938">
            <w:pPr>
              <w:overflowPunct/>
              <w:autoSpaceDE/>
              <w:autoSpaceDN/>
              <w:adjustRightInd/>
              <w:spacing w:line="240" w:lineRule="auto"/>
              <w:jc w:val="right"/>
              <w:textAlignment w:val="auto"/>
              <w:rPr>
                <w:rFonts w:ascii="Arial" w:hAnsi="Arial" w:cs="Arial"/>
                <w:sz w:val="20"/>
                <w:lang w:val="en-US"/>
              </w:rPr>
            </w:pPr>
            <w:r w:rsidRPr="00B66938">
              <w:rPr>
                <w:rFonts w:ascii="Arial" w:hAnsi="Arial" w:cs="Arial"/>
                <w:sz w:val="20"/>
                <w:lang w:val="en-US"/>
              </w:rPr>
              <w:t xml:space="preserve">               788 </w:t>
            </w:r>
          </w:p>
        </w:tc>
        <w:tc>
          <w:tcPr>
            <w:tcW w:w="1225" w:type="dxa"/>
            <w:tcBorders>
              <w:top w:val="nil"/>
              <w:left w:val="nil"/>
              <w:bottom w:val="nil"/>
              <w:right w:val="single" w:sz="4" w:space="0" w:color="auto"/>
            </w:tcBorders>
            <w:shd w:val="clear" w:color="000000" w:fill="FFFFFF"/>
            <w:noWrap/>
            <w:vAlign w:val="bottom"/>
            <w:hideMark/>
          </w:tcPr>
          <w:p w:rsidR="00B66938" w:rsidRPr="00B66938" w:rsidRDefault="00B66938" w:rsidP="00B66938">
            <w:pPr>
              <w:overflowPunct/>
              <w:autoSpaceDE/>
              <w:autoSpaceDN/>
              <w:adjustRightInd/>
              <w:spacing w:line="240" w:lineRule="auto"/>
              <w:jc w:val="right"/>
              <w:textAlignment w:val="auto"/>
              <w:rPr>
                <w:rFonts w:ascii="Arial" w:hAnsi="Arial" w:cs="Arial"/>
                <w:sz w:val="20"/>
                <w:lang w:val="en-US"/>
              </w:rPr>
            </w:pPr>
            <w:r w:rsidRPr="00B66938">
              <w:rPr>
                <w:rFonts w:ascii="Arial" w:hAnsi="Arial" w:cs="Arial"/>
                <w:sz w:val="20"/>
                <w:lang w:val="en-US"/>
              </w:rPr>
              <w:t> </w:t>
            </w:r>
          </w:p>
        </w:tc>
      </w:tr>
      <w:tr w:rsidR="00B66938" w:rsidRPr="00B66938" w:rsidTr="00B66938">
        <w:trPr>
          <w:trHeight w:val="265"/>
        </w:trPr>
        <w:tc>
          <w:tcPr>
            <w:tcW w:w="3467" w:type="dxa"/>
            <w:tcBorders>
              <w:top w:val="nil"/>
              <w:left w:val="single" w:sz="4" w:space="0" w:color="auto"/>
              <w:bottom w:val="nil"/>
              <w:right w:val="nil"/>
            </w:tcBorders>
            <w:shd w:val="clear" w:color="000000" w:fill="FFFFFF"/>
            <w:noWrap/>
            <w:hideMark/>
          </w:tcPr>
          <w:p w:rsidR="00B66938" w:rsidRPr="00B66938" w:rsidRDefault="00B66938" w:rsidP="00B66938">
            <w:pPr>
              <w:overflowPunct/>
              <w:autoSpaceDE/>
              <w:autoSpaceDN/>
              <w:adjustRightInd/>
              <w:spacing w:line="240" w:lineRule="auto"/>
              <w:textAlignment w:val="auto"/>
              <w:rPr>
                <w:rFonts w:ascii="Arial" w:hAnsi="Arial" w:cs="Arial"/>
                <w:sz w:val="20"/>
                <w:lang w:val="en-US"/>
              </w:rPr>
            </w:pPr>
            <w:r w:rsidRPr="00B66938">
              <w:rPr>
                <w:rFonts w:ascii="Arial" w:hAnsi="Arial" w:cs="Arial"/>
                <w:sz w:val="20"/>
                <w:lang w:val="en-US"/>
              </w:rPr>
              <w:t>Tax calculation</w:t>
            </w:r>
          </w:p>
        </w:tc>
        <w:tc>
          <w:tcPr>
            <w:tcW w:w="366" w:type="dxa"/>
            <w:tcBorders>
              <w:top w:val="nil"/>
              <w:left w:val="nil"/>
              <w:bottom w:val="nil"/>
              <w:right w:val="nil"/>
            </w:tcBorders>
            <w:shd w:val="clear" w:color="000000" w:fill="FFFFFF"/>
            <w:noWrap/>
            <w:hideMark/>
          </w:tcPr>
          <w:p w:rsidR="00B66938" w:rsidRPr="00B66938" w:rsidRDefault="00B66938" w:rsidP="00B66938">
            <w:pPr>
              <w:overflowPunct/>
              <w:autoSpaceDE/>
              <w:autoSpaceDN/>
              <w:adjustRightInd/>
              <w:spacing w:line="240" w:lineRule="auto"/>
              <w:textAlignment w:val="auto"/>
              <w:rPr>
                <w:rFonts w:ascii="Arial" w:hAnsi="Arial" w:cs="Arial"/>
                <w:sz w:val="20"/>
                <w:lang w:val="en-US"/>
              </w:rPr>
            </w:pPr>
            <w:r w:rsidRPr="00B66938">
              <w:rPr>
                <w:rFonts w:ascii="Arial" w:hAnsi="Arial" w:cs="Arial"/>
                <w:sz w:val="20"/>
                <w:lang w:val="en-US"/>
              </w:rPr>
              <w:t> </w:t>
            </w:r>
          </w:p>
        </w:tc>
        <w:tc>
          <w:tcPr>
            <w:tcW w:w="1248" w:type="dxa"/>
            <w:tcBorders>
              <w:top w:val="nil"/>
              <w:left w:val="nil"/>
              <w:bottom w:val="single" w:sz="4" w:space="0" w:color="auto"/>
              <w:right w:val="nil"/>
            </w:tcBorders>
            <w:shd w:val="clear" w:color="000000" w:fill="FFFFFF"/>
            <w:noWrap/>
            <w:vAlign w:val="bottom"/>
            <w:hideMark/>
          </w:tcPr>
          <w:p w:rsidR="00B66938" w:rsidRPr="00B66938" w:rsidRDefault="00B66938" w:rsidP="00E94FA5">
            <w:pPr>
              <w:overflowPunct/>
              <w:autoSpaceDE/>
              <w:autoSpaceDN/>
              <w:adjustRightInd/>
              <w:spacing w:line="240" w:lineRule="auto"/>
              <w:jc w:val="right"/>
              <w:textAlignment w:val="auto"/>
              <w:rPr>
                <w:rFonts w:ascii="Arial" w:hAnsi="Arial" w:cs="Arial"/>
                <w:sz w:val="20"/>
                <w:lang w:val="en-US"/>
              </w:rPr>
            </w:pPr>
            <w:r w:rsidRPr="00B66938">
              <w:rPr>
                <w:rFonts w:ascii="Arial" w:hAnsi="Arial" w:cs="Arial"/>
                <w:sz w:val="20"/>
                <w:lang w:val="en-US"/>
              </w:rPr>
              <w:t xml:space="preserve">( </w:t>
            </w:r>
            <w:r w:rsidR="00E94FA5" w:rsidRPr="00B66938">
              <w:rPr>
                <w:rFonts w:ascii="Arial" w:hAnsi="Arial" w:cs="Arial"/>
                <w:sz w:val="20"/>
                <w:lang w:val="en-US"/>
              </w:rPr>
              <w:t>27</w:t>
            </w:r>
            <w:r w:rsidR="00E94FA5">
              <w:rPr>
                <w:rFonts w:ascii="Arial" w:hAnsi="Arial" w:cs="Arial"/>
                <w:sz w:val="20"/>
                <w:lang w:val="en-US"/>
              </w:rPr>
              <w:t>1</w:t>
            </w:r>
            <w:r w:rsidRPr="00B66938">
              <w:rPr>
                <w:rFonts w:ascii="Arial" w:hAnsi="Arial" w:cs="Arial"/>
                <w:sz w:val="20"/>
                <w:lang w:val="en-US"/>
              </w:rPr>
              <w:t>)</w:t>
            </w:r>
          </w:p>
        </w:tc>
        <w:tc>
          <w:tcPr>
            <w:tcW w:w="1165" w:type="dxa"/>
            <w:tcBorders>
              <w:top w:val="nil"/>
              <w:left w:val="nil"/>
              <w:bottom w:val="nil"/>
              <w:right w:val="nil"/>
            </w:tcBorders>
            <w:shd w:val="clear" w:color="000000" w:fill="FFFFFF"/>
            <w:noWrap/>
            <w:vAlign w:val="bottom"/>
            <w:hideMark/>
          </w:tcPr>
          <w:p w:rsidR="00B66938" w:rsidRPr="00B66938" w:rsidRDefault="00B66938" w:rsidP="00B66938">
            <w:pPr>
              <w:overflowPunct/>
              <w:autoSpaceDE/>
              <w:autoSpaceDN/>
              <w:adjustRightInd/>
              <w:spacing w:line="240" w:lineRule="auto"/>
              <w:jc w:val="center"/>
              <w:textAlignment w:val="auto"/>
              <w:rPr>
                <w:rFonts w:ascii="Arial" w:hAnsi="Arial" w:cs="Arial"/>
                <w:sz w:val="20"/>
                <w:lang w:val="en-US"/>
              </w:rPr>
            </w:pPr>
            <w:r w:rsidRPr="00B66938">
              <w:rPr>
                <w:rFonts w:ascii="Arial" w:hAnsi="Arial" w:cs="Arial"/>
                <w:sz w:val="20"/>
                <w:lang w:val="en-US"/>
              </w:rPr>
              <w:t> </w:t>
            </w:r>
          </w:p>
        </w:tc>
        <w:tc>
          <w:tcPr>
            <w:tcW w:w="346" w:type="dxa"/>
            <w:tcBorders>
              <w:top w:val="nil"/>
              <w:left w:val="nil"/>
              <w:bottom w:val="nil"/>
              <w:right w:val="nil"/>
            </w:tcBorders>
            <w:shd w:val="clear" w:color="000000" w:fill="FFFFFF"/>
            <w:noWrap/>
            <w:vAlign w:val="bottom"/>
            <w:hideMark/>
          </w:tcPr>
          <w:p w:rsidR="00B66938" w:rsidRPr="00B66938" w:rsidRDefault="00B66938" w:rsidP="00B66938">
            <w:pPr>
              <w:overflowPunct/>
              <w:autoSpaceDE/>
              <w:autoSpaceDN/>
              <w:adjustRightInd/>
              <w:spacing w:line="240" w:lineRule="auto"/>
              <w:jc w:val="center"/>
              <w:textAlignment w:val="auto"/>
              <w:rPr>
                <w:rFonts w:ascii="Arial" w:hAnsi="Arial" w:cs="Arial"/>
                <w:sz w:val="20"/>
                <w:lang w:val="en-US"/>
              </w:rPr>
            </w:pPr>
            <w:r w:rsidRPr="00B66938">
              <w:rPr>
                <w:rFonts w:ascii="Arial" w:hAnsi="Arial" w:cs="Arial"/>
                <w:sz w:val="20"/>
                <w:lang w:val="en-US"/>
              </w:rPr>
              <w:t> </w:t>
            </w:r>
          </w:p>
        </w:tc>
        <w:tc>
          <w:tcPr>
            <w:tcW w:w="1348" w:type="dxa"/>
            <w:tcBorders>
              <w:top w:val="nil"/>
              <w:left w:val="nil"/>
              <w:bottom w:val="single" w:sz="4" w:space="0" w:color="auto"/>
              <w:right w:val="nil"/>
            </w:tcBorders>
            <w:shd w:val="clear" w:color="000000" w:fill="FFFFFF"/>
            <w:noWrap/>
            <w:vAlign w:val="bottom"/>
            <w:hideMark/>
          </w:tcPr>
          <w:p w:rsidR="00B66938" w:rsidRPr="00B66938" w:rsidRDefault="00B66938" w:rsidP="00B66938">
            <w:pPr>
              <w:overflowPunct/>
              <w:autoSpaceDE/>
              <w:autoSpaceDN/>
              <w:adjustRightInd/>
              <w:spacing w:line="240" w:lineRule="auto"/>
              <w:jc w:val="right"/>
              <w:textAlignment w:val="auto"/>
              <w:rPr>
                <w:rFonts w:ascii="Arial" w:hAnsi="Arial" w:cs="Arial"/>
                <w:sz w:val="20"/>
                <w:lang w:val="en-US"/>
              </w:rPr>
            </w:pPr>
            <w:r w:rsidRPr="00B66938">
              <w:rPr>
                <w:rFonts w:ascii="Arial" w:hAnsi="Arial" w:cs="Arial"/>
                <w:sz w:val="20"/>
                <w:lang w:val="en-US"/>
              </w:rPr>
              <w:t>( 788)</w:t>
            </w:r>
          </w:p>
        </w:tc>
        <w:tc>
          <w:tcPr>
            <w:tcW w:w="1225" w:type="dxa"/>
            <w:tcBorders>
              <w:top w:val="nil"/>
              <w:left w:val="nil"/>
              <w:bottom w:val="nil"/>
              <w:right w:val="single" w:sz="4" w:space="0" w:color="auto"/>
            </w:tcBorders>
            <w:shd w:val="clear" w:color="000000" w:fill="FFFFFF"/>
            <w:noWrap/>
            <w:vAlign w:val="bottom"/>
            <w:hideMark/>
          </w:tcPr>
          <w:p w:rsidR="00B66938" w:rsidRPr="00B66938" w:rsidRDefault="00B66938" w:rsidP="00B66938">
            <w:pPr>
              <w:overflowPunct/>
              <w:autoSpaceDE/>
              <w:autoSpaceDN/>
              <w:adjustRightInd/>
              <w:spacing w:line="240" w:lineRule="auto"/>
              <w:jc w:val="right"/>
              <w:textAlignment w:val="auto"/>
              <w:rPr>
                <w:rFonts w:ascii="Arial" w:hAnsi="Arial" w:cs="Arial"/>
                <w:sz w:val="20"/>
                <w:lang w:val="en-US"/>
              </w:rPr>
            </w:pPr>
            <w:r w:rsidRPr="00B66938">
              <w:rPr>
                <w:rFonts w:ascii="Arial" w:hAnsi="Arial" w:cs="Arial"/>
                <w:sz w:val="20"/>
                <w:lang w:val="en-US"/>
              </w:rPr>
              <w:t> </w:t>
            </w:r>
          </w:p>
        </w:tc>
      </w:tr>
      <w:tr w:rsidR="00B66938" w:rsidRPr="00B66938" w:rsidTr="00B66938">
        <w:trPr>
          <w:trHeight w:val="265"/>
        </w:trPr>
        <w:tc>
          <w:tcPr>
            <w:tcW w:w="3467" w:type="dxa"/>
            <w:tcBorders>
              <w:top w:val="nil"/>
              <w:left w:val="single" w:sz="4" w:space="0" w:color="auto"/>
              <w:bottom w:val="nil"/>
              <w:right w:val="nil"/>
            </w:tcBorders>
            <w:shd w:val="clear" w:color="000000" w:fill="FFFFFF"/>
            <w:noWrap/>
            <w:vAlign w:val="bottom"/>
            <w:hideMark/>
          </w:tcPr>
          <w:p w:rsidR="00B66938" w:rsidRPr="00B66938" w:rsidRDefault="00B66938" w:rsidP="00B66938">
            <w:pPr>
              <w:overflowPunct/>
              <w:autoSpaceDE/>
              <w:autoSpaceDN/>
              <w:adjustRightInd/>
              <w:spacing w:line="240" w:lineRule="auto"/>
              <w:textAlignment w:val="auto"/>
              <w:rPr>
                <w:rFonts w:ascii="Arial" w:hAnsi="Arial" w:cs="Arial"/>
                <w:sz w:val="20"/>
                <w:lang w:val="en-US"/>
              </w:rPr>
            </w:pPr>
            <w:r w:rsidRPr="00B66938">
              <w:rPr>
                <w:rFonts w:ascii="Arial" w:hAnsi="Arial" w:cs="Arial"/>
                <w:sz w:val="20"/>
                <w:lang w:val="en-US"/>
              </w:rPr>
              <w:t> </w:t>
            </w:r>
          </w:p>
        </w:tc>
        <w:tc>
          <w:tcPr>
            <w:tcW w:w="366" w:type="dxa"/>
            <w:tcBorders>
              <w:top w:val="nil"/>
              <w:left w:val="nil"/>
              <w:bottom w:val="nil"/>
              <w:right w:val="nil"/>
            </w:tcBorders>
            <w:shd w:val="clear" w:color="000000" w:fill="FFFFFF"/>
            <w:noWrap/>
            <w:hideMark/>
          </w:tcPr>
          <w:p w:rsidR="00B66938" w:rsidRPr="00B66938" w:rsidRDefault="00B66938" w:rsidP="00B66938">
            <w:pPr>
              <w:overflowPunct/>
              <w:autoSpaceDE/>
              <w:autoSpaceDN/>
              <w:adjustRightInd/>
              <w:spacing w:line="240" w:lineRule="auto"/>
              <w:textAlignment w:val="auto"/>
              <w:rPr>
                <w:rFonts w:ascii="Arial" w:hAnsi="Arial" w:cs="Arial"/>
                <w:sz w:val="20"/>
                <w:lang w:val="en-US"/>
              </w:rPr>
            </w:pPr>
            <w:r w:rsidRPr="00B66938">
              <w:rPr>
                <w:rFonts w:ascii="Arial" w:hAnsi="Arial" w:cs="Arial"/>
                <w:sz w:val="20"/>
                <w:lang w:val="en-US"/>
              </w:rPr>
              <w:t> </w:t>
            </w:r>
          </w:p>
        </w:tc>
        <w:tc>
          <w:tcPr>
            <w:tcW w:w="1248" w:type="dxa"/>
            <w:tcBorders>
              <w:top w:val="nil"/>
              <w:left w:val="nil"/>
              <w:bottom w:val="nil"/>
              <w:right w:val="nil"/>
            </w:tcBorders>
            <w:shd w:val="clear" w:color="000000" w:fill="FFFFFF"/>
            <w:noWrap/>
            <w:vAlign w:val="bottom"/>
            <w:hideMark/>
          </w:tcPr>
          <w:p w:rsidR="00B66938" w:rsidRPr="00B66938" w:rsidRDefault="00B66938" w:rsidP="00B66938">
            <w:pPr>
              <w:overflowPunct/>
              <w:autoSpaceDE/>
              <w:autoSpaceDN/>
              <w:adjustRightInd/>
              <w:spacing w:line="240" w:lineRule="auto"/>
              <w:jc w:val="center"/>
              <w:textAlignment w:val="auto"/>
              <w:rPr>
                <w:rFonts w:ascii="Arial" w:hAnsi="Arial" w:cs="Arial"/>
                <w:sz w:val="20"/>
                <w:lang w:val="en-US"/>
              </w:rPr>
            </w:pPr>
            <w:r w:rsidRPr="00B66938">
              <w:rPr>
                <w:rFonts w:ascii="Arial" w:hAnsi="Arial" w:cs="Arial"/>
                <w:sz w:val="20"/>
                <w:lang w:val="en-US"/>
              </w:rPr>
              <w:t> </w:t>
            </w:r>
          </w:p>
        </w:tc>
        <w:tc>
          <w:tcPr>
            <w:tcW w:w="1165" w:type="dxa"/>
            <w:tcBorders>
              <w:top w:val="nil"/>
              <w:left w:val="nil"/>
              <w:bottom w:val="nil"/>
              <w:right w:val="nil"/>
            </w:tcBorders>
            <w:shd w:val="clear" w:color="000000" w:fill="FFFFFF"/>
            <w:noWrap/>
            <w:vAlign w:val="bottom"/>
            <w:hideMark/>
          </w:tcPr>
          <w:p w:rsidR="00B66938" w:rsidRPr="00B66938" w:rsidRDefault="00B66938" w:rsidP="00B66938">
            <w:pPr>
              <w:overflowPunct/>
              <w:autoSpaceDE/>
              <w:autoSpaceDN/>
              <w:adjustRightInd/>
              <w:spacing w:line="240" w:lineRule="auto"/>
              <w:jc w:val="center"/>
              <w:textAlignment w:val="auto"/>
              <w:rPr>
                <w:rFonts w:ascii="Arial" w:hAnsi="Arial" w:cs="Arial"/>
                <w:sz w:val="20"/>
                <w:lang w:val="en-US"/>
              </w:rPr>
            </w:pPr>
            <w:r w:rsidRPr="00B66938">
              <w:rPr>
                <w:rFonts w:ascii="Arial" w:hAnsi="Arial" w:cs="Arial"/>
                <w:sz w:val="20"/>
                <w:lang w:val="en-US"/>
              </w:rPr>
              <w:t> </w:t>
            </w:r>
          </w:p>
        </w:tc>
        <w:tc>
          <w:tcPr>
            <w:tcW w:w="346" w:type="dxa"/>
            <w:tcBorders>
              <w:top w:val="nil"/>
              <w:left w:val="nil"/>
              <w:bottom w:val="nil"/>
              <w:right w:val="nil"/>
            </w:tcBorders>
            <w:shd w:val="clear" w:color="000000" w:fill="FFFFFF"/>
            <w:noWrap/>
            <w:vAlign w:val="bottom"/>
            <w:hideMark/>
          </w:tcPr>
          <w:p w:rsidR="00B66938" w:rsidRPr="00B66938" w:rsidRDefault="00B66938" w:rsidP="00B66938">
            <w:pPr>
              <w:overflowPunct/>
              <w:autoSpaceDE/>
              <w:autoSpaceDN/>
              <w:adjustRightInd/>
              <w:spacing w:line="240" w:lineRule="auto"/>
              <w:jc w:val="center"/>
              <w:textAlignment w:val="auto"/>
              <w:rPr>
                <w:rFonts w:ascii="Arial" w:hAnsi="Arial" w:cs="Arial"/>
                <w:sz w:val="20"/>
                <w:lang w:val="en-US"/>
              </w:rPr>
            </w:pPr>
            <w:r w:rsidRPr="00B66938">
              <w:rPr>
                <w:rFonts w:ascii="Arial" w:hAnsi="Arial" w:cs="Arial"/>
                <w:sz w:val="20"/>
                <w:lang w:val="en-US"/>
              </w:rPr>
              <w:t> </w:t>
            </w:r>
          </w:p>
        </w:tc>
        <w:tc>
          <w:tcPr>
            <w:tcW w:w="1348" w:type="dxa"/>
            <w:tcBorders>
              <w:top w:val="nil"/>
              <w:left w:val="nil"/>
              <w:bottom w:val="nil"/>
              <w:right w:val="nil"/>
            </w:tcBorders>
            <w:shd w:val="clear" w:color="000000" w:fill="FFFFFF"/>
            <w:noWrap/>
            <w:vAlign w:val="bottom"/>
            <w:hideMark/>
          </w:tcPr>
          <w:p w:rsidR="00B66938" w:rsidRPr="00B66938" w:rsidRDefault="00B66938" w:rsidP="00B66938">
            <w:pPr>
              <w:overflowPunct/>
              <w:autoSpaceDE/>
              <w:autoSpaceDN/>
              <w:adjustRightInd/>
              <w:spacing w:line="240" w:lineRule="auto"/>
              <w:textAlignment w:val="auto"/>
              <w:rPr>
                <w:rFonts w:ascii="Arial" w:hAnsi="Arial" w:cs="Arial"/>
                <w:sz w:val="20"/>
                <w:lang w:val="en-US"/>
              </w:rPr>
            </w:pPr>
            <w:r w:rsidRPr="00B66938">
              <w:rPr>
                <w:rFonts w:ascii="Arial" w:hAnsi="Arial" w:cs="Arial"/>
                <w:sz w:val="20"/>
                <w:lang w:val="en-US"/>
              </w:rPr>
              <w:t> </w:t>
            </w:r>
          </w:p>
        </w:tc>
        <w:tc>
          <w:tcPr>
            <w:tcW w:w="1225" w:type="dxa"/>
            <w:tcBorders>
              <w:top w:val="nil"/>
              <w:left w:val="nil"/>
              <w:bottom w:val="nil"/>
              <w:right w:val="single" w:sz="4" w:space="0" w:color="auto"/>
            </w:tcBorders>
            <w:shd w:val="clear" w:color="000000" w:fill="FFFFFF"/>
            <w:noWrap/>
            <w:vAlign w:val="bottom"/>
            <w:hideMark/>
          </w:tcPr>
          <w:p w:rsidR="00B66938" w:rsidRPr="00B66938" w:rsidRDefault="00B66938" w:rsidP="00B66938">
            <w:pPr>
              <w:overflowPunct/>
              <w:autoSpaceDE/>
              <w:autoSpaceDN/>
              <w:adjustRightInd/>
              <w:spacing w:line="240" w:lineRule="auto"/>
              <w:textAlignment w:val="auto"/>
              <w:rPr>
                <w:rFonts w:ascii="Arial" w:hAnsi="Arial" w:cs="Arial"/>
                <w:sz w:val="20"/>
                <w:lang w:val="en-US"/>
              </w:rPr>
            </w:pPr>
            <w:r w:rsidRPr="00B66938">
              <w:rPr>
                <w:rFonts w:ascii="Arial" w:hAnsi="Arial" w:cs="Arial"/>
                <w:sz w:val="20"/>
                <w:lang w:val="en-US"/>
              </w:rPr>
              <w:t> </w:t>
            </w:r>
          </w:p>
        </w:tc>
      </w:tr>
      <w:tr w:rsidR="00B66938" w:rsidRPr="00B66938" w:rsidTr="00B66938">
        <w:trPr>
          <w:trHeight w:val="278"/>
        </w:trPr>
        <w:tc>
          <w:tcPr>
            <w:tcW w:w="3467" w:type="dxa"/>
            <w:tcBorders>
              <w:top w:val="nil"/>
              <w:left w:val="single" w:sz="4" w:space="0" w:color="auto"/>
              <w:bottom w:val="nil"/>
              <w:right w:val="nil"/>
            </w:tcBorders>
            <w:shd w:val="clear" w:color="000000" w:fill="FFFFFF"/>
            <w:noWrap/>
            <w:hideMark/>
          </w:tcPr>
          <w:p w:rsidR="00B66938" w:rsidRPr="00B66938" w:rsidRDefault="00B66938" w:rsidP="00B66938">
            <w:pPr>
              <w:overflowPunct/>
              <w:autoSpaceDE/>
              <w:autoSpaceDN/>
              <w:adjustRightInd/>
              <w:spacing w:line="240" w:lineRule="auto"/>
              <w:textAlignment w:val="auto"/>
              <w:rPr>
                <w:rFonts w:ascii="Arial" w:hAnsi="Arial" w:cs="Arial"/>
                <w:sz w:val="20"/>
                <w:lang w:val="en-US"/>
              </w:rPr>
            </w:pPr>
            <w:r w:rsidRPr="00B66938">
              <w:rPr>
                <w:rFonts w:ascii="Arial" w:hAnsi="Arial" w:cs="Arial"/>
                <w:sz w:val="20"/>
                <w:lang w:val="en-US"/>
              </w:rPr>
              <w:t>Tax expense for the year</w:t>
            </w:r>
          </w:p>
        </w:tc>
        <w:tc>
          <w:tcPr>
            <w:tcW w:w="366" w:type="dxa"/>
            <w:tcBorders>
              <w:top w:val="nil"/>
              <w:left w:val="nil"/>
              <w:bottom w:val="nil"/>
              <w:right w:val="nil"/>
            </w:tcBorders>
            <w:shd w:val="clear" w:color="000000" w:fill="FFFFFF"/>
            <w:noWrap/>
            <w:hideMark/>
          </w:tcPr>
          <w:p w:rsidR="00B66938" w:rsidRPr="00B66938" w:rsidRDefault="00B66938" w:rsidP="00B66938">
            <w:pPr>
              <w:overflowPunct/>
              <w:autoSpaceDE/>
              <w:autoSpaceDN/>
              <w:adjustRightInd/>
              <w:spacing w:line="240" w:lineRule="auto"/>
              <w:textAlignment w:val="auto"/>
              <w:rPr>
                <w:rFonts w:ascii="Arial" w:hAnsi="Arial" w:cs="Arial"/>
                <w:sz w:val="20"/>
                <w:lang w:val="en-US"/>
              </w:rPr>
            </w:pPr>
            <w:r w:rsidRPr="00B66938">
              <w:rPr>
                <w:rFonts w:ascii="Arial" w:hAnsi="Arial" w:cs="Arial"/>
                <w:sz w:val="20"/>
                <w:lang w:val="en-US"/>
              </w:rPr>
              <w:t> </w:t>
            </w:r>
          </w:p>
        </w:tc>
        <w:tc>
          <w:tcPr>
            <w:tcW w:w="1248" w:type="dxa"/>
            <w:tcBorders>
              <w:top w:val="nil"/>
              <w:left w:val="nil"/>
              <w:bottom w:val="nil"/>
              <w:right w:val="nil"/>
            </w:tcBorders>
            <w:shd w:val="clear" w:color="000000" w:fill="FFFFFF"/>
            <w:noWrap/>
            <w:vAlign w:val="bottom"/>
            <w:hideMark/>
          </w:tcPr>
          <w:p w:rsidR="00B66938" w:rsidRPr="00B66938" w:rsidRDefault="00B66938" w:rsidP="00B66938">
            <w:pPr>
              <w:overflowPunct/>
              <w:autoSpaceDE/>
              <w:autoSpaceDN/>
              <w:adjustRightInd/>
              <w:spacing w:line="240" w:lineRule="auto"/>
              <w:jc w:val="center"/>
              <w:textAlignment w:val="auto"/>
              <w:rPr>
                <w:rFonts w:ascii="Arial" w:hAnsi="Arial" w:cs="Arial"/>
                <w:sz w:val="20"/>
                <w:lang w:val="en-US"/>
              </w:rPr>
            </w:pPr>
            <w:r w:rsidRPr="00B66938">
              <w:rPr>
                <w:rFonts w:ascii="Arial" w:hAnsi="Arial" w:cs="Arial"/>
                <w:sz w:val="20"/>
                <w:lang w:val="en-US"/>
              </w:rPr>
              <w:t> </w:t>
            </w:r>
          </w:p>
        </w:tc>
        <w:tc>
          <w:tcPr>
            <w:tcW w:w="1165" w:type="dxa"/>
            <w:tcBorders>
              <w:top w:val="nil"/>
              <w:left w:val="nil"/>
              <w:bottom w:val="double" w:sz="6" w:space="0" w:color="auto"/>
              <w:right w:val="nil"/>
            </w:tcBorders>
            <w:shd w:val="clear" w:color="000000" w:fill="FFFFFF"/>
            <w:noWrap/>
            <w:vAlign w:val="bottom"/>
            <w:hideMark/>
          </w:tcPr>
          <w:p w:rsidR="00B66938" w:rsidRPr="00B66938" w:rsidRDefault="00B66938" w:rsidP="00B66938">
            <w:pPr>
              <w:overflowPunct/>
              <w:autoSpaceDE/>
              <w:autoSpaceDN/>
              <w:adjustRightInd/>
              <w:spacing w:line="240" w:lineRule="auto"/>
              <w:jc w:val="right"/>
              <w:textAlignment w:val="auto"/>
              <w:rPr>
                <w:rFonts w:ascii="Arial" w:hAnsi="Arial" w:cs="Arial"/>
                <w:sz w:val="20"/>
                <w:lang w:val="en-US"/>
              </w:rPr>
            </w:pPr>
            <w:r w:rsidRPr="00B66938">
              <w:rPr>
                <w:rFonts w:ascii="Arial" w:hAnsi="Arial" w:cs="Arial"/>
                <w:sz w:val="20"/>
                <w:lang w:val="en-US"/>
              </w:rPr>
              <w:t xml:space="preserve">              -   </w:t>
            </w:r>
          </w:p>
        </w:tc>
        <w:tc>
          <w:tcPr>
            <w:tcW w:w="346" w:type="dxa"/>
            <w:tcBorders>
              <w:top w:val="nil"/>
              <w:left w:val="nil"/>
              <w:bottom w:val="nil"/>
              <w:right w:val="nil"/>
            </w:tcBorders>
            <w:shd w:val="clear" w:color="000000" w:fill="FFFFFF"/>
            <w:noWrap/>
            <w:vAlign w:val="bottom"/>
            <w:hideMark/>
          </w:tcPr>
          <w:p w:rsidR="00B66938" w:rsidRPr="00B66938" w:rsidRDefault="00B66938" w:rsidP="00B66938">
            <w:pPr>
              <w:overflowPunct/>
              <w:autoSpaceDE/>
              <w:autoSpaceDN/>
              <w:adjustRightInd/>
              <w:spacing w:line="240" w:lineRule="auto"/>
              <w:jc w:val="center"/>
              <w:textAlignment w:val="auto"/>
              <w:rPr>
                <w:rFonts w:ascii="Arial" w:hAnsi="Arial" w:cs="Arial"/>
                <w:sz w:val="20"/>
                <w:lang w:val="en-US"/>
              </w:rPr>
            </w:pPr>
            <w:r w:rsidRPr="00B66938">
              <w:rPr>
                <w:rFonts w:ascii="Arial" w:hAnsi="Arial" w:cs="Arial"/>
                <w:sz w:val="20"/>
                <w:lang w:val="en-US"/>
              </w:rPr>
              <w:t> </w:t>
            </w:r>
          </w:p>
        </w:tc>
        <w:tc>
          <w:tcPr>
            <w:tcW w:w="1348" w:type="dxa"/>
            <w:tcBorders>
              <w:top w:val="nil"/>
              <w:left w:val="nil"/>
              <w:bottom w:val="nil"/>
              <w:right w:val="nil"/>
            </w:tcBorders>
            <w:shd w:val="clear" w:color="000000" w:fill="FFFFFF"/>
            <w:noWrap/>
            <w:vAlign w:val="bottom"/>
            <w:hideMark/>
          </w:tcPr>
          <w:p w:rsidR="00B66938" w:rsidRPr="00B66938" w:rsidRDefault="00B66938" w:rsidP="00B66938">
            <w:pPr>
              <w:overflowPunct/>
              <w:autoSpaceDE/>
              <w:autoSpaceDN/>
              <w:adjustRightInd/>
              <w:spacing w:line="240" w:lineRule="auto"/>
              <w:textAlignment w:val="auto"/>
              <w:rPr>
                <w:rFonts w:ascii="Arial" w:hAnsi="Arial" w:cs="Arial"/>
                <w:sz w:val="20"/>
                <w:lang w:val="en-US"/>
              </w:rPr>
            </w:pPr>
            <w:r w:rsidRPr="00B66938">
              <w:rPr>
                <w:rFonts w:ascii="Arial" w:hAnsi="Arial" w:cs="Arial"/>
                <w:sz w:val="20"/>
                <w:lang w:val="en-US"/>
              </w:rPr>
              <w:t> </w:t>
            </w:r>
          </w:p>
        </w:tc>
        <w:tc>
          <w:tcPr>
            <w:tcW w:w="1225" w:type="dxa"/>
            <w:tcBorders>
              <w:top w:val="nil"/>
              <w:left w:val="nil"/>
              <w:bottom w:val="double" w:sz="6" w:space="0" w:color="auto"/>
              <w:right w:val="single" w:sz="4" w:space="0" w:color="auto"/>
            </w:tcBorders>
            <w:shd w:val="clear" w:color="000000" w:fill="FFFFFF"/>
            <w:noWrap/>
            <w:vAlign w:val="bottom"/>
            <w:hideMark/>
          </w:tcPr>
          <w:p w:rsidR="00B66938" w:rsidRPr="00B66938" w:rsidRDefault="00B66938" w:rsidP="00B66938">
            <w:pPr>
              <w:overflowPunct/>
              <w:autoSpaceDE/>
              <w:autoSpaceDN/>
              <w:adjustRightInd/>
              <w:spacing w:line="240" w:lineRule="auto"/>
              <w:jc w:val="right"/>
              <w:textAlignment w:val="auto"/>
              <w:rPr>
                <w:rFonts w:ascii="Arial" w:hAnsi="Arial" w:cs="Arial"/>
                <w:sz w:val="20"/>
                <w:lang w:val="en-US"/>
              </w:rPr>
            </w:pPr>
            <w:r w:rsidRPr="00B66938">
              <w:rPr>
                <w:rFonts w:ascii="Arial" w:hAnsi="Arial" w:cs="Arial"/>
                <w:sz w:val="20"/>
                <w:lang w:val="en-US"/>
              </w:rPr>
              <w:t xml:space="preserve">               -   </w:t>
            </w:r>
          </w:p>
        </w:tc>
      </w:tr>
      <w:tr w:rsidR="00B66938" w:rsidRPr="00B66938" w:rsidTr="00B66938">
        <w:trPr>
          <w:trHeight w:val="291"/>
        </w:trPr>
        <w:tc>
          <w:tcPr>
            <w:tcW w:w="3467" w:type="dxa"/>
            <w:tcBorders>
              <w:top w:val="nil"/>
              <w:left w:val="single" w:sz="4" w:space="0" w:color="auto"/>
              <w:bottom w:val="single" w:sz="4" w:space="0" w:color="auto"/>
              <w:right w:val="nil"/>
            </w:tcBorders>
            <w:shd w:val="clear" w:color="000000" w:fill="FFFFFF"/>
            <w:noWrap/>
            <w:vAlign w:val="bottom"/>
            <w:hideMark/>
          </w:tcPr>
          <w:p w:rsidR="00B66938" w:rsidRPr="00B66938" w:rsidRDefault="00B66938" w:rsidP="00B66938">
            <w:pPr>
              <w:overflowPunct/>
              <w:autoSpaceDE/>
              <w:autoSpaceDN/>
              <w:adjustRightInd/>
              <w:spacing w:line="240" w:lineRule="auto"/>
              <w:textAlignment w:val="auto"/>
              <w:rPr>
                <w:rFonts w:ascii="Arial" w:hAnsi="Arial" w:cs="Arial"/>
                <w:b/>
                <w:bCs/>
                <w:sz w:val="20"/>
                <w:lang w:val="en-US"/>
              </w:rPr>
            </w:pPr>
            <w:r w:rsidRPr="00B66938">
              <w:rPr>
                <w:rFonts w:ascii="Arial" w:hAnsi="Arial" w:cs="Arial"/>
                <w:b/>
                <w:bCs/>
                <w:sz w:val="20"/>
                <w:lang w:val="en-US"/>
              </w:rPr>
              <w:t> </w:t>
            </w:r>
          </w:p>
        </w:tc>
        <w:tc>
          <w:tcPr>
            <w:tcW w:w="366" w:type="dxa"/>
            <w:tcBorders>
              <w:top w:val="nil"/>
              <w:left w:val="nil"/>
              <w:bottom w:val="single" w:sz="4" w:space="0" w:color="auto"/>
              <w:right w:val="nil"/>
            </w:tcBorders>
            <w:shd w:val="clear" w:color="000000" w:fill="FFFFFF"/>
            <w:noWrap/>
            <w:vAlign w:val="bottom"/>
            <w:hideMark/>
          </w:tcPr>
          <w:p w:rsidR="00B66938" w:rsidRPr="00B66938" w:rsidRDefault="00B66938" w:rsidP="00B66938">
            <w:pPr>
              <w:overflowPunct/>
              <w:autoSpaceDE/>
              <w:autoSpaceDN/>
              <w:adjustRightInd/>
              <w:spacing w:line="240" w:lineRule="auto"/>
              <w:textAlignment w:val="auto"/>
              <w:rPr>
                <w:rFonts w:ascii="Arial" w:hAnsi="Arial" w:cs="Arial"/>
                <w:b/>
                <w:bCs/>
                <w:sz w:val="20"/>
                <w:lang w:val="en-US"/>
              </w:rPr>
            </w:pPr>
            <w:r w:rsidRPr="00B66938">
              <w:rPr>
                <w:rFonts w:ascii="Arial" w:hAnsi="Arial" w:cs="Arial"/>
                <w:b/>
                <w:bCs/>
                <w:sz w:val="20"/>
                <w:lang w:val="en-US"/>
              </w:rPr>
              <w:t> </w:t>
            </w:r>
          </w:p>
        </w:tc>
        <w:tc>
          <w:tcPr>
            <w:tcW w:w="1248" w:type="dxa"/>
            <w:tcBorders>
              <w:top w:val="nil"/>
              <w:left w:val="nil"/>
              <w:bottom w:val="single" w:sz="4" w:space="0" w:color="auto"/>
              <w:right w:val="nil"/>
            </w:tcBorders>
            <w:shd w:val="clear" w:color="000000" w:fill="FFFFFF"/>
            <w:noWrap/>
            <w:vAlign w:val="bottom"/>
            <w:hideMark/>
          </w:tcPr>
          <w:p w:rsidR="00B66938" w:rsidRPr="00B66938" w:rsidRDefault="00B66938" w:rsidP="00B66938">
            <w:pPr>
              <w:overflowPunct/>
              <w:autoSpaceDE/>
              <w:autoSpaceDN/>
              <w:adjustRightInd/>
              <w:spacing w:line="240" w:lineRule="auto"/>
              <w:jc w:val="center"/>
              <w:textAlignment w:val="auto"/>
              <w:rPr>
                <w:rFonts w:ascii="Arial" w:hAnsi="Arial" w:cs="Arial"/>
                <w:sz w:val="20"/>
                <w:lang w:val="en-US"/>
              </w:rPr>
            </w:pPr>
            <w:r w:rsidRPr="00B66938">
              <w:rPr>
                <w:rFonts w:ascii="Arial" w:hAnsi="Arial" w:cs="Arial"/>
                <w:sz w:val="20"/>
                <w:lang w:val="en-US"/>
              </w:rPr>
              <w:t> </w:t>
            </w:r>
          </w:p>
        </w:tc>
        <w:tc>
          <w:tcPr>
            <w:tcW w:w="1165" w:type="dxa"/>
            <w:tcBorders>
              <w:top w:val="nil"/>
              <w:left w:val="nil"/>
              <w:bottom w:val="single" w:sz="4" w:space="0" w:color="auto"/>
              <w:right w:val="nil"/>
            </w:tcBorders>
            <w:shd w:val="clear" w:color="000000" w:fill="FFFFFF"/>
            <w:noWrap/>
            <w:vAlign w:val="bottom"/>
            <w:hideMark/>
          </w:tcPr>
          <w:p w:rsidR="00B66938" w:rsidRPr="00B66938" w:rsidRDefault="00B66938" w:rsidP="00B66938">
            <w:pPr>
              <w:overflowPunct/>
              <w:autoSpaceDE/>
              <w:autoSpaceDN/>
              <w:adjustRightInd/>
              <w:spacing w:line="240" w:lineRule="auto"/>
              <w:jc w:val="center"/>
              <w:textAlignment w:val="auto"/>
              <w:rPr>
                <w:rFonts w:ascii="Arial" w:hAnsi="Arial" w:cs="Arial"/>
                <w:sz w:val="20"/>
                <w:lang w:val="en-US"/>
              </w:rPr>
            </w:pPr>
            <w:r w:rsidRPr="00B66938">
              <w:rPr>
                <w:rFonts w:ascii="Arial" w:hAnsi="Arial" w:cs="Arial"/>
                <w:sz w:val="20"/>
                <w:lang w:val="en-US"/>
              </w:rPr>
              <w:t> </w:t>
            </w:r>
          </w:p>
        </w:tc>
        <w:tc>
          <w:tcPr>
            <w:tcW w:w="346" w:type="dxa"/>
            <w:tcBorders>
              <w:top w:val="nil"/>
              <w:left w:val="nil"/>
              <w:bottom w:val="single" w:sz="4" w:space="0" w:color="auto"/>
              <w:right w:val="nil"/>
            </w:tcBorders>
            <w:shd w:val="clear" w:color="000000" w:fill="FFFFFF"/>
            <w:noWrap/>
            <w:vAlign w:val="bottom"/>
            <w:hideMark/>
          </w:tcPr>
          <w:p w:rsidR="00B66938" w:rsidRPr="00B66938" w:rsidRDefault="00B66938" w:rsidP="00B66938">
            <w:pPr>
              <w:overflowPunct/>
              <w:autoSpaceDE/>
              <w:autoSpaceDN/>
              <w:adjustRightInd/>
              <w:spacing w:line="240" w:lineRule="auto"/>
              <w:jc w:val="center"/>
              <w:textAlignment w:val="auto"/>
              <w:rPr>
                <w:rFonts w:ascii="Arial" w:hAnsi="Arial" w:cs="Arial"/>
                <w:sz w:val="20"/>
                <w:lang w:val="en-US"/>
              </w:rPr>
            </w:pPr>
            <w:r w:rsidRPr="00B66938">
              <w:rPr>
                <w:rFonts w:ascii="Arial" w:hAnsi="Arial" w:cs="Arial"/>
                <w:sz w:val="20"/>
                <w:lang w:val="en-US"/>
              </w:rPr>
              <w:t> </w:t>
            </w:r>
          </w:p>
        </w:tc>
        <w:tc>
          <w:tcPr>
            <w:tcW w:w="1348" w:type="dxa"/>
            <w:tcBorders>
              <w:top w:val="nil"/>
              <w:left w:val="nil"/>
              <w:bottom w:val="single" w:sz="4" w:space="0" w:color="auto"/>
              <w:right w:val="nil"/>
            </w:tcBorders>
            <w:shd w:val="clear" w:color="000000" w:fill="FFFFFF"/>
            <w:noWrap/>
            <w:vAlign w:val="bottom"/>
            <w:hideMark/>
          </w:tcPr>
          <w:p w:rsidR="00B66938" w:rsidRPr="00B66938" w:rsidRDefault="00B66938" w:rsidP="00B66938">
            <w:pPr>
              <w:overflowPunct/>
              <w:autoSpaceDE/>
              <w:autoSpaceDN/>
              <w:adjustRightInd/>
              <w:spacing w:line="240" w:lineRule="auto"/>
              <w:textAlignment w:val="auto"/>
              <w:rPr>
                <w:rFonts w:ascii="Arial" w:hAnsi="Arial" w:cs="Arial"/>
                <w:sz w:val="20"/>
                <w:lang w:val="en-US"/>
              </w:rPr>
            </w:pPr>
            <w:r w:rsidRPr="00B66938">
              <w:rPr>
                <w:rFonts w:ascii="Arial" w:hAnsi="Arial" w:cs="Arial"/>
                <w:sz w:val="20"/>
                <w:lang w:val="en-US"/>
              </w:rPr>
              <w:t> </w:t>
            </w:r>
          </w:p>
        </w:tc>
        <w:tc>
          <w:tcPr>
            <w:tcW w:w="1225" w:type="dxa"/>
            <w:tcBorders>
              <w:top w:val="nil"/>
              <w:left w:val="nil"/>
              <w:bottom w:val="single" w:sz="4" w:space="0" w:color="auto"/>
              <w:right w:val="single" w:sz="4" w:space="0" w:color="auto"/>
            </w:tcBorders>
            <w:shd w:val="clear" w:color="000000" w:fill="FFFFFF"/>
            <w:noWrap/>
            <w:vAlign w:val="bottom"/>
            <w:hideMark/>
          </w:tcPr>
          <w:p w:rsidR="00B66938" w:rsidRPr="00B66938" w:rsidRDefault="00B66938" w:rsidP="00B66938">
            <w:pPr>
              <w:overflowPunct/>
              <w:autoSpaceDE/>
              <w:autoSpaceDN/>
              <w:adjustRightInd/>
              <w:spacing w:line="240" w:lineRule="auto"/>
              <w:textAlignment w:val="auto"/>
              <w:rPr>
                <w:rFonts w:ascii="Arial" w:hAnsi="Arial" w:cs="Arial"/>
                <w:sz w:val="20"/>
                <w:lang w:val="en-US"/>
              </w:rPr>
            </w:pPr>
            <w:r w:rsidRPr="00B66938">
              <w:rPr>
                <w:rFonts w:ascii="Arial" w:hAnsi="Arial" w:cs="Arial"/>
                <w:sz w:val="20"/>
                <w:lang w:val="en-US"/>
              </w:rPr>
              <w:t> </w:t>
            </w:r>
          </w:p>
        </w:tc>
      </w:tr>
    </w:tbl>
    <w:p w:rsidR="00B66938" w:rsidRPr="00B66938" w:rsidRDefault="00B66938" w:rsidP="00B66938">
      <w:pPr>
        <w:pStyle w:val="201"/>
      </w:pPr>
    </w:p>
    <w:p w:rsidR="001D24F8" w:rsidRPr="0069657D" w:rsidRDefault="001D24F8" w:rsidP="001D24F8">
      <w:pPr>
        <w:pStyle w:val="Style000"/>
        <w:rPr>
          <w:rFonts w:cs="Arial"/>
        </w:rPr>
      </w:pPr>
      <w:r w:rsidRPr="0069657D">
        <w:rPr>
          <w:rFonts w:cs="Arial"/>
        </w:rPr>
        <w:t xml:space="preserve">The applicable tax rate for the </w:t>
      </w:r>
      <w:r w:rsidR="007D71CC">
        <w:rPr>
          <w:rFonts w:cs="Arial"/>
        </w:rPr>
        <w:t>C</w:t>
      </w:r>
      <w:r w:rsidRPr="0069657D">
        <w:rPr>
          <w:rFonts w:cs="Arial"/>
        </w:rPr>
        <w:t>ompany</w:t>
      </w:r>
      <w:r w:rsidR="007D71CC">
        <w:rPr>
          <w:rFonts w:cs="Arial"/>
        </w:rPr>
        <w:t>’s</w:t>
      </w:r>
      <w:r w:rsidRPr="0069657D">
        <w:rPr>
          <w:rFonts w:cs="Arial"/>
        </w:rPr>
        <w:t xml:space="preserve"> financial </w:t>
      </w:r>
      <w:r w:rsidRPr="006D7FA3">
        <w:rPr>
          <w:rFonts w:cs="Arial"/>
        </w:rPr>
        <w:t xml:space="preserve">statements </w:t>
      </w:r>
      <w:r w:rsidR="006D7FA3" w:rsidRPr="006D7FA3">
        <w:rPr>
          <w:rFonts w:cs="Arial"/>
        </w:rPr>
        <w:t>is 25</w:t>
      </w:r>
      <w:r w:rsidRPr="006D7FA3">
        <w:rPr>
          <w:rFonts w:cs="Arial"/>
        </w:rPr>
        <w:t>%</w:t>
      </w:r>
      <w:r w:rsidR="00E94FA5">
        <w:rPr>
          <w:rFonts w:cs="Arial"/>
        </w:rPr>
        <w:t xml:space="preserve"> (2010: 25.5%)</w:t>
      </w:r>
      <w:r w:rsidRPr="006D7FA3">
        <w:rPr>
          <w:rFonts w:cs="Arial"/>
        </w:rPr>
        <w:t xml:space="preserve"> and the effective tax rate </w:t>
      </w:r>
      <w:r w:rsidR="00076ED4" w:rsidRPr="006D7FA3">
        <w:rPr>
          <w:rFonts w:cs="Arial"/>
        </w:rPr>
        <w:t>0</w:t>
      </w:r>
      <w:r w:rsidR="006528F3" w:rsidRPr="006D7FA3">
        <w:rPr>
          <w:rFonts w:cs="Arial"/>
        </w:rPr>
        <w:t>.</w:t>
      </w:r>
      <w:r w:rsidR="00076ED4" w:rsidRPr="006D7FA3">
        <w:rPr>
          <w:rFonts w:cs="Arial"/>
        </w:rPr>
        <w:t>0</w:t>
      </w:r>
      <w:r w:rsidR="00FC6ED6" w:rsidRPr="006D7FA3">
        <w:rPr>
          <w:rFonts w:cs="Arial"/>
        </w:rPr>
        <w:t xml:space="preserve"> </w:t>
      </w:r>
      <w:r w:rsidRPr="006D7FA3">
        <w:rPr>
          <w:rFonts w:cs="Arial"/>
        </w:rPr>
        <w:t>%</w:t>
      </w:r>
      <w:r w:rsidR="003F6029">
        <w:rPr>
          <w:rFonts w:cs="Arial"/>
        </w:rPr>
        <w:t xml:space="preserve"> (2010</w:t>
      </w:r>
      <w:r w:rsidR="00D62300">
        <w:rPr>
          <w:rFonts w:cs="Arial"/>
        </w:rPr>
        <w:t>: 0.0%)</w:t>
      </w:r>
      <w:r w:rsidRPr="0069657D">
        <w:rPr>
          <w:rFonts w:cs="Arial"/>
        </w:rPr>
        <w:t>. The difference in tax rate is a consequence of application of the</w:t>
      </w:r>
      <w:r w:rsidRPr="0069657D">
        <w:rPr>
          <w:iCs/>
        </w:rPr>
        <w:t xml:space="preserve"> arm’s length </w:t>
      </w:r>
      <w:r w:rsidR="00D62300">
        <w:rPr>
          <w:iCs/>
        </w:rPr>
        <w:t xml:space="preserve">basis to calculate the </w:t>
      </w:r>
      <w:r w:rsidRPr="0069657D">
        <w:rPr>
          <w:iCs/>
        </w:rPr>
        <w:t xml:space="preserve">reward corresponding to the functions performed and risks assumed by the </w:t>
      </w:r>
      <w:r w:rsidR="006528F3">
        <w:rPr>
          <w:iCs/>
        </w:rPr>
        <w:t>C</w:t>
      </w:r>
      <w:r w:rsidRPr="0069657D">
        <w:rPr>
          <w:iCs/>
        </w:rPr>
        <w:t>ompany.</w:t>
      </w:r>
    </w:p>
    <w:p w:rsidR="001D24F8" w:rsidRPr="00D756D3" w:rsidRDefault="001D24F8" w:rsidP="001D24F8">
      <w:pPr>
        <w:pStyle w:val="Style000"/>
        <w:rPr>
          <w:rFonts w:cs="Arial"/>
        </w:rPr>
      </w:pPr>
    </w:p>
    <w:p w:rsidR="001D24F8" w:rsidRDefault="00D62300" w:rsidP="001D24F8">
      <w:pPr>
        <w:pStyle w:val="Style000"/>
        <w:rPr>
          <w:rFonts w:cs="Arial"/>
        </w:rPr>
      </w:pPr>
      <w:r>
        <w:rPr>
          <w:rFonts w:cs="Arial"/>
        </w:rPr>
        <w:t>There are n</w:t>
      </w:r>
      <w:r w:rsidR="001D24F8" w:rsidRPr="00D756D3">
        <w:rPr>
          <w:rFonts w:cs="Arial"/>
        </w:rPr>
        <w:t xml:space="preserve">o differences in </w:t>
      </w:r>
      <w:r>
        <w:rPr>
          <w:rFonts w:cs="Arial"/>
        </w:rPr>
        <w:t xml:space="preserve">tax </w:t>
      </w:r>
      <w:r w:rsidR="001D24F8" w:rsidRPr="00D756D3">
        <w:rPr>
          <w:rFonts w:cs="Arial"/>
        </w:rPr>
        <w:t xml:space="preserve">rates or </w:t>
      </w:r>
      <w:r>
        <w:rPr>
          <w:rFonts w:cs="Arial"/>
        </w:rPr>
        <w:t xml:space="preserve">any </w:t>
      </w:r>
      <w:r w:rsidR="001D24F8" w:rsidRPr="00D756D3">
        <w:rPr>
          <w:rFonts w:cs="Arial"/>
        </w:rPr>
        <w:t xml:space="preserve">other differences </w:t>
      </w:r>
      <w:r>
        <w:rPr>
          <w:rFonts w:cs="Arial"/>
        </w:rPr>
        <w:t>between</w:t>
      </w:r>
      <w:r w:rsidR="001D24F8" w:rsidRPr="00D756D3">
        <w:rPr>
          <w:rFonts w:cs="Arial"/>
        </w:rPr>
        <w:t xml:space="preserve"> situations in which profits or reserves are retained </w:t>
      </w:r>
      <w:r>
        <w:rPr>
          <w:rFonts w:cs="Arial"/>
        </w:rPr>
        <w:t>and</w:t>
      </w:r>
      <w:r w:rsidR="001D24F8" w:rsidRPr="00D756D3">
        <w:rPr>
          <w:rFonts w:cs="Arial"/>
        </w:rPr>
        <w:t xml:space="preserve"> situations in which </w:t>
      </w:r>
      <w:r>
        <w:rPr>
          <w:rFonts w:cs="Arial"/>
        </w:rPr>
        <w:t>profits or reserves</w:t>
      </w:r>
      <w:r w:rsidR="001D24F8" w:rsidRPr="00D756D3">
        <w:rPr>
          <w:rFonts w:cs="Arial"/>
        </w:rPr>
        <w:t xml:space="preserve"> are distributed.</w:t>
      </w:r>
    </w:p>
    <w:p w:rsidR="00C630FB" w:rsidRPr="009049AB" w:rsidRDefault="00C630FB" w:rsidP="00C630FB">
      <w:pPr>
        <w:pStyle w:val="081"/>
      </w:pPr>
      <w:r w:rsidRPr="009049AB">
        <w:t>Workforce</w:t>
      </w:r>
    </w:p>
    <w:p w:rsidR="00C630FB" w:rsidRPr="009049AB" w:rsidRDefault="00C630FB" w:rsidP="00C630FB">
      <w:pPr>
        <w:pStyle w:val="al"/>
        <w:rPr>
          <w:rFonts w:cs="Arial"/>
        </w:rPr>
      </w:pPr>
      <w:r w:rsidRPr="009049AB">
        <w:rPr>
          <w:rFonts w:cs="Arial"/>
        </w:rPr>
        <w:t xml:space="preserve">There are no employees in the service of the </w:t>
      </w:r>
      <w:r w:rsidR="007D71CC" w:rsidRPr="009049AB">
        <w:rPr>
          <w:rFonts w:cs="Arial"/>
        </w:rPr>
        <w:t>C</w:t>
      </w:r>
      <w:r w:rsidRPr="009049AB">
        <w:rPr>
          <w:rFonts w:cs="Arial"/>
        </w:rPr>
        <w:t>ompany.</w:t>
      </w:r>
    </w:p>
    <w:p w:rsidR="00C630FB" w:rsidRPr="009049AB" w:rsidRDefault="00C630FB" w:rsidP="00C630FB">
      <w:pPr>
        <w:pStyle w:val="081"/>
        <w:rPr>
          <w:rFonts w:cs="Arial"/>
        </w:rPr>
      </w:pPr>
      <w:r w:rsidRPr="009049AB">
        <w:rPr>
          <w:rFonts w:cs="Arial"/>
        </w:rPr>
        <w:t>Remuneration of and loans to members of the Board of Management</w:t>
      </w:r>
    </w:p>
    <w:p w:rsidR="00C630FB" w:rsidRPr="009049AB" w:rsidRDefault="00C630FB" w:rsidP="00C630FB">
      <w:pPr>
        <w:pStyle w:val="Style000"/>
        <w:rPr>
          <w:rFonts w:cs="Arial"/>
        </w:rPr>
      </w:pPr>
      <w:r w:rsidRPr="009049AB">
        <w:rPr>
          <w:rFonts w:cs="Arial"/>
        </w:rPr>
        <w:t>The members of the Board of Managing Directors did not receive any remuneration and have not taken out loans</w:t>
      </w:r>
      <w:r w:rsidR="001730EB" w:rsidRPr="009049AB">
        <w:rPr>
          <w:rFonts w:cs="Arial"/>
        </w:rPr>
        <w:t xml:space="preserve"> from the Company</w:t>
      </w:r>
      <w:r w:rsidRPr="009049AB">
        <w:rPr>
          <w:rFonts w:cs="Arial"/>
        </w:rPr>
        <w:t xml:space="preserve">. </w:t>
      </w:r>
    </w:p>
    <w:p w:rsidR="00C630FB" w:rsidRPr="009049AB" w:rsidRDefault="00C630FB" w:rsidP="00C630FB">
      <w:pPr>
        <w:pStyle w:val="081"/>
        <w:rPr>
          <w:rFonts w:cs="Arial"/>
        </w:rPr>
      </w:pPr>
      <w:r w:rsidRPr="009049AB">
        <w:rPr>
          <w:rFonts w:cs="Arial"/>
        </w:rPr>
        <w:lastRenderedPageBreak/>
        <w:t>Related parties</w:t>
      </w:r>
    </w:p>
    <w:p w:rsidR="0083760B" w:rsidRPr="0083760B" w:rsidRDefault="0083760B" w:rsidP="0083760B">
      <w:pPr>
        <w:pStyle w:val="082"/>
        <w:rPr>
          <w:rFonts w:cs="Arial"/>
        </w:rPr>
      </w:pPr>
      <w:r w:rsidRPr="009049AB">
        <w:rPr>
          <w:rFonts w:cs="Arial"/>
        </w:rPr>
        <w:t>Related parties</w:t>
      </w:r>
    </w:p>
    <w:p w:rsidR="0083760B" w:rsidRPr="0083760B" w:rsidRDefault="0083760B" w:rsidP="0083760B">
      <w:pPr>
        <w:rPr>
          <w:rFonts w:ascii="Arial" w:hAnsi="Arial" w:cs="Arial"/>
          <w:sz w:val="20"/>
        </w:rPr>
      </w:pPr>
      <w:bookmarkStart w:id="19" w:name="OLE_LINK1"/>
      <w:bookmarkStart w:id="20" w:name="OLE_LINK2"/>
      <w:r w:rsidRPr="0083760B">
        <w:rPr>
          <w:rFonts w:ascii="Arial" w:hAnsi="Arial" w:cs="Arial"/>
          <w:sz w:val="20"/>
        </w:rPr>
        <w:t>Syngenta Seeds B.V.</w:t>
      </w:r>
      <w:r w:rsidR="00F171E4">
        <w:rPr>
          <w:rFonts w:ascii="Arial" w:hAnsi="Arial" w:cs="Arial"/>
          <w:sz w:val="20"/>
        </w:rPr>
        <w:t>,</w:t>
      </w:r>
      <w:r w:rsidRPr="0083760B">
        <w:rPr>
          <w:rFonts w:ascii="Arial" w:hAnsi="Arial" w:cs="Arial"/>
          <w:sz w:val="20"/>
        </w:rPr>
        <w:t xml:space="preserve"> Syngenta International </w:t>
      </w:r>
      <w:r w:rsidR="00F00529">
        <w:rPr>
          <w:rFonts w:ascii="Arial" w:hAnsi="Arial" w:cs="Arial"/>
          <w:sz w:val="20"/>
        </w:rPr>
        <w:t>AG</w:t>
      </w:r>
      <w:r w:rsidRPr="0083760B">
        <w:rPr>
          <w:rFonts w:ascii="Arial" w:hAnsi="Arial" w:cs="Arial"/>
          <w:sz w:val="20"/>
        </w:rPr>
        <w:t xml:space="preserve"> </w:t>
      </w:r>
      <w:bookmarkEnd w:id="19"/>
      <w:bookmarkEnd w:id="20"/>
      <w:r w:rsidR="00F171E4">
        <w:rPr>
          <w:rFonts w:ascii="Arial" w:hAnsi="Arial" w:cs="Arial"/>
          <w:sz w:val="20"/>
        </w:rPr>
        <w:t xml:space="preserve">and Syngenta Treasury N.V. </w:t>
      </w:r>
      <w:r w:rsidRPr="0083760B">
        <w:rPr>
          <w:rFonts w:ascii="Arial" w:hAnsi="Arial" w:cs="Arial"/>
          <w:sz w:val="20"/>
        </w:rPr>
        <w:t xml:space="preserve">are considered related parties. Syngenta Seeds B.V. and Syngenta International </w:t>
      </w:r>
      <w:r w:rsidR="00F00529">
        <w:rPr>
          <w:rFonts w:ascii="Arial" w:hAnsi="Arial" w:cs="Arial"/>
          <w:sz w:val="20"/>
        </w:rPr>
        <w:t>AG</w:t>
      </w:r>
      <w:r w:rsidRPr="0083760B">
        <w:rPr>
          <w:rFonts w:ascii="Arial" w:hAnsi="Arial" w:cs="Arial"/>
          <w:sz w:val="20"/>
        </w:rPr>
        <w:t xml:space="preserve"> provide advisory services, office space, (IT) facilities and administrative services to the Company. </w:t>
      </w:r>
    </w:p>
    <w:p w:rsidR="00C630FB" w:rsidRPr="0083760B" w:rsidRDefault="00C630FB" w:rsidP="0083760B">
      <w:pPr>
        <w:pStyle w:val="082"/>
        <w:rPr>
          <w:rFonts w:cs="Arial"/>
        </w:rPr>
      </w:pPr>
      <w:r w:rsidRPr="009049AB">
        <w:rPr>
          <w:rFonts w:cs="Arial"/>
        </w:rPr>
        <w:t>Ultimate parent company</w:t>
      </w:r>
    </w:p>
    <w:p w:rsidR="00C630FB" w:rsidRPr="00D756D3" w:rsidRDefault="00C630FB" w:rsidP="00C630FB">
      <w:pPr>
        <w:pStyle w:val="Style000"/>
        <w:rPr>
          <w:rFonts w:cs="Arial"/>
        </w:rPr>
      </w:pPr>
      <w:r w:rsidRPr="00D756D3">
        <w:rPr>
          <w:rFonts w:cs="Arial"/>
        </w:rPr>
        <w:t xml:space="preserve">Syngenta </w:t>
      </w:r>
      <w:r w:rsidR="00F00529">
        <w:rPr>
          <w:rFonts w:cs="Arial"/>
        </w:rPr>
        <w:t>AG</w:t>
      </w:r>
      <w:r w:rsidRPr="00D756D3">
        <w:rPr>
          <w:rFonts w:cs="Arial"/>
        </w:rPr>
        <w:t xml:space="preserve">, Switzerland, is the ultimate parent company of </w:t>
      </w:r>
      <w:r>
        <w:rPr>
          <w:rFonts w:cs="Arial"/>
        </w:rPr>
        <w:t>the Company</w:t>
      </w:r>
      <w:r w:rsidRPr="00D756D3">
        <w:rPr>
          <w:rFonts w:cs="Arial"/>
        </w:rPr>
        <w:t xml:space="preserve"> and includes the financial data of </w:t>
      </w:r>
      <w:r>
        <w:rPr>
          <w:rFonts w:cs="Arial"/>
        </w:rPr>
        <w:t>the Company</w:t>
      </w:r>
      <w:r w:rsidRPr="00D756D3">
        <w:rPr>
          <w:rFonts w:cs="Arial"/>
        </w:rPr>
        <w:t xml:space="preserve"> in its consolidated financial statements, copies of which are available at cost from the head office of Syngenta </w:t>
      </w:r>
      <w:r w:rsidR="00F00529">
        <w:rPr>
          <w:rFonts w:cs="Arial"/>
        </w:rPr>
        <w:t>AG</w:t>
      </w:r>
      <w:r w:rsidRPr="00D756D3">
        <w:rPr>
          <w:rFonts w:cs="Arial"/>
        </w:rPr>
        <w:t>, Switzerland.</w:t>
      </w:r>
    </w:p>
    <w:p w:rsidR="003E3AB9" w:rsidRPr="002872B4" w:rsidRDefault="003E3AB9">
      <w:pPr>
        <w:pStyle w:val="081"/>
        <w:rPr>
          <w:rFonts w:cs="Arial"/>
        </w:rPr>
      </w:pPr>
      <w:r w:rsidRPr="002872B4">
        <w:rPr>
          <w:rFonts w:cs="Arial"/>
        </w:rPr>
        <w:t>Commitments not shown in the balance sheet</w:t>
      </w:r>
    </w:p>
    <w:p w:rsidR="003E3AB9" w:rsidRPr="002872B4" w:rsidRDefault="003E3AB9">
      <w:pPr>
        <w:pStyle w:val="082"/>
        <w:rPr>
          <w:rFonts w:cs="Arial"/>
          <w:bCs/>
        </w:rPr>
      </w:pPr>
      <w:r w:rsidRPr="002872B4">
        <w:rPr>
          <w:rFonts w:cs="Arial"/>
        </w:rPr>
        <w:t>Liability</w:t>
      </w:r>
    </w:p>
    <w:p w:rsidR="003E3AB9" w:rsidRPr="002872B4" w:rsidRDefault="003E3AB9">
      <w:pPr>
        <w:pStyle w:val="000"/>
        <w:rPr>
          <w:rStyle w:val="Style000Char"/>
          <w:rFonts w:cs="Arial"/>
        </w:rPr>
      </w:pPr>
      <w:r w:rsidRPr="002872B4">
        <w:rPr>
          <w:rStyle w:val="Style000Char"/>
          <w:rFonts w:cs="Arial"/>
        </w:rPr>
        <w:t xml:space="preserve">The </w:t>
      </w:r>
      <w:r w:rsidR="006528F3">
        <w:rPr>
          <w:rStyle w:val="Style000Char"/>
          <w:rFonts w:cs="Arial"/>
        </w:rPr>
        <w:t>C</w:t>
      </w:r>
      <w:r w:rsidRPr="002872B4">
        <w:rPr>
          <w:rStyle w:val="Style000Char"/>
          <w:rFonts w:cs="Arial"/>
        </w:rPr>
        <w:t xml:space="preserve">ompany is jointly and severally liable for the tax liabilities of the Dutch group companies forming part of the fiscal unity. Total tax liabilities of these group companies amount to </w:t>
      </w:r>
      <w:r w:rsidR="00373A28" w:rsidRPr="00B576B1">
        <w:rPr>
          <w:rStyle w:val="Style000Char"/>
          <w:rFonts w:cs="Arial"/>
        </w:rPr>
        <w:t xml:space="preserve">USD </w:t>
      </w:r>
      <w:r w:rsidR="000B2F90" w:rsidRPr="000B2F90">
        <w:rPr>
          <w:rStyle w:val="Style000Char"/>
          <w:rFonts w:cs="Arial"/>
        </w:rPr>
        <w:t>3</w:t>
      </w:r>
      <w:r w:rsidR="000B2F90">
        <w:rPr>
          <w:rStyle w:val="Style000Char"/>
          <w:rFonts w:cs="Arial"/>
        </w:rPr>
        <w:t>,</w:t>
      </w:r>
      <w:r w:rsidR="000B2F90" w:rsidRPr="000B2F90">
        <w:rPr>
          <w:rStyle w:val="Style000Char"/>
          <w:rFonts w:cs="Arial"/>
        </w:rPr>
        <w:t>471,052</w:t>
      </w:r>
      <w:r w:rsidR="000B2F90" w:rsidRPr="000B2F90" w:rsidDel="000B2F90">
        <w:rPr>
          <w:rStyle w:val="Style000Char"/>
          <w:rFonts w:cs="Arial"/>
        </w:rPr>
        <w:t xml:space="preserve"> </w:t>
      </w:r>
      <w:r w:rsidR="00B55DFD">
        <w:rPr>
          <w:rStyle w:val="Style000Char"/>
          <w:rFonts w:cs="Arial"/>
        </w:rPr>
        <w:t>(</w:t>
      </w:r>
      <w:r w:rsidR="008B695B">
        <w:rPr>
          <w:rStyle w:val="Style000Char"/>
          <w:rFonts w:cs="Arial"/>
        </w:rPr>
        <w:t>2010</w:t>
      </w:r>
      <w:r w:rsidR="00B55DFD">
        <w:rPr>
          <w:rStyle w:val="Style000Char"/>
          <w:rFonts w:cs="Arial"/>
        </w:rPr>
        <w:t xml:space="preserve">: USD </w:t>
      </w:r>
      <w:r w:rsidR="008B695B">
        <w:rPr>
          <w:rStyle w:val="Style000Char"/>
          <w:rFonts w:cs="Arial"/>
        </w:rPr>
        <w:t>2,026,304</w:t>
      </w:r>
      <w:r w:rsidR="00B55DFD">
        <w:rPr>
          <w:rStyle w:val="Style000Char"/>
          <w:rFonts w:cs="Arial"/>
        </w:rPr>
        <w:t>)</w:t>
      </w:r>
      <w:r w:rsidR="001513E2">
        <w:rPr>
          <w:rStyle w:val="Style000Char"/>
          <w:rFonts w:cs="Arial"/>
        </w:rPr>
        <w:t>.</w:t>
      </w:r>
    </w:p>
    <w:p w:rsidR="003E3AB9" w:rsidRPr="002872B4" w:rsidRDefault="003E3AB9">
      <w:pPr>
        <w:pStyle w:val="082"/>
        <w:rPr>
          <w:rFonts w:cs="Arial"/>
        </w:rPr>
      </w:pPr>
      <w:r w:rsidRPr="002872B4">
        <w:rPr>
          <w:rFonts w:cs="Arial"/>
          <w:noProof/>
        </w:rPr>
        <w:t>Other commitments not shown in the balance sheet</w:t>
      </w:r>
    </w:p>
    <w:p w:rsidR="00BE5E47" w:rsidRPr="002872B4" w:rsidRDefault="00BE5E47" w:rsidP="00431517">
      <w:pPr>
        <w:pStyle w:val="Style000"/>
        <w:rPr>
          <w:rFonts w:cs="Arial"/>
        </w:rPr>
      </w:pPr>
      <w:r w:rsidRPr="00B105A9">
        <w:rPr>
          <w:rFonts w:cs="Arial"/>
        </w:rPr>
        <w:t xml:space="preserve">The Company, acting as guarantor, has entered into a Revolving Credit Facility Agreement between, amongst others, the Company, Syngenta </w:t>
      </w:r>
      <w:r w:rsidR="00F00529">
        <w:rPr>
          <w:rFonts w:cs="Arial"/>
        </w:rPr>
        <w:t>AG</w:t>
      </w:r>
      <w:r w:rsidRPr="00B105A9">
        <w:rPr>
          <w:rFonts w:cs="Arial"/>
        </w:rPr>
        <w:t xml:space="preserve"> and a group of international banks in the amount of USD 1,200,000</w:t>
      </w:r>
      <w:r w:rsidR="004A3956" w:rsidRPr="00B105A9">
        <w:rPr>
          <w:rFonts w:cs="Arial"/>
        </w:rPr>
        <w:t>,000</w:t>
      </w:r>
      <w:r w:rsidR="00EB6D41" w:rsidRPr="00B105A9">
        <w:rPr>
          <w:rFonts w:cs="Arial"/>
        </w:rPr>
        <w:t xml:space="preserve"> (</w:t>
      </w:r>
      <w:r w:rsidR="008B695B" w:rsidRPr="00B105A9">
        <w:rPr>
          <w:rFonts w:cs="Arial"/>
        </w:rPr>
        <w:t>20</w:t>
      </w:r>
      <w:r w:rsidR="008B695B">
        <w:rPr>
          <w:rFonts w:cs="Arial"/>
        </w:rPr>
        <w:t>10</w:t>
      </w:r>
      <w:r w:rsidR="00EB6D41" w:rsidRPr="00B105A9">
        <w:rPr>
          <w:rFonts w:cs="Arial"/>
        </w:rPr>
        <w:t>: USD 1,200,000,000)</w:t>
      </w:r>
      <w:r w:rsidR="006D5943" w:rsidRPr="00B105A9">
        <w:rPr>
          <w:rFonts w:cs="Arial"/>
        </w:rPr>
        <w:t xml:space="preserve">. At </w:t>
      </w:r>
      <w:r w:rsidR="00C0745E">
        <w:rPr>
          <w:rFonts w:cs="Arial"/>
        </w:rPr>
        <w:t xml:space="preserve">31 </w:t>
      </w:r>
      <w:r w:rsidR="006D5943" w:rsidRPr="00B105A9">
        <w:rPr>
          <w:rFonts w:cs="Arial"/>
        </w:rPr>
        <w:t xml:space="preserve">December </w:t>
      </w:r>
      <w:r w:rsidR="008B695B" w:rsidRPr="00B105A9">
        <w:rPr>
          <w:rFonts w:cs="Arial"/>
        </w:rPr>
        <w:t>201</w:t>
      </w:r>
      <w:r w:rsidR="008B695B">
        <w:rPr>
          <w:rFonts w:cs="Arial"/>
        </w:rPr>
        <w:t>1</w:t>
      </w:r>
      <w:r w:rsidR="00C0745E">
        <w:rPr>
          <w:rFonts w:cs="Arial"/>
        </w:rPr>
        <w:t>,</w:t>
      </w:r>
      <w:r w:rsidRPr="00B105A9">
        <w:rPr>
          <w:rFonts w:cs="Arial"/>
        </w:rPr>
        <w:t xml:space="preserve"> there were no outstanding</w:t>
      </w:r>
      <w:r w:rsidR="006528F3" w:rsidRPr="00B105A9">
        <w:rPr>
          <w:rFonts w:cs="Arial"/>
        </w:rPr>
        <w:t xml:space="preserve"> amounts drawn</w:t>
      </w:r>
      <w:r w:rsidRPr="00B105A9">
        <w:rPr>
          <w:rFonts w:cs="Arial"/>
        </w:rPr>
        <w:t xml:space="preserve"> under this facility</w:t>
      </w:r>
      <w:r w:rsidR="00FC6ED6" w:rsidRPr="00B105A9">
        <w:rPr>
          <w:rFonts w:cs="Arial"/>
        </w:rPr>
        <w:t>.</w:t>
      </w:r>
    </w:p>
    <w:p w:rsidR="00DC2A08" w:rsidRPr="002872B4" w:rsidRDefault="00DC2A08" w:rsidP="00431517">
      <w:pPr>
        <w:pStyle w:val="Style000"/>
        <w:rPr>
          <w:rFonts w:cs="Arial"/>
        </w:rPr>
      </w:pPr>
    </w:p>
    <w:p w:rsidR="003E3AB9" w:rsidRPr="002872B4" w:rsidRDefault="003E3AB9" w:rsidP="00431517">
      <w:pPr>
        <w:pStyle w:val="Style000"/>
        <w:rPr>
          <w:rFonts w:cs="Arial"/>
        </w:rPr>
      </w:pPr>
      <w:r w:rsidRPr="002872B4">
        <w:rPr>
          <w:rFonts w:cs="Arial"/>
        </w:rPr>
        <w:t xml:space="preserve">No guarantees have been issued for members of the Board of Management by the </w:t>
      </w:r>
      <w:r w:rsidR="006528F3">
        <w:rPr>
          <w:rFonts w:cs="Arial"/>
        </w:rPr>
        <w:t>C</w:t>
      </w:r>
      <w:r w:rsidRPr="002872B4">
        <w:rPr>
          <w:rFonts w:cs="Arial"/>
        </w:rPr>
        <w:t>ompany, its group companies or subsidiaries.</w:t>
      </w:r>
    </w:p>
    <w:p w:rsidR="003E3AB9" w:rsidRPr="002872B4" w:rsidRDefault="003E3AB9" w:rsidP="00431517">
      <w:pPr>
        <w:pStyle w:val="Style000"/>
        <w:rPr>
          <w:rFonts w:cs="Arial"/>
          <w:noProof/>
          <w:lang w:val="en-US"/>
        </w:rPr>
      </w:pPr>
    </w:p>
    <w:p w:rsidR="003E3AB9" w:rsidRPr="002872B4" w:rsidRDefault="003E3AB9" w:rsidP="00431517">
      <w:pPr>
        <w:pStyle w:val="Style000"/>
        <w:rPr>
          <w:rFonts w:cs="Arial"/>
        </w:rPr>
      </w:pPr>
      <w:r w:rsidRPr="002872B4">
        <w:rPr>
          <w:rFonts w:cs="Arial"/>
        </w:rPr>
        <w:t>All commitments to related parties are included in the balance sheet.</w:t>
      </w:r>
    </w:p>
    <w:p w:rsidR="003E3AB9" w:rsidRPr="002872B4" w:rsidRDefault="003E3AB9">
      <w:pPr>
        <w:pStyle w:val="081"/>
        <w:rPr>
          <w:rFonts w:cs="Arial"/>
        </w:rPr>
      </w:pPr>
      <w:r w:rsidRPr="002872B4">
        <w:rPr>
          <w:rFonts w:cs="Arial"/>
        </w:rPr>
        <w:lastRenderedPageBreak/>
        <w:t>Financial instruments</w:t>
      </w:r>
    </w:p>
    <w:p w:rsidR="003E3AB9" w:rsidRPr="00B105A9" w:rsidRDefault="003E3AB9">
      <w:pPr>
        <w:pStyle w:val="082"/>
        <w:rPr>
          <w:rFonts w:cs="Arial"/>
        </w:rPr>
      </w:pPr>
      <w:r w:rsidRPr="00B105A9">
        <w:rPr>
          <w:rFonts w:cs="Arial"/>
        </w:rPr>
        <w:t>Foreign currency risk</w:t>
      </w:r>
    </w:p>
    <w:p w:rsidR="003E3AB9" w:rsidRPr="00B105A9" w:rsidRDefault="003E3AB9" w:rsidP="00431517">
      <w:pPr>
        <w:pStyle w:val="Style000"/>
        <w:rPr>
          <w:rFonts w:cs="Arial"/>
        </w:rPr>
      </w:pPr>
      <w:r w:rsidRPr="00B105A9">
        <w:rPr>
          <w:rFonts w:cs="Arial"/>
        </w:rPr>
        <w:t xml:space="preserve">The </w:t>
      </w:r>
      <w:r w:rsidR="006528F3" w:rsidRPr="00B105A9">
        <w:rPr>
          <w:rFonts w:cs="Arial"/>
        </w:rPr>
        <w:t>C</w:t>
      </w:r>
      <w:r w:rsidRPr="00B105A9">
        <w:rPr>
          <w:rFonts w:cs="Arial"/>
        </w:rPr>
        <w:t xml:space="preserve">ompany is exposed to foreign currency risks arising from </w:t>
      </w:r>
      <w:r w:rsidR="008E3529" w:rsidRPr="00B105A9">
        <w:rPr>
          <w:rFonts w:cs="Arial"/>
        </w:rPr>
        <w:t xml:space="preserve">lending and borrowing </w:t>
      </w:r>
      <w:r w:rsidRPr="00B105A9">
        <w:rPr>
          <w:rFonts w:cs="Arial"/>
        </w:rPr>
        <w:t>transact</w:t>
      </w:r>
      <w:r w:rsidR="006870A4" w:rsidRPr="00B105A9">
        <w:rPr>
          <w:rFonts w:cs="Arial"/>
        </w:rPr>
        <w:t>ions denominated in</w:t>
      </w:r>
      <w:r w:rsidR="008E3529" w:rsidRPr="00B105A9">
        <w:rPr>
          <w:rFonts w:cs="Arial"/>
        </w:rPr>
        <w:t xml:space="preserve"> currencies </w:t>
      </w:r>
      <w:r w:rsidRPr="00B105A9">
        <w:rPr>
          <w:rFonts w:cs="Arial"/>
        </w:rPr>
        <w:t xml:space="preserve">other than the </w:t>
      </w:r>
      <w:r w:rsidR="00A90771">
        <w:rPr>
          <w:rFonts w:cs="Arial"/>
        </w:rPr>
        <w:t>C</w:t>
      </w:r>
      <w:r w:rsidRPr="00B105A9">
        <w:rPr>
          <w:rFonts w:cs="Arial"/>
        </w:rPr>
        <w:t>ompany’s reporting currency</w:t>
      </w:r>
      <w:r w:rsidR="006870A4" w:rsidRPr="00B105A9">
        <w:rPr>
          <w:rFonts w:cs="Arial"/>
        </w:rPr>
        <w:t xml:space="preserve"> being USD</w:t>
      </w:r>
      <w:r w:rsidRPr="00B105A9">
        <w:rPr>
          <w:rFonts w:cs="Arial"/>
        </w:rPr>
        <w:t xml:space="preserve">. </w:t>
      </w:r>
      <w:r w:rsidR="00595E0B" w:rsidRPr="00B105A9">
        <w:rPr>
          <w:rFonts w:cs="Arial"/>
        </w:rPr>
        <w:t xml:space="preserve">The </w:t>
      </w:r>
      <w:r w:rsidR="00A90771">
        <w:rPr>
          <w:rFonts w:cs="Arial"/>
        </w:rPr>
        <w:t>C</w:t>
      </w:r>
      <w:r w:rsidR="00595E0B" w:rsidRPr="00B105A9">
        <w:rPr>
          <w:rFonts w:cs="Arial"/>
        </w:rPr>
        <w:t>ompany has lent on all debt to</w:t>
      </w:r>
      <w:r w:rsidR="00595E0B" w:rsidRPr="00B105A9">
        <w:t xml:space="preserve"> group companies with mirroring conditions, leaving no exposure at Company level.</w:t>
      </w:r>
    </w:p>
    <w:p w:rsidR="00C93EE2" w:rsidRPr="00B105A9" w:rsidRDefault="00C93EE2" w:rsidP="00C93EE2">
      <w:pPr>
        <w:pStyle w:val="082"/>
        <w:rPr>
          <w:rFonts w:cs="Arial"/>
        </w:rPr>
      </w:pPr>
      <w:r w:rsidRPr="00B105A9">
        <w:rPr>
          <w:rFonts w:cs="Arial"/>
        </w:rPr>
        <w:t>Credit risk</w:t>
      </w:r>
    </w:p>
    <w:p w:rsidR="00C93EE2" w:rsidRPr="00B105A9" w:rsidRDefault="00C93EE2" w:rsidP="00C93EE2">
      <w:pPr>
        <w:pStyle w:val="Style000"/>
      </w:pPr>
      <w:r w:rsidRPr="00B105A9">
        <w:t xml:space="preserve">The Company has policies and operating guidelines in place to ensure that financial instruments are limited to transactions with high credit quality banks and financial institutions. These include limits in respect of counterparties to ensure there is no significant concentration of credit risk. Any excess cash is invested in liquid investment grade instruments and split across major banks, financial and other institutions to minimize the </w:t>
      </w:r>
      <w:r w:rsidR="00C0745E">
        <w:t xml:space="preserve">credit risk. As of 31 December </w:t>
      </w:r>
      <w:r w:rsidR="008B695B">
        <w:t>2011</w:t>
      </w:r>
      <w:r w:rsidR="00C0745E">
        <w:t xml:space="preserve">, </w:t>
      </w:r>
      <w:r w:rsidRPr="00B105A9">
        <w:t xml:space="preserve">the Company had no </w:t>
      </w:r>
      <w:r w:rsidR="006528F3" w:rsidRPr="00B105A9">
        <w:t xml:space="preserve">financial </w:t>
      </w:r>
      <w:r w:rsidRPr="00B105A9">
        <w:t xml:space="preserve">transactions that represented a significant concentration of credit risk. No credit losses have been incurred from the investments described above. </w:t>
      </w:r>
    </w:p>
    <w:p w:rsidR="00C93EE2" w:rsidRPr="00B105A9" w:rsidRDefault="00C93EE2" w:rsidP="00C93EE2">
      <w:pPr>
        <w:pStyle w:val="Style000"/>
      </w:pPr>
    </w:p>
    <w:p w:rsidR="00C93EE2" w:rsidRPr="00B105A9" w:rsidRDefault="00C93EE2" w:rsidP="00C93EE2">
      <w:pPr>
        <w:pStyle w:val="Style000"/>
      </w:pPr>
      <w:r w:rsidRPr="00B105A9">
        <w:t xml:space="preserve">The Company provides financial services to Syngenta companies worldwide. </w:t>
      </w:r>
      <w:r w:rsidRPr="00B105A9">
        <w:rPr>
          <w:rFonts w:cs="Arial"/>
        </w:rPr>
        <w:t xml:space="preserve">The Company bears no credit risk as ultimate holding company Syngenta </w:t>
      </w:r>
      <w:r w:rsidR="00F00529">
        <w:rPr>
          <w:rFonts w:cs="Arial"/>
        </w:rPr>
        <w:t>AG</w:t>
      </w:r>
      <w:r w:rsidRPr="00B105A9">
        <w:rPr>
          <w:rFonts w:cs="Arial"/>
        </w:rPr>
        <w:t xml:space="preserve"> has issued a guarantee of repayment of outstanding amounts from other Syngenta group companies. Nevertheless, d</w:t>
      </w:r>
      <w:r w:rsidRPr="00B105A9">
        <w:t xml:space="preserve">efined credit limits are set and monitored on an ongoing basis. </w:t>
      </w:r>
    </w:p>
    <w:p w:rsidR="00C93EE2" w:rsidRPr="00B105A9" w:rsidRDefault="00C93EE2" w:rsidP="00C93EE2">
      <w:pPr>
        <w:pStyle w:val="Style000"/>
      </w:pPr>
    </w:p>
    <w:p w:rsidR="00C93EE2" w:rsidRPr="00B105A9" w:rsidRDefault="00C93EE2" w:rsidP="00C93EE2">
      <w:pPr>
        <w:pStyle w:val="Style000"/>
      </w:pPr>
      <w:r w:rsidRPr="00B105A9">
        <w:t>The maximum exposure to credit risk is represented by the going concern values of the originated loans and receivables that are carried in the balance sheet. At the reporting date there were no significant financial guarantees for third party obligations that increase this risk.</w:t>
      </w:r>
    </w:p>
    <w:p w:rsidR="00C93EE2" w:rsidRPr="00B105A9" w:rsidRDefault="00C93EE2" w:rsidP="00C93EE2">
      <w:pPr>
        <w:pStyle w:val="082"/>
        <w:rPr>
          <w:rFonts w:cs="Arial"/>
        </w:rPr>
      </w:pPr>
      <w:r w:rsidRPr="00B105A9">
        <w:rPr>
          <w:rFonts w:cs="Arial"/>
        </w:rPr>
        <w:t>Liquidity risk</w:t>
      </w:r>
    </w:p>
    <w:p w:rsidR="005A2834" w:rsidRPr="00B105A9" w:rsidRDefault="005A2834" w:rsidP="005A2834">
      <w:pPr>
        <w:pStyle w:val="Style000"/>
      </w:pPr>
      <w:r w:rsidRPr="00B105A9">
        <w:t xml:space="preserve">Within </w:t>
      </w:r>
      <w:r w:rsidR="006528F3" w:rsidRPr="00B105A9">
        <w:t xml:space="preserve">Company’s </w:t>
      </w:r>
      <w:r w:rsidRPr="00B105A9">
        <w:t xml:space="preserve">risk management framework, liquidity risk is defined as the potential inability to meet all financial obligations on time and refinancing risk is defined as the potential inability to partially or fully refinance maturing debts. </w:t>
      </w:r>
      <w:r w:rsidR="00A90771">
        <w:t xml:space="preserve">The </w:t>
      </w:r>
      <w:r w:rsidR="006528F3" w:rsidRPr="00B105A9">
        <w:t xml:space="preserve">Company’s </w:t>
      </w:r>
      <w:r w:rsidRPr="00B105A9">
        <w:t xml:space="preserve">liquidity risk policy is to maintain at all times sufficient liquidity reserves in order to meet payment obligations as they become due and also to maintain an adequate liquidity margin. Liquidity requirements are forecasted on a weekly basis. </w:t>
      </w:r>
    </w:p>
    <w:p w:rsidR="00F90065" w:rsidRDefault="00F90065" w:rsidP="005A2834">
      <w:pPr>
        <w:pStyle w:val="Style000"/>
      </w:pPr>
    </w:p>
    <w:p w:rsidR="00353C4E" w:rsidRDefault="005A2834" w:rsidP="005A2834">
      <w:pPr>
        <w:pStyle w:val="Style000"/>
      </w:pPr>
      <w:r w:rsidRPr="00B105A9">
        <w:t xml:space="preserve">The principal source of liquidity consists of cash generated by the operations of group companies and from a long-term capital that is partly financed through three unsecured bonds and through unsecured notes issued under the Note Purchase Agreement in the US Private Placement market. Additionally, the </w:t>
      </w:r>
      <w:r w:rsidR="007D71CC">
        <w:t>C</w:t>
      </w:r>
      <w:r w:rsidRPr="00B105A9">
        <w:t xml:space="preserve">ompany has access to capital markets through a USD 2.5 billion Global Commercial Paper program. Both the unsecured bonds and notes and the Global Commercial Paper programs are unconditionally and irrevocably guaranteed by </w:t>
      </w:r>
      <w:r w:rsidR="00B576B1">
        <w:t xml:space="preserve">Syngenta </w:t>
      </w:r>
      <w:r w:rsidR="00F00529">
        <w:t>AG</w:t>
      </w:r>
      <w:r w:rsidRPr="00B105A9">
        <w:t xml:space="preserve">. In addition, the Company has access to a USD 1.2 billion committed, revolving, multi-currency, syndicated credit facility with high credit quality banks. The facility is guaranteed by </w:t>
      </w:r>
      <w:r w:rsidR="00B576B1">
        <w:t xml:space="preserve">Syngenta </w:t>
      </w:r>
      <w:r w:rsidR="00F00529">
        <w:t>AG</w:t>
      </w:r>
      <w:r w:rsidRPr="00B105A9">
        <w:t>.</w:t>
      </w:r>
    </w:p>
    <w:p w:rsidR="00974386" w:rsidRPr="00974386" w:rsidRDefault="00974386" w:rsidP="00974386">
      <w:pPr>
        <w:pStyle w:val="000"/>
      </w:pPr>
    </w:p>
    <w:p w:rsidR="00DB273C" w:rsidRPr="00F33748" w:rsidRDefault="00DB273C" w:rsidP="00DB273C">
      <w:pPr>
        <w:pStyle w:val="081"/>
        <w:rPr>
          <w:rFonts w:cs="Arial"/>
        </w:rPr>
      </w:pPr>
      <w:r>
        <w:rPr>
          <w:rFonts w:cs="Arial"/>
        </w:rPr>
        <w:lastRenderedPageBreak/>
        <w:t>Financial assets and liabilities</w:t>
      </w:r>
      <w:r w:rsidR="00D46327">
        <w:rPr>
          <w:rFonts w:cs="Arial"/>
        </w:rPr>
        <w:t xml:space="preserve"> </w:t>
      </w:r>
    </w:p>
    <w:p w:rsidR="00DB273C" w:rsidRDefault="00DB273C" w:rsidP="00DB273C">
      <w:pPr>
        <w:pStyle w:val="Style000"/>
        <w:rPr>
          <w:rFonts w:cs="Arial"/>
        </w:rPr>
      </w:pPr>
      <w:r w:rsidRPr="00BC2622">
        <w:rPr>
          <w:rFonts w:cs="Arial"/>
        </w:rPr>
        <w:t xml:space="preserve">The carrying value and fair value of the Company’s financial </w:t>
      </w:r>
      <w:r>
        <w:rPr>
          <w:rFonts w:cs="Arial"/>
        </w:rPr>
        <w:t xml:space="preserve">assets and liabilities </w:t>
      </w:r>
      <w:r w:rsidRPr="00BC2622">
        <w:rPr>
          <w:rFonts w:cs="Arial"/>
        </w:rPr>
        <w:t>can be broken down as follows:</w:t>
      </w:r>
      <w:r w:rsidR="006B70F9">
        <w:rPr>
          <w:rFonts w:cs="Arial"/>
        </w:rPr>
        <w:t xml:space="preserve"> </w:t>
      </w:r>
    </w:p>
    <w:p w:rsidR="00F16EC5" w:rsidRDefault="00D86EDE" w:rsidP="00DB273C">
      <w:pPr>
        <w:pStyle w:val="Style000"/>
        <w:rPr>
          <w:rFonts w:cs="Arial"/>
        </w:rPr>
      </w:pPr>
      <w:r>
        <w:rPr>
          <w:rFonts w:cs="Arial"/>
          <w:noProof/>
          <w:lang w:val="nl-NL" w:eastAsia="nl-NL"/>
        </w:rPr>
        <w:drawing>
          <wp:inline distT="0" distB="0" distL="0" distR="0">
            <wp:extent cx="5638800" cy="353187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5638800" cy="3531870"/>
                    </a:xfrm>
                    <a:prstGeom prst="rect">
                      <a:avLst/>
                    </a:prstGeom>
                    <a:noFill/>
                    <a:ln w="9525">
                      <a:noFill/>
                      <a:miter lim="800000"/>
                      <a:headEnd/>
                      <a:tailEnd/>
                    </a:ln>
                  </pic:spPr>
                </pic:pic>
              </a:graphicData>
            </a:graphic>
          </wp:inline>
        </w:drawing>
      </w:r>
    </w:p>
    <w:p w:rsidR="00DB273C" w:rsidRPr="00296256" w:rsidRDefault="00DB273C" w:rsidP="00DB273C">
      <w:pPr>
        <w:pStyle w:val="Style000"/>
        <w:rPr>
          <w:rFonts w:cs="Arial"/>
        </w:rPr>
      </w:pPr>
      <w:r w:rsidRPr="0064214E">
        <w:rPr>
          <w:rStyle w:val="CommentReference"/>
        </w:rPr>
        <w:t xml:space="preserve"> </w:t>
      </w:r>
      <w:r w:rsidRPr="00CD62B6">
        <w:rPr>
          <w:rStyle w:val="CommentReference"/>
        </w:rPr>
        <w:t xml:space="preserve"> </w:t>
      </w:r>
    </w:p>
    <w:p w:rsidR="00A50C46" w:rsidRDefault="00A50C46" w:rsidP="00DB273C">
      <w:pPr>
        <w:pStyle w:val="Style000"/>
        <w:rPr>
          <w:rFonts w:cs="Arial"/>
        </w:rPr>
      </w:pPr>
    </w:p>
    <w:p w:rsidR="00DB273C" w:rsidRDefault="00DB273C" w:rsidP="00DB273C">
      <w:pPr>
        <w:pStyle w:val="Style000"/>
        <w:rPr>
          <w:rFonts w:cs="Arial"/>
        </w:rPr>
      </w:pPr>
      <w:r w:rsidRPr="00BC2622">
        <w:rPr>
          <w:rFonts w:cs="Arial"/>
        </w:rPr>
        <w:t xml:space="preserve">The estimated market value of the financial </w:t>
      </w:r>
      <w:r w:rsidR="00351CBA">
        <w:rPr>
          <w:rFonts w:cs="Arial"/>
        </w:rPr>
        <w:t>assets and liabilities</w:t>
      </w:r>
      <w:r w:rsidRPr="00BC2622">
        <w:rPr>
          <w:rFonts w:cs="Arial"/>
        </w:rPr>
        <w:t xml:space="preserve"> is determined using available market information and appropriate valuation methods. The following methods and assumptions have been used to estimate the market value of the financial instruments:</w:t>
      </w:r>
    </w:p>
    <w:p w:rsidR="00514E19" w:rsidRDefault="00CD2427" w:rsidP="00514E19">
      <w:pPr>
        <w:pStyle w:val="Style000"/>
        <w:numPr>
          <w:ilvl w:val="0"/>
          <w:numId w:val="3"/>
        </w:numPr>
        <w:rPr>
          <w:rFonts w:cs="Arial"/>
        </w:rPr>
      </w:pPr>
      <w:r>
        <w:rPr>
          <w:rFonts w:cs="Arial"/>
        </w:rPr>
        <w:t xml:space="preserve">Current and non-current assets and liabilities representing the bonds issued with financial counterparties and the </w:t>
      </w:r>
      <w:r w:rsidRPr="00B105A9">
        <w:rPr>
          <w:szCs w:val="22"/>
        </w:rPr>
        <w:t>fixed rate notes under a Note Purchase Agreement in the US Private Placement</w:t>
      </w:r>
      <w:r>
        <w:rPr>
          <w:rFonts w:cs="Arial"/>
        </w:rPr>
        <w:t xml:space="preserve"> market, and the related loans to group companies</w:t>
      </w:r>
      <w:r w:rsidR="00514E19">
        <w:rPr>
          <w:rFonts w:cs="Arial"/>
        </w:rPr>
        <w:t xml:space="preserve">: the market values </w:t>
      </w:r>
      <w:r w:rsidR="00514E19" w:rsidRPr="00BC2622">
        <w:rPr>
          <w:rFonts w:cs="Arial"/>
        </w:rPr>
        <w:t>is estimated from the present value of expected future cash flows using current market rates.</w:t>
      </w:r>
    </w:p>
    <w:p w:rsidR="00CD2427" w:rsidRDefault="00514E19" w:rsidP="00CD2427">
      <w:pPr>
        <w:pStyle w:val="Style000"/>
        <w:numPr>
          <w:ilvl w:val="0"/>
          <w:numId w:val="3"/>
        </w:numPr>
        <w:rPr>
          <w:rFonts w:cs="Arial"/>
        </w:rPr>
      </w:pPr>
      <w:r>
        <w:rPr>
          <w:rFonts w:cs="Arial"/>
        </w:rPr>
        <w:t xml:space="preserve">All other financial assets and liabilities: </w:t>
      </w:r>
      <w:r w:rsidRPr="00BC2622">
        <w:rPr>
          <w:rFonts w:cs="Arial"/>
        </w:rPr>
        <w:t>given the short term of these instruments, the carrying value is close to the market value.</w:t>
      </w:r>
    </w:p>
    <w:p w:rsidR="00DB273C" w:rsidRDefault="00DB273C" w:rsidP="00DB273C">
      <w:pPr>
        <w:pStyle w:val="Style204"/>
        <w:rPr>
          <w:rFonts w:cs="Arial"/>
        </w:rPr>
      </w:pPr>
    </w:p>
    <w:p w:rsidR="00DB273C" w:rsidRPr="00C376D6" w:rsidRDefault="00DB273C" w:rsidP="00DB273C">
      <w:pPr>
        <w:pStyle w:val="Style000"/>
        <w:rPr>
          <w:rFonts w:cs="Arial"/>
          <w:highlight w:val="yellow"/>
        </w:rPr>
      </w:pPr>
    </w:p>
    <w:p w:rsidR="003E3AB9" w:rsidRPr="001450EE" w:rsidRDefault="00A50C46">
      <w:pPr>
        <w:pStyle w:val="080"/>
        <w:rPr>
          <w:rFonts w:cs="Arial"/>
          <w:bCs/>
        </w:rPr>
      </w:pPr>
      <w:bookmarkStart w:id="21" w:name="_Toc166662867"/>
      <w:bookmarkStart w:id="22" w:name="_Toc170721829"/>
      <w:bookmarkStart w:id="23" w:name="_Toc170726643"/>
      <w:bookmarkStart w:id="24" w:name="_Toc171138768"/>
      <w:r>
        <w:rPr>
          <w:rFonts w:cs="Arial"/>
          <w:bCs/>
        </w:rPr>
        <w:br w:type="page"/>
      </w:r>
      <w:r w:rsidR="003E3AB9" w:rsidRPr="001450EE">
        <w:rPr>
          <w:rFonts w:cs="Arial"/>
          <w:bCs/>
        </w:rPr>
        <w:lastRenderedPageBreak/>
        <w:t>Other information</w:t>
      </w:r>
      <w:bookmarkEnd w:id="21"/>
      <w:bookmarkEnd w:id="22"/>
      <w:bookmarkEnd w:id="23"/>
      <w:bookmarkEnd w:id="24"/>
    </w:p>
    <w:p w:rsidR="003E3AB9" w:rsidRPr="009049AB" w:rsidRDefault="003E3AB9">
      <w:pPr>
        <w:pStyle w:val="081"/>
        <w:rPr>
          <w:rFonts w:cs="Arial"/>
          <w:bCs/>
          <w:szCs w:val="24"/>
        </w:rPr>
      </w:pPr>
      <w:r w:rsidRPr="009049AB">
        <w:rPr>
          <w:rFonts w:cs="Arial"/>
          <w:bCs/>
          <w:szCs w:val="24"/>
        </w:rPr>
        <w:t>Articles of Association provisions governing profit appropriation</w:t>
      </w:r>
    </w:p>
    <w:p w:rsidR="003E3AB9" w:rsidRPr="009049AB" w:rsidRDefault="003E3AB9" w:rsidP="00431517">
      <w:pPr>
        <w:pStyle w:val="Style000"/>
        <w:rPr>
          <w:rFonts w:cs="Arial"/>
        </w:rPr>
      </w:pPr>
      <w:r w:rsidRPr="009049AB">
        <w:rPr>
          <w:rFonts w:cs="Arial"/>
        </w:rPr>
        <w:t xml:space="preserve">Profit is appropriated in accordance with Article </w:t>
      </w:r>
      <w:r w:rsidR="001450EE" w:rsidRPr="009049AB">
        <w:rPr>
          <w:rFonts w:cs="Arial"/>
        </w:rPr>
        <w:t xml:space="preserve">17.2 </w:t>
      </w:r>
      <w:r w:rsidRPr="009049AB">
        <w:rPr>
          <w:rFonts w:cs="Arial"/>
        </w:rPr>
        <w:t xml:space="preserve">of the Articles of Association, which states that the </w:t>
      </w:r>
      <w:r w:rsidR="001450EE" w:rsidRPr="009049AB">
        <w:rPr>
          <w:rFonts w:cs="Arial"/>
        </w:rPr>
        <w:t xml:space="preserve">General Meeting </w:t>
      </w:r>
      <w:r w:rsidR="001450EE" w:rsidRPr="009049AB">
        <w:rPr>
          <w:rStyle w:val="Style000Char"/>
          <w:rFonts w:cs="Arial"/>
        </w:rPr>
        <w:t xml:space="preserve">of Shareholders </w:t>
      </w:r>
      <w:r w:rsidR="001450EE" w:rsidRPr="009049AB">
        <w:rPr>
          <w:rFonts w:cs="Arial"/>
        </w:rPr>
        <w:t>shall determine</w:t>
      </w:r>
      <w:r w:rsidRPr="009049AB">
        <w:rPr>
          <w:rFonts w:cs="Arial"/>
        </w:rPr>
        <w:t xml:space="preserve"> the </w:t>
      </w:r>
      <w:r w:rsidR="001450EE" w:rsidRPr="009049AB">
        <w:rPr>
          <w:rFonts w:cs="Arial"/>
        </w:rPr>
        <w:t>allocation</w:t>
      </w:r>
      <w:r w:rsidRPr="009049AB">
        <w:rPr>
          <w:rFonts w:cs="Arial"/>
        </w:rPr>
        <w:t xml:space="preserve"> of the profit. </w:t>
      </w:r>
    </w:p>
    <w:p w:rsidR="003E3AB9" w:rsidRPr="009049AB" w:rsidRDefault="003E3AB9">
      <w:pPr>
        <w:pStyle w:val="081"/>
        <w:rPr>
          <w:rFonts w:cs="Arial"/>
        </w:rPr>
      </w:pPr>
      <w:r w:rsidRPr="009049AB">
        <w:rPr>
          <w:rFonts w:cs="Arial"/>
        </w:rPr>
        <w:t>P</w:t>
      </w:r>
      <w:r w:rsidR="004A05BF" w:rsidRPr="009049AB">
        <w:rPr>
          <w:rFonts w:cs="Arial"/>
        </w:rPr>
        <w:t xml:space="preserve">roposed appropriation of </w:t>
      </w:r>
      <w:r w:rsidR="008B563F" w:rsidRPr="009049AB">
        <w:rPr>
          <w:rFonts w:cs="Arial"/>
        </w:rPr>
        <w:t>the profit</w:t>
      </w:r>
      <w:r w:rsidR="004A05BF" w:rsidRPr="009049AB">
        <w:rPr>
          <w:rFonts w:cs="Arial"/>
        </w:rPr>
        <w:t xml:space="preserve"> </w:t>
      </w:r>
      <w:r w:rsidRPr="009049AB">
        <w:rPr>
          <w:rFonts w:cs="Arial"/>
        </w:rPr>
        <w:t xml:space="preserve">for </w:t>
      </w:r>
      <w:r w:rsidR="007C4205" w:rsidRPr="009049AB">
        <w:rPr>
          <w:rFonts w:cs="Arial"/>
        </w:rPr>
        <w:t>2011</w:t>
      </w:r>
    </w:p>
    <w:p w:rsidR="003E3AB9" w:rsidRPr="009049AB" w:rsidRDefault="003E3AB9" w:rsidP="00431517">
      <w:pPr>
        <w:pStyle w:val="Style000"/>
        <w:rPr>
          <w:rFonts w:cs="Arial"/>
        </w:rPr>
      </w:pPr>
      <w:r w:rsidRPr="009049AB">
        <w:rPr>
          <w:rStyle w:val="Style000Char"/>
          <w:rFonts w:cs="Arial"/>
        </w:rPr>
        <w:t xml:space="preserve">If the General Meeting of Shareholders accepts this proposal, the net </w:t>
      </w:r>
      <w:r w:rsidR="00ED5CDE" w:rsidRPr="009049AB">
        <w:rPr>
          <w:rStyle w:val="Style000Char"/>
          <w:rFonts w:cs="Arial"/>
        </w:rPr>
        <w:t>profit</w:t>
      </w:r>
      <w:r w:rsidRPr="009049AB">
        <w:rPr>
          <w:rStyle w:val="Style000Char"/>
          <w:rFonts w:cs="Arial"/>
        </w:rPr>
        <w:t xml:space="preserve"> for </w:t>
      </w:r>
      <w:r w:rsidR="007C4205" w:rsidRPr="009049AB">
        <w:rPr>
          <w:rFonts w:cs="Arial"/>
        </w:rPr>
        <w:t>2011</w:t>
      </w:r>
      <w:r w:rsidR="00C630FB" w:rsidRPr="009049AB">
        <w:rPr>
          <w:rFonts w:cs="Arial"/>
        </w:rPr>
        <w:t xml:space="preserve"> of USD </w:t>
      </w:r>
      <w:r w:rsidR="007C4205" w:rsidRPr="009049AB">
        <w:rPr>
          <w:rFonts w:cs="Arial"/>
        </w:rPr>
        <w:t>1,083,000</w:t>
      </w:r>
      <w:r w:rsidRPr="009049AB">
        <w:rPr>
          <w:rFonts w:cs="Arial"/>
        </w:rPr>
        <w:t xml:space="preserve"> will be </w:t>
      </w:r>
      <w:r w:rsidR="00ED5CDE" w:rsidRPr="009049AB">
        <w:rPr>
          <w:rFonts w:cs="Arial"/>
        </w:rPr>
        <w:t>add</w:t>
      </w:r>
      <w:r w:rsidR="002D41A7" w:rsidRPr="009049AB">
        <w:rPr>
          <w:rFonts w:cs="Arial"/>
        </w:rPr>
        <w:t>ed</w:t>
      </w:r>
      <w:r w:rsidR="001450EE" w:rsidRPr="009049AB">
        <w:rPr>
          <w:rFonts w:cs="Arial"/>
        </w:rPr>
        <w:t xml:space="preserve"> to the retained earnings</w:t>
      </w:r>
      <w:r w:rsidRPr="009049AB">
        <w:rPr>
          <w:rFonts w:cs="Arial"/>
        </w:rPr>
        <w:t>.</w:t>
      </w:r>
    </w:p>
    <w:p w:rsidR="003E3AB9" w:rsidRPr="001450EE" w:rsidRDefault="003E3AB9">
      <w:pPr>
        <w:pStyle w:val="081"/>
        <w:rPr>
          <w:rFonts w:cs="Arial"/>
        </w:rPr>
      </w:pPr>
      <w:r w:rsidRPr="009049AB">
        <w:rPr>
          <w:rFonts w:cs="Arial"/>
        </w:rPr>
        <w:t>Events after the balance sheet date</w:t>
      </w:r>
    </w:p>
    <w:p w:rsidR="003E3AB9" w:rsidRDefault="00021656" w:rsidP="00431517">
      <w:pPr>
        <w:pStyle w:val="Style000"/>
        <w:rPr>
          <w:rFonts w:cs="Arial"/>
        </w:rPr>
      </w:pPr>
      <w:r>
        <w:rPr>
          <w:rFonts w:cs="Arial"/>
        </w:rPr>
        <w:t>In March 2012 Syngenta Finance N.V. issued two USD bonds with the following details:</w:t>
      </w:r>
    </w:p>
    <w:p w:rsidR="00021656" w:rsidRDefault="00021656" w:rsidP="00431517">
      <w:pPr>
        <w:pStyle w:val="Style000"/>
        <w:rPr>
          <w:rFonts w:cs="Arial"/>
        </w:rPr>
      </w:pPr>
    </w:p>
    <w:p w:rsidR="00021656" w:rsidRDefault="00021656" w:rsidP="00021656">
      <w:pPr>
        <w:pStyle w:val="Style000"/>
        <w:numPr>
          <w:ilvl w:val="0"/>
          <w:numId w:val="8"/>
        </w:numPr>
        <w:rPr>
          <w:rFonts w:cs="Arial"/>
        </w:rPr>
      </w:pPr>
      <w:r>
        <w:rPr>
          <w:rFonts w:cs="Arial"/>
        </w:rPr>
        <w:t>USD 500,000,000 maturing in March 28, 2022 bearing interest at a fixed rate of 3.125%</w:t>
      </w:r>
    </w:p>
    <w:p w:rsidR="00021656" w:rsidRDefault="00021656" w:rsidP="00021656">
      <w:pPr>
        <w:pStyle w:val="Style000"/>
        <w:numPr>
          <w:ilvl w:val="0"/>
          <w:numId w:val="8"/>
        </w:numPr>
        <w:rPr>
          <w:rFonts w:cs="Arial"/>
        </w:rPr>
      </w:pPr>
      <w:r>
        <w:rPr>
          <w:rFonts w:cs="Arial"/>
        </w:rPr>
        <w:t>USD 250,000,000 maturing in March 28, 2042 bearing interest at a fixed rate of 4.375%</w:t>
      </w:r>
    </w:p>
    <w:p w:rsidR="00021656" w:rsidRDefault="00021656" w:rsidP="00021656">
      <w:pPr>
        <w:pStyle w:val="Style000"/>
        <w:rPr>
          <w:rFonts w:cs="Arial"/>
        </w:rPr>
      </w:pPr>
    </w:p>
    <w:p w:rsidR="00021656" w:rsidRDefault="00021656" w:rsidP="00021656">
      <w:pPr>
        <w:pStyle w:val="Style000"/>
        <w:rPr>
          <w:rFonts w:cs="Arial"/>
        </w:rPr>
      </w:pPr>
      <w:r>
        <w:rPr>
          <w:rFonts w:cs="Arial"/>
        </w:rPr>
        <w:t>As with the others, the new bonds are also guaranteed by Syngenta AG.</w:t>
      </w:r>
    </w:p>
    <w:p w:rsidR="00021656" w:rsidRDefault="00021656" w:rsidP="00021656">
      <w:pPr>
        <w:pStyle w:val="Style000"/>
        <w:rPr>
          <w:rFonts w:cs="Arial"/>
        </w:rPr>
      </w:pPr>
    </w:p>
    <w:p w:rsidR="00021656" w:rsidRPr="001450EE" w:rsidRDefault="00021656" w:rsidP="00021656">
      <w:pPr>
        <w:pStyle w:val="Style000"/>
        <w:rPr>
          <w:rFonts w:cs="Arial"/>
        </w:rPr>
      </w:pPr>
    </w:p>
    <w:p w:rsidR="007A46A9" w:rsidRDefault="007A46A9" w:rsidP="007A46A9">
      <w:pPr>
        <w:rPr>
          <w:rFonts w:ascii="Arial" w:hAnsi="Arial" w:cs="Arial"/>
          <w:sz w:val="20"/>
        </w:rPr>
      </w:pPr>
      <w:r w:rsidRPr="00D823F9">
        <w:rPr>
          <w:rFonts w:ascii="Arial" w:hAnsi="Arial" w:cs="Arial"/>
          <w:sz w:val="20"/>
        </w:rPr>
        <w:t>Am</w:t>
      </w:r>
      <w:r>
        <w:rPr>
          <w:rFonts w:ascii="Arial" w:hAnsi="Arial" w:cs="Arial"/>
          <w:sz w:val="20"/>
        </w:rPr>
        <w:t>sterdam,</w:t>
      </w:r>
      <w:r w:rsidRPr="00D823F9">
        <w:rPr>
          <w:rFonts w:ascii="Arial" w:hAnsi="Arial" w:cs="Arial"/>
          <w:sz w:val="20"/>
        </w:rPr>
        <w:t xml:space="preserve"> </w:t>
      </w:r>
      <w:r w:rsidR="008B695B" w:rsidRPr="008B695B">
        <w:rPr>
          <w:rFonts w:ascii="Arial" w:hAnsi="Arial" w:cs="Arial"/>
          <w:sz w:val="20"/>
        </w:rPr>
        <w:t xml:space="preserve">23 </w:t>
      </w:r>
      <w:r w:rsidRPr="008B695B">
        <w:rPr>
          <w:rFonts w:ascii="Arial" w:hAnsi="Arial" w:cs="Arial"/>
          <w:sz w:val="20"/>
        </w:rPr>
        <w:t>April</w:t>
      </w:r>
      <w:r>
        <w:rPr>
          <w:rFonts w:ascii="Arial" w:hAnsi="Arial" w:cs="Arial"/>
          <w:sz w:val="20"/>
        </w:rPr>
        <w:t xml:space="preserve"> </w:t>
      </w:r>
      <w:r w:rsidRPr="00D823F9">
        <w:rPr>
          <w:rFonts w:ascii="Arial" w:hAnsi="Arial" w:cs="Arial"/>
          <w:sz w:val="20"/>
        </w:rPr>
        <w:t>20</w:t>
      </w:r>
      <w:r>
        <w:rPr>
          <w:rFonts w:ascii="Arial" w:hAnsi="Arial" w:cs="Arial"/>
          <w:sz w:val="20"/>
        </w:rPr>
        <w:t>1</w:t>
      </w:r>
      <w:r w:rsidR="00FE1B97">
        <w:rPr>
          <w:rFonts w:ascii="Arial" w:hAnsi="Arial" w:cs="Arial"/>
          <w:sz w:val="20"/>
        </w:rPr>
        <w:t>2</w:t>
      </w:r>
    </w:p>
    <w:p w:rsidR="00021656" w:rsidRPr="00D823F9" w:rsidRDefault="00021656" w:rsidP="007A46A9">
      <w:pPr>
        <w:rPr>
          <w:rFonts w:ascii="Arial" w:hAnsi="Arial" w:cs="Arial"/>
          <w:sz w:val="20"/>
        </w:rPr>
      </w:pPr>
    </w:p>
    <w:p w:rsidR="007A46A9" w:rsidRDefault="007A46A9" w:rsidP="007A46A9">
      <w:pPr>
        <w:rPr>
          <w:rFonts w:ascii="Arial" w:hAnsi="Arial" w:cs="Arial"/>
          <w:sz w:val="20"/>
        </w:rPr>
      </w:pPr>
    </w:p>
    <w:p w:rsidR="007A46A9" w:rsidRDefault="007A46A9" w:rsidP="007A46A9">
      <w:pPr>
        <w:rPr>
          <w:rFonts w:ascii="Arial" w:hAnsi="Arial" w:cs="Arial"/>
          <w:sz w:val="20"/>
        </w:rPr>
      </w:pPr>
      <w:r w:rsidRPr="00D823F9">
        <w:rPr>
          <w:rFonts w:ascii="Arial" w:hAnsi="Arial" w:cs="Arial"/>
          <w:sz w:val="20"/>
        </w:rPr>
        <w:t>The Board of Managing Directors:</w:t>
      </w:r>
    </w:p>
    <w:p w:rsidR="007A46A9" w:rsidRDefault="007A46A9" w:rsidP="007A46A9">
      <w:pPr>
        <w:rPr>
          <w:rFonts w:ascii="Arial" w:hAnsi="Arial" w:cs="Arial"/>
          <w:sz w:val="20"/>
        </w:rPr>
      </w:pPr>
    </w:p>
    <w:p w:rsidR="00ED37F3" w:rsidRPr="00ED37F3" w:rsidRDefault="00ED37F3" w:rsidP="00ED37F3">
      <w:pPr>
        <w:rPr>
          <w:rFonts w:ascii="Arial" w:hAnsi="Arial" w:cs="Arial"/>
          <w:sz w:val="20"/>
          <w:lang w:val="nl-NL"/>
        </w:rPr>
      </w:pPr>
      <w:r w:rsidRPr="00ED37F3">
        <w:rPr>
          <w:rFonts w:ascii="Arial" w:hAnsi="Arial" w:cs="Arial"/>
          <w:sz w:val="20"/>
          <w:lang w:val="nl-NL"/>
        </w:rPr>
        <w:t xml:space="preserve">P.C. Schreiner </w:t>
      </w:r>
      <w:r w:rsidRPr="00ED37F3">
        <w:rPr>
          <w:rFonts w:ascii="Arial" w:hAnsi="Arial" w:cs="Arial"/>
          <w:sz w:val="20"/>
          <w:lang w:val="nl-NL"/>
        </w:rPr>
        <w:tab/>
      </w:r>
      <w:r w:rsidRPr="00ED37F3">
        <w:rPr>
          <w:rFonts w:ascii="Arial" w:hAnsi="Arial" w:cs="Arial"/>
          <w:sz w:val="20"/>
          <w:lang w:val="nl-NL"/>
        </w:rPr>
        <w:tab/>
      </w:r>
      <w:r w:rsidRPr="00ED37F3">
        <w:rPr>
          <w:rFonts w:ascii="Arial" w:hAnsi="Arial" w:cs="Arial"/>
          <w:sz w:val="20"/>
          <w:lang w:val="nl-NL"/>
        </w:rPr>
        <w:tab/>
      </w:r>
      <w:r w:rsidRPr="00ED37F3">
        <w:rPr>
          <w:rFonts w:ascii="Arial" w:hAnsi="Arial" w:cs="Arial"/>
          <w:sz w:val="20"/>
          <w:lang w:val="nl-NL"/>
        </w:rPr>
        <w:tab/>
      </w:r>
      <w:r w:rsidRPr="00ED37F3">
        <w:rPr>
          <w:rFonts w:ascii="Arial" w:hAnsi="Arial" w:cs="Arial"/>
          <w:sz w:val="20"/>
          <w:lang w:val="nl-NL"/>
        </w:rPr>
        <w:tab/>
      </w:r>
      <w:r w:rsidRPr="00ED37F3">
        <w:rPr>
          <w:rFonts w:ascii="Arial" w:hAnsi="Arial" w:cs="Arial"/>
          <w:sz w:val="20"/>
          <w:lang w:val="nl-NL"/>
        </w:rPr>
        <w:tab/>
        <w:t>D.W. Michaelis</w:t>
      </w:r>
      <w:r w:rsidRPr="00ED37F3">
        <w:rPr>
          <w:rFonts w:ascii="Arial" w:hAnsi="Arial" w:cs="Arial"/>
          <w:sz w:val="20"/>
          <w:lang w:val="nl-NL"/>
        </w:rPr>
        <w:tab/>
      </w:r>
    </w:p>
    <w:p w:rsidR="00ED37F3" w:rsidRPr="00ED37F3" w:rsidRDefault="00ED37F3" w:rsidP="00ED37F3">
      <w:pPr>
        <w:rPr>
          <w:rFonts w:ascii="Arial" w:hAnsi="Arial" w:cs="Arial"/>
          <w:sz w:val="20"/>
          <w:lang w:val="nl-NL"/>
        </w:rPr>
      </w:pPr>
    </w:p>
    <w:p w:rsidR="00ED37F3" w:rsidRPr="00ED37F3" w:rsidRDefault="00ED37F3" w:rsidP="00ED37F3">
      <w:pPr>
        <w:rPr>
          <w:rFonts w:ascii="Arial" w:hAnsi="Arial" w:cs="Arial"/>
          <w:sz w:val="20"/>
          <w:lang w:val="nl-NL"/>
        </w:rPr>
      </w:pPr>
    </w:p>
    <w:p w:rsidR="00ED37F3" w:rsidRPr="00ED37F3" w:rsidRDefault="00ED37F3" w:rsidP="00ED37F3">
      <w:pPr>
        <w:rPr>
          <w:rFonts w:ascii="Arial" w:hAnsi="Arial" w:cs="Arial"/>
          <w:sz w:val="20"/>
          <w:lang w:val="nl-NL"/>
        </w:rPr>
      </w:pPr>
    </w:p>
    <w:p w:rsidR="00ED37F3" w:rsidRPr="00ED37F3" w:rsidRDefault="00ED37F3" w:rsidP="00ED37F3">
      <w:pPr>
        <w:rPr>
          <w:rFonts w:ascii="Arial" w:hAnsi="Arial" w:cs="Arial"/>
          <w:sz w:val="20"/>
          <w:lang w:val="nl-NL"/>
        </w:rPr>
      </w:pPr>
    </w:p>
    <w:p w:rsidR="00ED37F3" w:rsidRPr="00ED37F3" w:rsidRDefault="00ED37F3" w:rsidP="00ED37F3">
      <w:pPr>
        <w:rPr>
          <w:rFonts w:ascii="Arial" w:hAnsi="Arial" w:cs="Arial"/>
          <w:sz w:val="20"/>
          <w:lang w:val="nl-NL"/>
        </w:rPr>
      </w:pPr>
      <w:r w:rsidRPr="00ED37F3">
        <w:rPr>
          <w:rFonts w:ascii="Arial" w:hAnsi="Arial" w:cs="Arial"/>
          <w:sz w:val="20"/>
          <w:lang w:val="nl-NL"/>
        </w:rPr>
        <w:t xml:space="preserve">R.P. Peletier </w:t>
      </w:r>
      <w:r w:rsidRPr="00ED37F3">
        <w:rPr>
          <w:rFonts w:ascii="Arial" w:hAnsi="Arial" w:cs="Arial"/>
          <w:sz w:val="20"/>
          <w:lang w:val="nl-NL"/>
        </w:rPr>
        <w:tab/>
      </w:r>
      <w:r w:rsidRPr="00ED37F3">
        <w:rPr>
          <w:rFonts w:ascii="Arial" w:hAnsi="Arial" w:cs="Arial"/>
          <w:sz w:val="20"/>
          <w:lang w:val="nl-NL"/>
        </w:rPr>
        <w:tab/>
      </w:r>
      <w:r w:rsidRPr="00ED37F3">
        <w:rPr>
          <w:rFonts w:ascii="Arial" w:hAnsi="Arial" w:cs="Arial"/>
          <w:sz w:val="20"/>
          <w:lang w:val="nl-NL"/>
        </w:rPr>
        <w:tab/>
      </w:r>
      <w:r w:rsidRPr="00ED37F3">
        <w:rPr>
          <w:rFonts w:ascii="Arial" w:hAnsi="Arial" w:cs="Arial"/>
          <w:sz w:val="20"/>
          <w:lang w:val="nl-NL"/>
        </w:rPr>
        <w:tab/>
      </w:r>
      <w:r w:rsidRPr="00ED37F3">
        <w:rPr>
          <w:rFonts w:ascii="Arial" w:hAnsi="Arial" w:cs="Arial"/>
          <w:sz w:val="20"/>
          <w:lang w:val="nl-NL"/>
        </w:rPr>
        <w:tab/>
      </w:r>
      <w:r w:rsidRPr="00ED37F3">
        <w:rPr>
          <w:rFonts w:ascii="Arial" w:hAnsi="Arial" w:cs="Arial"/>
          <w:sz w:val="20"/>
          <w:lang w:val="nl-NL"/>
        </w:rPr>
        <w:tab/>
        <w:t>P. Karemaker</w:t>
      </w:r>
    </w:p>
    <w:p w:rsidR="00ED37F3" w:rsidRPr="00ED37F3" w:rsidRDefault="00ED37F3" w:rsidP="00ED37F3">
      <w:pPr>
        <w:rPr>
          <w:rFonts w:ascii="Arial" w:hAnsi="Arial" w:cs="Arial"/>
          <w:sz w:val="20"/>
          <w:lang w:val="nl-NL"/>
        </w:rPr>
      </w:pPr>
    </w:p>
    <w:p w:rsidR="00ED37F3" w:rsidRPr="00ED37F3" w:rsidRDefault="00ED37F3" w:rsidP="00ED37F3">
      <w:pPr>
        <w:rPr>
          <w:rFonts w:ascii="Arial" w:hAnsi="Arial" w:cs="Arial"/>
          <w:sz w:val="20"/>
          <w:lang w:val="nl-NL"/>
        </w:rPr>
      </w:pPr>
    </w:p>
    <w:p w:rsidR="00ED37F3" w:rsidRPr="00ED37F3" w:rsidRDefault="00ED37F3" w:rsidP="00ED37F3">
      <w:pPr>
        <w:rPr>
          <w:rFonts w:ascii="Arial" w:hAnsi="Arial" w:cs="Arial"/>
          <w:sz w:val="20"/>
          <w:lang w:val="nl-NL"/>
        </w:rPr>
      </w:pPr>
    </w:p>
    <w:p w:rsidR="00ED37F3" w:rsidRPr="00ED37F3" w:rsidRDefault="00ED37F3" w:rsidP="00ED37F3">
      <w:pPr>
        <w:rPr>
          <w:rFonts w:ascii="Arial" w:hAnsi="Arial" w:cs="Arial"/>
          <w:sz w:val="20"/>
          <w:lang w:val="nl-NL"/>
        </w:rPr>
      </w:pPr>
    </w:p>
    <w:p w:rsidR="00ED37F3" w:rsidRPr="00547338" w:rsidRDefault="00ED37F3" w:rsidP="00ED37F3">
      <w:pPr>
        <w:rPr>
          <w:rFonts w:ascii="Arial" w:hAnsi="Arial" w:cs="Arial"/>
          <w:sz w:val="20"/>
          <w:lang w:val="nl-NL"/>
        </w:rPr>
      </w:pPr>
      <w:r w:rsidRPr="00547338">
        <w:rPr>
          <w:rFonts w:ascii="Arial" w:hAnsi="Arial" w:cs="Arial"/>
          <w:sz w:val="20"/>
          <w:lang w:val="nl-NL"/>
        </w:rPr>
        <w:t>E. Perrotta</w:t>
      </w:r>
      <w:r w:rsidRPr="00547338">
        <w:rPr>
          <w:rFonts w:ascii="Arial" w:hAnsi="Arial" w:cs="Arial"/>
          <w:sz w:val="20"/>
          <w:lang w:val="nl-NL"/>
        </w:rPr>
        <w:tab/>
      </w:r>
      <w:r w:rsidRPr="00547338">
        <w:rPr>
          <w:rFonts w:ascii="Arial" w:hAnsi="Arial" w:cs="Arial"/>
          <w:sz w:val="20"/>
          <w:lang w:val="nl-NL"/>
        </w:rPr>
        <w:tab/>
      </w:r>
      <w:r w:rsidRPr="00547338">
        <w:rPr>
          <w:rFonts w:ascii="Arial" w:hAnsi="Arial" w:cs="Arial"/>
          <w:sz w:val="20"/>
          <w:lang w:val="nl-NL"/>
        </w:rPr>
        <w:tab/>
      </w:r>
      <w:r w:rsidRPr="00547338">
        <w:rPr>
          <w:rFonts w:ascii="Arial" w:hAnsi="Arial" w:cs="Arial"/>
          <w:sz w:val="20"/>
          <w:lang w:val="nl-NL"/>
        </w:rPr>
        <w:tab/>
      </w:r>
      <w:r w:rsidRPr="00547338">
        <w:rPr>
          <w:rFonts w:ascii="Arial" w:hAnsi="Arial" w:cs="Arial"/>
          <w:sz w:val="20"/>
          <w:lang w:val="nl-NL"/>
        </w:rPr>
        <w:tab/>
      </w:r>
      <w:r w:rsidRPr="00547338">
        <w:rPr>
          <w:rFonts w:ascii="Arial" w:hAnsi="Arial" w:cs="Arial"/>
          <w:sz w:val="20"/>
          <w:lang w:val="nl-NL"/>
        </w:rPr>
        <w:tab/>
        <w:t>N. Zürcher</w:t>
      </w:r>
    </w:p>
    <w:p w:rsidR="00ED37F3" w:rsidRPr="00547338" w:rsidRDefault="00ED37F3" w:rsidP="00ED37F3">
      <w:pPr>
        <w:rPr>
          <w:rFonts w:ascii="Arial" w:hAnsi="Arial" w:cs="Arial"/>
          <w:sz w:val="20"/>
          <w:lang w:val="nl-NL"/>
        </w:rPr>
      </w:pPr>
    </w:p>
    <w:p w:rsidR="00ED37F3" w:rsidRPr="00547338" w:rsidRDefault="00ED37F3" w:rsidP="00ED37F3">
      <w:pPr>
        <w:rPr>
          <w:rFonts w:ascii="Arial" w:hAnsi="Arial" w:cs="Arial"/>
          <w:sz w:val="20"/>
          <w:lang w:val="nl-NL"/>
        </w:rPr>
      </w:pPr>
    </w:p>
    <w:p w:rsidR="00ED37F3" w:rsidRPr="00547338" w:rsidRDefault="00ED37F3" w:rsidP="00ED37F3">
      <w:pPr>
        <w:rPr>
          <w:rFonts w:ascii="Arial" w:hAnsi="Arial" w:cs="Arial"/>
          <w:sz w:val="20"/>
          <w:lang w:val="nl-NL"/>
        </w:rPr>
      </w:pPr>
    </w:p>
    <w:p w:rsidR="00ED37F3" w:rsidRPr="00547338" w:rsidRDefault="00ED37F3" w:rsidP="00ED37F3">
      <w:pPr>
        <w:rPr>
          <w:rFonts w:ascii="Arial" w:hAnsi="Arial" w:cs="Arial"/>
          <w:sz w:val="20"/>
          <w:lang w:val="nl-NL"/>
        </w:rPr>
      </w:pPr>
    </w:p>
    <w:p w:rsidR="00ED37F3" w:rsidRPr="00ED37F3" w:rsidRDefault="00ED37F3" w:rsidP="00ED37F3">
      <w:pPr>
        <w:rPr>
          <w:rFonts w:ascii="Arial" w:hAnsi="Arial" w:cs="Arial"/>
          <w:sz w:val="20"/>
          <w:lang w:val="de-CH"/>
        </w:rPr>
      </w:pPr>
      <w:r w:rsidRPr="00ED37F3">
        <w:rPr>
          <w:rFonts w:ascii="Arial" w:hAnsi="Arial" w:cs="Arial"/>
          <w:sz w:val="20"/>
          <w:lang w:val="de-CH"/>
        </w:rPr>
        <w:t xml:space="preserve">D.C.M. Achterberg </w:t>
      </w:r>
      <w:r w:rsidRPr="00ED37F3">
        <w:rPr>
          <w:rFonts w:ascii="Arial" w:hAnsi="Arial" w:cs="Arial"/>
          <w:sz w:val="20"/>
          <w:lang w:val="de-CH"/>
        </w:rPr>
        <w:tab/>
      </w:r>
      <w:r w:rsidRPr="00ED37F3">
        <w:rPr>
          <w:rFonts w:ascii="Arial" w:hAnsi="Arial" w:cs="Arial"/>
          <w:sz w:val="20"/>
          <w:lang w:val="de-CH"/>
        </w:rPr>
        <w:tab/>
      </w:r>
      <w:r w:rsidRPr="00ED37F3">
        <w:rPr>
          <w:rFonts w:ascii="Arial" w:hAnsi="Arial" w:cs="Arial"/>
          <w:sz w:val="20"/>
          <w:lang w:val="de-CH"/>
        </w:rPr>
        <w:tab/>
      </w:r>
      <w:r w:rsidRPr="00ED37F3">
        <w:rPr>
          <w:rFonts w:ascii="Arial" w:hAnsi="Arial" w:cs="Arial"/>
          <w:sz w:val="20"/>
          <w:lang w:val="de-CH"/>
        </w:rPr>
        <w:tab/>
      </w:r>
      <w:r w:rsidR="00D63DD5">
        <w:rPr>
          <w:rFonts w:ascii="Arial" w:hAnsi="Arial" w:cs="Arial"/>
          <w:sz w:val="20"/>
          <w:lang w:val="de-CH"/>
        </w:rPr>
        <w:tab/>
        <w:t>K. Geels</w:t>
      </w:r>
      <w:r w:rsidRPr="00ED37F3">
        <w:rPr>
          <w:rFonts w:ascii="Arial" w:hAnsi="Arial" w:cs="Arial"/>
          <w:sz w:val="20"/>
          <w:lang w:val="de-CH"/>
        </w:rPr>
        <w:tab/>
      </w:r>
    </w:p>
    <w:p w:rsidR="00C00712" w:rsidRPr="000733A1" w:rsidRDefault="00C00712" w:rsidP="00C00712">
      <w:pPr>
        <w:pStyle w:val="080"/>
        <w:rPr>
          <w:rFonts w:cs="Arial"/>
          <w:lang w:val="en-US"/>
        </w:rPr>
      </w:pPr>
      <w:r w:rsidRPr="00547338">
        <w:rPr>
          <w:lang w:val="nl-NL"/>
        </w:rPr>
        <w:br w:type="page"/>
      </w:r>
      <w:r w:rsidRPr="000733A1">
        <w:rPr>
          <w:rFonts w:cs="Arial"/>
          <w:lang w:val="en-US"/>
        </w:rPr>
        <w:lastRenderedPageBreak/>
        <w:t>Independent auditor’s report</w:t>
      </w:r>
    </w:p>
    <w:p w:rsidR="00C00712" w:rsidRPr="000733A1" w:rsidRDefault="00C00712" w:rsidP="00C00712">
      <w:pPr>
        <w:pStyle w:val="000"/>
        <w:rPr>
          <w:rFonts w:cs="Arial"/>
          <w:lang w:val="en-US"/>
        </w:rPr>
      </w:pPr>
      <w:r w:rsidRPr="000733A1">
        <w:rPr>
          <w:rFonts w:cs="Arial"/>
          <w:lang w:val="en-US"/>
        </w:rPr>
        <w:t>To: The Shareholder of Syngenta Finance N.V.</w:t>
      </w:r>
    </w:p>
    <w:p w:rsidR="00C00712" w:rsidRPr="000733A1" w:rsidRDefault="00C00712" w:rsidP="00C00712">
      <w:pPr>
        <w:pStyle w:val="000"/>
        <w:rPr>
          <w:rFonts w:cs="Arial"/>
          <w:lang w:val="en-US"/>
        </w:rPr>
      </w:pPr>
    </w:p>
    <w:p w:rsidR="00C00712" w:rsidRPr="000733A1" w:rsidRDefault="00C00712" w:rsidP="00C00712">
      <w:pPr>
        <w:pStyle w:val="081"/>
        <w:rPr>
          <w:rFonts w:cs="Arial"/>
          <w:sz w:val="20"/>
          <w:lang w:val="en-US"/>
        </w:rPr>
      </w:pPr>
      <w:r w:rsidRPr="000733A1">
        <w:rPr>
          <w:rFonts w:cs="Arial"/>
          <w:sz w:val="20"/>
          <w:lang w:val="en-US"/>
        </w:rPr>
        <w:t>Report on the financial statements</w:t>
      </w:r>
    </w:p>
    <w:p w:rsidR="00C00712" w:rsidRPr="000733A1" w:rsidRDefault="00C00712" w:rsidP="00C00712">
      <w:pPr>
        <w:pStyle w:val="000"/>
        <w:rPr>
          <w:rFonts w:cs="Arial"/>
          <w:lang w:val="en-US"/>
        </w:rPr>
      </w:pPr>
      <w:r w:rsidRPr="000733A1">
        <w:rPr>
          <w:rFonts w:cs="Arial"/>
          <w:lang w:val="en-US"/>
        </w:rPr>
        <w:t>We have audited the accompanying financial statements 2011</w:t>
      </w:r>
      <w:r>
        <w:rPr>
          <w:rFonts w:cs="Arial"/>
          <w:lang w:val="en-US"/>
        </w:rPr>
        <w:t xml:space="preserve"> </w:t>
      </w:r>
      <w:r w:rsidRPr="000733A1">
        <w:rPr>
          <w:rFonts w:cs="Arial"/>
          <w:lang w:val="en-US"/>
        </w:rPr>
        <w:t>of Syngenta Finance N.V., Amsterdam, which comprise the balance sheet as at 31 December 2011, the profit and loss account for the year then ended and the notes, comprising a summary of the accounting policies and other explanatory information.</w:t>
      </w:r>
    </w:p>
    <w:p w:rsidR="00C00712" w:rsidRPr="000733A1" w:rsidRDefault="00C00712" w:rsidP="00C00712">
      <w:pPr>
        <w:pStyle w:val="084"/>
        <w:rPr>
          <w:rFonts w:cs="Arial"/>
          <w:lang w:val="en-US"/>
        </w:rPr>
      </w:pPr>
      <w:r w:rsidRPr="000733A1">
        <w:rPr>
          <w:rFonts w:cs="Arial"/>
          <w:lang w:val="en-US"/>
        </w:rPr>
        <w:t>Management's responsibility</w:t>
      </w:r>
    </w:p>
    <w:p w:rsidR="00C00712" w:rsidRPr="000733A1" w:rsidRDefault="00C00712" w:rsidP="00C00712">
      <w:pPr>
        <w:pStyle w:val="000"/>
        <w:rPr>
          <w:rFonts w:cs="Arial"/>
          <w:lang w:val="en-US"/>
        </w:rPr>
      </w:pPr>
      <w:r w:rsidRPr="000733A1">
        <w:rPr>
          <w:rFonts w:cs="Arial"/>
          <w:lang w:val="en-US"/>
        </w:rPr>
        <w:t>Management is responsible for the preparation and fair presentation of these financial statements and for the preparation of the directors’ report, both in accordance with Part 9 of Book 2 of the Dutch Civil Code. Furthermore management is responsible for such internal control as it determines is necessary to enable the preparation of the financial statements that are free from material misstatement, whether due to fraud or error.</w:t>
      </w:r>
    </w:p>
    <w:p w:rsidR="00C00712" w:rsidRPr="000733A1" w:rsidRDefault="00C00712" w:rsidP="00C00712">
      <w:pPr>
        <w:pStyle w:val="084"/>
        <w:rPr>
          <w:rFonts w:cs="Arial"/>
          <w:lang w:val="en-US"/>
        </w:rPr>
      </w:pPr>
      <w:r w:rsidRPr="000733A1">
        <w:rPr>
          <w:rFonts w:cs="Arial"/>
          <w:lang w:val="en-US"/>
        </w:rPr>
        <w:t>Auditor's responsibility</w:t>
      </w:r>
    </w:p>
    <w:p w:rsidR="00C00712" w:rsidRPr="000733A1" w:rsidRDefault="00C00712" w:rsidP="00C00712">
      <w:pPr>
        <w:pStyle w:val="000"/>
        <w:rPr>
          <w:rFonts w:cs="Arial"/>
          <w:lang w:val="en-US"/>
        </w:rPr>
      </w:pPr>
      <w:r w:rsidRPr="000733A1">
        <w:rPr>
          <w:rFonts w:cs="Arial"/>
          <w:lang w:val="en-US"/>
        </w:rPr>
        <w:t>Our responsibility is to express an opinion on these financial statements based on our audit. We conducted our audit in accordance with Dutch law, including the Dutch Standards on Auditing. This requires that we comply with ethical requirements and plan and perform the audit to obtain reasonable assurance about whether the financial statements are free from material misstatement.</w:t>
      </w:r>
    </w:p>
    <w:p w:rsidR="00C00712" w:rsidRPr="000733A1" w:rsidRDefault="00C00712" w:rsidP="00C00712">
      <w:pPr>
        <w:pStyle w:val="000"/>
        <w:rPr>
          <w:rFonts w:cs="Arial"/>
          <w:lang w:val="en-US"/>
        </w:rPr>
      </w:pPr>
    </w:p>
    <w:p w:rsidR="00C00712" w:rsidRPr="000733A1" w:rsidRDefault="00C00712" w:rsidP="00C00712">
      <w:pPr>
        <w:pStyle w:val="000"/>
        <w:rPr>
          <w:rFonts w:cs="Arial"/>
          <w:lang w:val="en-US"/>
        </w:rPr>
      </w:pPr>
      <w:r w:rsidRPr="000733A1">
        <w:rPr>
          <w:rFonts w:cs="Arial"/>
          <w:lang w:val="en-US"/>
        </w:rPr>
        <w:t>An audit involves performing procedures to obtain audit evidence about the amounts and disclosures in the financial statements. The procedures selected depend on the auditor's judgment, including the assessment of the risks of material misstatement of the financial statements, whether due to fraud or error.</w:t>
      </w:r>
    </w:p>
    <w:p w:rsidR="00C00712" w:rsidRPr="000733A1" w:rsidRDefault="00C00712" w:rsidP="00C00712">
      <w:pPr>
        <w:pStyle w:val="000"/>
        <w:rPr>
          <w:rFonts w:cs="Arial"/>
          <w:lang w:val="en-US"/>
        </w:rPr>
      </w:pPr>
    </w:p>
    <w:p w:rsidR="00C00712" w:rsidRPr="000733A1" w:rsidRDefault="00C00712" w:rsidP="00C00712">
      <w:pPr>
        <w:pStyle w:val="000"/>
        <w:rPr>
          <w:rFonts w:cs="Arial"/>
          <w:lang w:val="en-US"/>
        </w:rPr>
      </w:pPr>
      <w:r w:rsidRPr="000733A1">
        <w:rPr>
          <w:rFonts w:cs="Arial"/>
          <w:lang w:val="en-US"/>
        </w:rPr>
        <w:t>In making those risk assessments, the auditor considers internal control relevant to the entity's preparation and fair presentation of the financial statements in order to design audit procedures that are appropriate in the circumstances, but not for the purpose of expressing an opinion on the effectiveness of the entity's internal control. An audit also includes evaluating the appropriateness of accounting policies used and the reasonableness of accounting estimates made by management, as well as evaluating the overall presentation of the financial statements.</w:t>
      </w:r>
    </w:p>
    <w:p w:rsidR="00C00712" w:rsidRPr="000733A1" w:rsidRDefault="00C00712" w:rsidP="00C00712">
      <w:pPr>
        <w:pStyle w:val="000"/>
        <w:rPr>
          <w:rFonts w:cs="Arial"/>
          <w:lang w:val="en-US"/>
        </w:rPr>
      </w:pPr>
    </w:p>
    <w:p w:rsidR="00C00712" w:rsidRPr="000733A1" w:rsidRDefault="00C00712" w:rsidP="00C00712">
      <w:pPr>
        <w:pStyle w:val="000"/>
        <w:rPr>
          <w:rFonts w:cs="Arial"/>
          <w:lang w:val="en-US"/>
        </w:rPr>
      </w:pPr>
      <w:r w:rsidRPr="000733A1">
        <w:rPr>
          <w:rFonts w:cs="Arial"/>
          <w:lang w:val="en-US"/>
        </w:rPr>
        <w:t>We believe that the audit evidence we have obtained is sufficient and appropriate to provide a basis for our audit opinion.</w:t>
      </w:r>
    </w:p>
    <w:p w:rsidR="00C00712" w:rsidRPr="000733A1" w:rsidRDefault="00C00712" w:rsidP="00C00712">
      <w:pPr>
        <w:pStyle w:val="084"/>
        <w:rPr>
          <w:rFonts w:cs="Arial"/>
          <w:lang w:val="en-US"/>
        </w:rPr>
      </w:pPr>
      <w:r w:rsidRPr="000733A1">
        <w:rPr>
          <w:rFonts w:cs="Arial"/>
          <w:lang w:val="en-US"/>
        </w:rPr>
        <w:t>Opinion  with respect to the financial statements</w:t>
      </w:r>
    </w:p>
    <w:p w:rsidR="00C00712" w:rsidRPr="000733A1" w:rsidRDefault="00C00712" w:rsidP="00C00712">
      <w:pPr>
        <w:pStyle w:val="000"/>
        <w:rPr>
          <w:rFonts w:cs="Arial"/>
          <w:lang w:val="en-US"/>
        </w:rPr>
      </w:pPr>
      <w:r w:rsidRPr="000733A1">
        <w:rPr>
          <w:rFonts w:cs="Arial"/>
          <w:lang w:val="en-US"/>
        </w:rPr>
        <w:t>In our opinion, the financial statements give a true and fair view of the financial position of Syngenta Finance N.V. as at 31 December 2011 and of its result for the year then ended in accordance with Part 9 of Book 2 of the Dutch Civil Code.</w:t>
      </w:r>
    </w:p>
    <w:p w:rsidR="00C00712" w:rsidRPr="000733A1" w:rsidRDefault="00C00712" w:rsidP="00C00712">
      <w:pPr>
        <w:pStyle w:val="081"/>
        <w:rPr>
          <w:rFonts w:cs="Arial"/>
          <w:sz w:val="20"/>
          <w:lang w:val="en-US"/>
        </w:rPr>
      </w:pPr>
      <w:r w:rsidRPr="000733A1">
        <w:rPr>
          <w:rFonts w:cs="Arial"/>
          <w:sz w:val="20"/>
          <w:lang w:val="en-US"/>
        </w:rPr>
        <w:lastRenderedPageBreak/>
        <w:t>Report on other legal and regulatory requirements</w:t>
      </w:r>
    </w:p>
    <w:p w:rsidR="00C00712" w:rsidRPr="000733A1" w:rsidRDefault="00C00712" w:rsidP="00C00712">
      <w:pPr>
        <w:pStyle w:val="000"/>
        <w:rPr>
          <w:rFonts w:cs="Arial"/>
          <w:lang w:val="en-US"/>
        </w:rPr>
      </w:pPr>
      <w:r w:rsidRPr="000733A1">
        <w:rPr>
          <w:rFonts w:cs="Arial"/>
          <w:lang w:val="en-US"/>
        </w:rPr>
        <w:t>Pursuant to the legal requirement under Section 2:393 sub 5 at e and f of the Dutch Civil Code, we have no deficiencies to report as a result of our examination whether the management board report , to the extent we can assess, has been prepared in accordance with Part 9 of Book 2 of this Code, and whether the information as required under Section 2:392 sub 1 at b-h has been annexed. Further we report that the directors’ report, to the extent we can assess, is consistent with the financial statements as required by Section 2:391 sub 4 of the Dutch Civil Code.</w:t>
      </w:r>
    </w:p>
    <w:p w:rsidR="00C00712" w:rsidRPr="000733A1" w:rsidRDefault="00C00712" w:rsidP="00C00712">
      <w:pPr>
        <w:pStyle w:val="000"/>
        <w:rPr>
          <w:rFonts w:cs="Arial"/>
        </w:rPr>
      </w:pPr>
    </w:p>
    <w:p w:rsidR="00C00712" w:rsidRPr="000733A1" w:rsidRDefault="00C00712" w:rsidP="00C00712">
      <w:pPr>
        <w:pStyle w:val="000"/>
        <w:rPr>
          <w:rFonts w:cs="Arial"/>
        </w:rPr>
      </w:pPr>
    </w:p>
    <w:p w:rsidR="00C00712" w:rsidRPr="000733A1" w:rsidRDefault="00C00712" w:rsidP="00C00712">
      <w:pPr>
        <w:pStyle w:val="000"/>
        <w:rPr>
          <w:rFonts w:cs="Arial"/>
        </w:rPr>
      </w:pPr>
      <w:r w:rsidRPr="000733A1">
        <w:rPr>
          <w:rFonts w:cs="Arial"/>
        </w:rPr>
        <w:t>Amsterdam, 23 April 2012</w:t>
      </w:r>
    </w:p>
    <w:p w:rsidR="00C00712" w:rsidRPr="000733A1" w:rsidRDefault="00C00712" w:rsidP="00C00712">
      <w:pPr>
        <w:pStyle w:val="000"/>
        <w:rPr>
          <w:rFonts w:cs="Arial"/>
        </w:rPr>
      </w:pPr>
    </w:p>
    <w:p w:rsidR="00C00712" w:rsidRPr="000733A1" w:rsidRDefault="00C00712" w:rsidP="00C00712">
      <w:pPr>
        <w:pStyle w:val="000"/>
        <w:rPr>
          <w:rFonts w:cs="Arial"/>
        </w:rPr>
      </w:pPr>
    </w:p>
    <w:p w:rsidR="00C00712" w:rsidRPr="000733A1" w:rsidRDefault="00C00712" w:rsidP="00C00712">
      <w:pPr>
        <w:pStyle w:val="000"/>
        <w:rPr>
          <w:rFonts w:cs="Arial"/>
        </w:rPr>
      </w:pPr>
      <w:r w:rsidRPr="000733A1">
        <w:rPr>
          <w:rFonts w:cs="Arial"/>
        </w:rPr>
        <w:t>Ernst &amp; Young Accountants LLP</w:t>
      </w:r>
    </w:p>
    <w:p w:rsidR="00C00712" w:rsidRPr="000733A1" w:rsidRDefault="00C00712" w:rsidP="00C00712">
      <w:pPr>
        <w:pStyle w:val="000"/>
        <w:rPr>
          <w:rFonts w:cs="Arial"/>
        </w:rPr>
      </w:pPr>
    </w:p>
    <w:p w:rsidR="00C00712" w:rsidRPr="000733A1" w:rsidRDefault="00C00712" w:rsidP="00C00712">
      <w:pPr>
        <w:pStyle w:val="000"/>
        <w:rPr>
          <w:rFonts w:cs="Arial"/>
        </w:rPr>
      </w:pPr>
    </w:p>
    <w:p w:rsidR="00C00712" w:rsidRPr="000733A1" w:rsidRDefault="00C00712" w:rsidP="00C00712">
      <w:pPr>
        <w:pStyle w:val="000"/>
        <w:rPr>
          <w:rFonts w:cs="Arial"/>
        </w:rPr>
      </w:pPr>
      <w:r w:rsidRPr="000733A1">
        <w:rPr>
          <w:rFonts w:cs="Arial"/>
        </w:rPr>
        <w:t>Signed by F.J. Blenderman</w:t>
      </w:r>
    </w:p>
    <w:p w:rsidR="00C93EE2" w:rsidRDefault="00C93EE2" w:rsidP="00BB4435">
      <w:pPr>
        <w:pStyle w:val="000"/>
        <w:jc w:val="left"/>
      </w:pPr>
    </w:p>
    <w:sectPr w:rsidR="00C93EE2" w:rsidSect="00D46327">
      <w:pgSz w:w="11907" w:h="16840" w:code="9"/>
      <w:pgMar w:top="1134" w:right="1247" w:bottom="1814" w:left="1247" w:header="941"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AB2" w:rsidRDefault="001A7AB2">
      <w:r>
        <w:separator/>
      </w:r>
    </w:p>
  </w:endnote>
  <w:endnote w:type="continuationSeparator" w:id="0">
    <w:p w:rsidR="001A7AB2" w:rsidRDefault="001A7A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L Univers 45 Light">
    <w:panose1 w:val="00000000000000000000"/>
    <w:charset w:val="00"/>
    <w:family w:val="auto"/>
    <w:notTrueType/>
    <w:pitch w:val="default"/>
    <w:sig w:usb0="00000003" w:usb1="00000000" w:usb2="00000000" w:usb3="00000000" w:csb0="00000001" w:csb1="00000000"/>
  </w:font>
  <w:font w:name="B Univers 65 Bold">
    <w:panose1 w:val="00000000000000000000"/>
    <w:charset w:val="00"/>
    <w:family w:val="auto"/>
    <w:notTrueType/>
    <w:pitch w:val="default"/>
    <w:sig w:usb0="00000003" w:usb1="00000000" w:usb2="00000000" w:usb3="00000000" w:csb0="00000001" w:csb1="00000000"/>
  </w:font>
  <w:font w:name="LO Univers 45 LightOblique">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CD7" w:rsidRDefault="00756CD7">
    <w:pPr>
      <w:pStyle w:val="Footer"/>
      <w:rPr>
        <w:szCs w:val="24"/>
      </w:rPr>
    </w:pPr>
    <w:r>
      <w:rPr>
        <w:szCs w:val="24"/>
        <w:lang w:val="en-US"/>
      </w:rPr>
      <w:fldChar w:fldCharType="begin"/>
    </w:r>
    <w:r>
      <w:rPr>
        <w:szCs w:val="24"/>
        <w:lang w:val="en-US"/>
      </w:rPr>
      <w:instrText xml:space="preserve"> IF </w:instrText>
    </w:r>
    <w:fldSimple w:instr=" DOCPROPERTY &quot;eyWatermerkFooter&quot; \* MERGEFORMAT ">
      <w:r w:rsidRPr="003202F5">
        <w:rPr>
          <w:b/>
          <w:bCs/>
          <w:szCs w:val="24"/>
          <w:lang w:val="en-US"/>
        </w:rPr>
        <w:instrText>N</w:instrText>
      </w:r>
    </w:fldSimple>
    <w:r>
      <w:rPr>
        <w:szCs w:val="24"/>
        <w:lang w:val="en-US"/>
      </w:rPr>
      <w:instrText xml:space="preserve"> = Y </w:instrText>
    </w:r>
    <w:fldSimple w:instr=" DOCPROPERTY &quot;eyWatermerkTekst&quot; \* MERGEFORMAT ">
      <w:r>
        <w:rPr>
          <w:szCs w:val="24"/>
          <w:lang w:val="en-US"/>
        </w:rPr>
        <w:instrText>Draft</w:instrText>
      </w:r>
    </w:fldSimple>
    <w:r>
      <w:rPr>
        <w:szCs w:val="24"/>
        <w:lang w:val="en-US"/>
      </w:rPr>
      <w:instrText xml:space="preserve"> \* MERGEFORMAT </w:instrText>
    </w:r>
    <w:r>
      <w:rPr>
        <w:szCs w:val="24"/>
        <w:lang w:val="en-US"/>
      </w:rPr>
      <w:fldChar w:fldCharType="end"/>
    </w:r>
    <w:r>
      <w:rPr>
        <w:szCs w:val="24"/>
        <w:lang w:val="en-US"/>
      </w:rPr>
      <w:fldChar w:fldCharType="begin"/>
    </w:r>
    <w:r>
      <w:rPr>
        <w:szCs w:val="24"/>
        <w:lang w:val="en-US"/>
      </w:rPr>
      <w:instrText xml:space="preserve"> IF </w:instrText>
    </w:r>
    <w:fldSimple w:instr=" DOCPROPERTY &quot;eyWatermerkFooter&quot; \* MERGEFORMAT ">
      <w:r w:rsidRPr="003202F5">
        <w:rPr>
          <w:b/>
          <w:bCs/>
          <w:szCs w:val="24"/>
          <w:lang w:val="en-US"/>
        </w:rPr>
        <w:instrText>N</w:instrText>
      </w:r>
    </w:fldSimple>
    <w:r>
      <w:rPr>
        <w:szCs w:val="24"/>
        <w:lang w:val="en-US"/>
      </w:rPr>
      <w:instrText xml:space="preserve"> = Y </w:instrText>
    </w:r>
    <w:r>
      <w:rPr>
        <w:szCs w:val="24"/>
      </w:rPr>
      <w:fldChar w:fldCharType="begin"/>
    </w:r>
    <w:r>
      <w:rPr>
        <w:szCs w:val="24"/>
      </w:rPr>
      <w:instrText xml:space="preserve"> DATE \@ ", d-M-yyyy" \* MERGEFORMAT </w:instrText>
    </w:r>
    <w:r>
      <w:rPr>
        <w:szCs w:val="24"/>
      </w:rPr>
      <w:fldChar w:fldCharType="separate"/>
    </w:r>
    <w:r>
      <w:rPr>
        <w:noProof/>
        <w:szCs w:val="24"/>
      </w:rPr>
      <w:instrText>, 29-6-2007</w:instrText>
    </w:r>
    <w:r>
      <w:rPr>
        <w:szCs w:val="24"/>
      </w:rPr>
      <w:fldChar w:fldCharType="end"/>
    </w:r>
    <w:r>
      <w:rPr>
        <w:szCs w:val="24"/>
        <w:lang w:val="en-US"/>
      </w:rPr>
      <w:instrText xml:space="preserve"> \* MERGEFORMAT </w:instrText>
    </w:r>
    <w:r>
      <w:rPr>
        <w:szCs w:val="24"/>
        <w:lang w:val="en-US"/>
      </w:rPr>
      <w:fldChar w:fldCharType="end"/>
    </w:r>
    <w:r>
      <w:rPr>
        <w:szCs w:val="24"/>
        <w:lang w:val="en-US"/>
      </w:rPr>
      <w:tab/>
    </w:r>
    <w:r>
      <w:rPr>
        <w:b/>
        <w:szCs w:val="24"/>
        <w:lang w:val="en-US"/>
      </w:rPr>
      <w:fldChar w:fldCharType="begin"/>
    </w:r>
    <w:r>
      <w:rPr>
        <w:b/>
        <w:szCs w:val="24"/>
        <w:lang w:val="en-US"/>
      </w:rPr>
      <w:instrText xml:space="preserve"> DOCPROPERTY "eyControle" \* MERGEFORMAT </w:instrText>
    </w:r>
    <w:r>
      <w:rPr>
        <w:b/>
        <w:szCs w:val="24"/>
        <w:lang w:val="en-US"/>
      </w:rPr>
      <w:fldChar w:fldCharType="end"/>
    </w:r>
    <w:r>
      <w:rPr>
        <w:szCs w:val="24"/>
        <w:lang w:val="en-US"/>
      </w:rPr>
      <w:tab/>
    </w:r>
    <w:r>
      <w:rPr>
        <w:rStyle w:val="PageNumber"/>
        <w:lang w:val="en-US"/>
      </w:rPr>
      <w:fldChar w:fldCharType="begin"/>
    </w:r>
    <w:r>
      <w:rPr>
        <w:rStyle w:val="PageNumber"/>
        <w:lang w:val="en-US"/>
      </w:rPr>
      <w:instrText xml:space="preserve"> PAGE \* Arabic \* MERGEFORMAT </w:instrText>
    </w:r>
    <w:r>
      <w:rPr>
        <w:rStyle w:val="PageNumber"/>
        <w:lang w:val="en-US"/>
      </w:rPr>
      <w:fldChar w:fldCharType="separate"/>
    </w:r>
    <w:r>
      <w:rPr>
        <w:rStyle w:val="PageNumber"/>
        <w:noProof/>
      </w:rPr>
      <w:t>1</w:t>
    </w:r>
    <w:r>
      <w:rPr>
        <w:rStyle w:val="PageNumber"/>
        <w:lang w:val="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CD7" w:rsidRDefault="00756CD7">
    <w:pPr>
      <w:pStyle w:val="Footer"/>
      <w:rPr>
        <w:szCs w:val="24"/>
      </w:rPr>
    </w:pPr>
    <w:r>
      <w:rPr>
        <w:lang w:val="nl-NL"/>
      </w:rPr>
      <w:fldChar w:fldCharType="begin"/>
    </w:r>
    <w:r>
      <w:rPr>
        <w:lang w:val="nl-NL"/>
      </w:rPr>
      <w:instrText xml:space="preserve"> IF </w:instrText>
    </w:r>
    <w:fldSimple w:instr=" DOCPROPERTY &quot;eyWatermerkFooter&quot;  \* MERGEFORMAT ">
      <w:r w:rsidRPr="003202F5">
        <w:instrText>N</w:instrText>
      </w:r>
    </w:fldSimple>
    <w:r>
      <w:rPr>
        <w:lang w:val="nl-NL"/>
      </w:rPr>
      <w:instrText xml:space="preserve"> = Y </w:instrText>
    </w:r>
    <w:fldSimple w:instr=" DOCPROPERTY &quot;eyWatermerkTekst&quot;  \* MERGEFORMAT ">
      <w:r>
        <w:rPr>
          <w:lang w:val="nl-NL"/>
        </w:rPr>
        <w:instrText>Draft</w:instrText>
      </w:r>
    </w:fldSimple>
    <w:r>
      <w:rPr>
        <w:lang w:val="nl-NL"/>
      </w:rPr>
      <w:instrText xml:space="preserve"> \* MERGEFORMAT </w:instrText>
    </w:r>
    <w:r>
      <w:rPr>
        <w:lang w:val="nl-NL"/>
      </w:rPr>
      <w:fldChar w:fldCharType="end"/>
    </w:r>
    <w:r>
      <w:rPr>
        <w:lang w:val="nl-NL"/>
      </w:rPr>
      <w:fldChar w:fldCharType="begin"/>
    </w:r>
    <w:r>
      <w:rPr>
        <w:lang w:val="nl-NL"/>
      </w:rPr>
      <w:instrText xml:space="preserve"> IF </w:instrText>
    </w:r>
    <w:fldSimple w:instr=" DOCPROPERTY &quot;eyWatermerkFooter&quot;  \* MERGEFORMAT ">
      <w:r w:rsidRPr="003202F5">
        <w:instrText>N</w:instrText>
      </w:r>
    </w:fldSimple>
    <w:r>
      <w:rPr>
        <w:lang w:val="nl-NL"/>
      </w:rPr>
      <w:instrText xml:space="preserve"> = Y </w:instrText>
    </w:r>
    <w:r>
      <w:rPr>
        <w:lang w:val="nl-NL"/>
      </w:rPr>
      <w:fldChar w:fldCharType="begin"/>
    </w:r>
    <w:r>
      <w:rPr>
        <w:lang w:val="nl-NL"/>
      </w:rPr>
      <w:instrText xml:space="preserve"> DATE \@ ", d-M-yyyy" \* MERGEFORMAT </w:instrText>
    </w:r>
    <w:r>
      <w:rPr>
        <w:lang w:val="nl-NL"/>
      </w:rPr>
      <w:fldChar w:fldCharType="separate"/>
    </w:r>
    <w:r>
      <w:rPr>
        <w:noProof/>
        <w:lang w:val="nl-NL"/>
      </w:rPr>
      <w:instrText>, 2-7-2007</w:instrText>
    </w:r>
    <w:r>
      <w:rPr>
        <w:lang w:val="nl-NL"/>
      </w:rPr>
      <w:fldChar w:fldCharType="end"/>
    </w:r>
    <w:r>
      <w:rPr>
        <w:lang w:val="nl-NL"/>
      </w:rPr>
      <w:instrText xml:space="preserve"> \* MERGEFORMAT </w:instrText>
    </w:r>
    <w:r>
      <w:rPr>
        <w:lang w:val="nl-NL"/>
      </w:rPr>
      <w:fldChar w:fldCharType="end"/>
    </w:r>
    <w:r>
      <w:rPr>
        <w:lang w:val="nl-NL"/>
      </w:rPr>
      <w:tab/>
    </w:r>
    <w:r>
      <w:rPr>
        <w:b/>
        <w:bCs/>
        <w:lang w:val="nl-NL"/>
      </w:rPr>
      <w:fldChar w:fldCharType="begin"/>
    </w:r>
    <w:r>
      <w:rPr>
        <w:b/>
        <w:bCs/>
        <w:lang w:val="nl-NL"/>
      </w:rPr>
      <w:instrText xml:space="preserve"> DOCPROPERTY "eyControle"  \* MERGEFORMAT </w:instrText>
    </w:r>
    <w:r>
      <w:rPr>
        <w:b/>
        <w:bCs/>
        <w:lang w:val="nl-NL"/>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CD7" w:rsidRDefault="00756CD7">
    <w:pPr>
      <w:pStyle w:val="Footer"/>
    </w:pPr>
  </w:p>
  <w:p w:rsidR="00756CD7" w:rsidRDefault="00756CD7">
    <w:pPr>
      <w:pStyle w:val="Footer"/>
      <w:jc w:val="right"/>
    </w:pPr>
    <w:r w:rsidRPr="00911C0E">
      <w:rPr>
        <w:b/>
        <w:sz w:val="18"/>
        <w:szCs w:val="24"/>
      </w:rPr>
      <w:fldChar w:fldCharType="begin"/>
    </w:r>
    <w:r w:rsidRPr="00911C0E">
      <w:rPr>
        <w:b/>
        <w:sz w:val="18"/>
      </w:rPr>
      <w:instrText xml:space="preserve"> PAGE </w:instrText>
    </w:r>
    <w:r w:rsidRPr="00911C0E">
      <w:rPr>
        <w:b/>
        <w:sz w:val="18"/>
        <w:szCs w:val="24"/>
      </w:rPr>
      <w:fldChar w:fldCharType="separate"/>
    </w:r>
    <w:r w:rsidR="00D86EDE">
      <w:rPr>
        <w:b/>
        <w:noProof/>
        <w:sz w:val="18"/>
      </w:rPr>
      <w:t>23</w:t>
    </w:r>
    <w:r w:rsidRPr="00911C0E">
      <w:rPr>
        <w:b/>
        <w:sz w:val="18"/>
        <w:szCs w:val="24"/>
      </w:rPr>
      <w:fldChar w:fldCharType="end"/>
    </w:r>
    <w:r w:rsidRPr="00911C0E">
      <w:rPr>
        <w:sz w:val="18"/>
      </w:rPr>
      <w:t xml:space="preserve"> of </w:t>
    </w:r>
    <w:r w:rsidRPr="00911C0E">
      <w:rPr>
        <w:b/>
        <w:sz w:val="18"/>
        <w:szCs w:val="24"/>
      </w:rPr>
      <w:fldChar w:fldCharType="begin"/>
    </w:r>
    <w:r w:rsidRPr="00911C0E">
      <w:rPr>
        <w:b/>
        <w:sz w:val="18"/>
      </w:rPr>
      <w:instrText xml:space="preserve"> NUMPAGES  </w:instrText>
    </w:r>
    <w:r w:rsidRPr="00911C0E">
      <w:rPr>
        <w:b/>
        <w:sz w:val="18"/>
        <w:szCs w:val="24"/>
      </w:rPr>
      <w:fldChar w:fldCharType="separate"/>
    </w:r>
    <w:r w:rsidR="00D86EDE">
      <w:rPr>
        <w:b/>
        <w:noProof/>
        <w:sz w:val="18"/>
      </w:rPr>
      <w:t>23</w:t>
    </w:r>
    <w:r w:rsidRPr="00911C0E">
      <w:rPr>
        <w:b/>
        <w:sz w:val="18"/>
        <w:szCs w:val="24"/>
      </w:rPr>
      <w:fldChar w:fldCharType="end"/>
    </w:r>
  </w:p>
  <w:p w:rsidR="00756CD7" w:rsidRDefault="00756CD7">
    <w:pPr>
      <w:pStyle w:val="Footer"/>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AB2" w:rsidRDefault="001A7AB2">
      <w:r>
        <w:separator/>
      </w:r>
    </w:p>
  </w:footnote>
  <w:footnote w:type="continuationSeparator" w:id="0">
    <w:p w:rsidR="001A7AB2" w:rsidRDefault="001A7A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CD7" w:rsidRPr="00B42936" w:rsidRDefault="00756CD7">
    <w:pPr>
      <w:pStyle w:val="Header"/>
      <w:rPr>
        <w:rFonts w:ascii="Times New Roman" w:hAnsi="Times New Roman"/>
        <w:lang w:val="nl-NL"/>
      </w:rPr>
    </w:pPr>
    <w:r>
      <w:tab/>
    </w:r>
    <w:r>
      <w:tab/>
    </w:r>
    <w:r>
      <w:rPr>
        <w:rFonts w:ascii="Times New Roman" w:hAnsi="Times New Roman"/>
        <w:lang w:val="nl-NL"/>
      </w:rPr>
      <w:t>SYNGENTA</w:t>
    </w:r>
    <w:r w:rsidRPr="00B42936">
      <w:rPr>
        <w:rFonts w:ascii="Times New Roman" w:hAnsi="Times New Roman"/>
        <w:lang w:val="nl-NL"/>
      </w:rPr>
      <w:t xml:space="preserve"> FINANCE N.V., AMSTERDAM </w:t>
    </w:r>
  </w:p>
  <w:p w:rsidR="00756CD7" w:rsidRPr="00C351C5" w:rsidRDefault="00756CD7">
    <w:pPr>
      <w:pStyle w:val="005"/>
      <w:rPr>
        <w:lang w:val="nl-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1A21B66"/>
    <w:lvl w:ilvl="0">
      <w:start w:val="1"/>
      <w:numFmt w:val="decimal"/>
      <w:pStyle w:val="Heading1"/>
      <w:lvlText w:val="%1"/>
      <w:lvlJc w:val="left"/>
      <w:pPr>
        <w:tabs>
          <w:tab w:val="num" w:pos="720"/>
        </w:tabs>
        <w:ind w:left="720" w:hanging="720"/>
      </w:pPr>
      <w:rPr>
        <w:rFonts w:ascii="Times New Roman" w:hAnsi="Times New Roman" w:hint="default"/>
        <w:b/>
        <w:i w:val="0"/>
        <w:sz w:val="28"/>
      </w:rPr>
    </w:lvl>
    <w:lvl w:ilvl="1">
      <w:start w:val="1"/>
      <w:numFmt w:val="decimal"/>
      <w:pStyle w:val="Heading2"/>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rPr>
        <w:rFonts w:ascii="Times New Roman" w:hAnsi="Times New Roman" w:hint="default"/>
        <w:b/>
        <w:i/>
        <w:sz w:val="24"/>
      </w:rPr>
    </w:lvl>
    <w:lvl w:ilvl="3">
      <w:start w:val="1"/>
      <w:numFmt w:val="decimal"/>
      <w:pStyle w:val="Heading4"/>
      <w:suff w:val="nothing"/>
      <w:lvlText w:val="%1.%2.%3.%4"/>
      <w:lvlJc w:val="left"/>
      <w:pPr>
        <w:ind w:left="720" w:hanging="720"/>
      </w:pPr>
      <w:rPr>
        <w:rFonts w:ascii="Times New Roman" w:hAnsi="Times New Roman" w:hint="default"/>
        <w:b w:val="0"/>
        <w:i/>
        <w:sz w:val="24"/>
      </w:rPr>
    </w:lvl>
    <w:lvl w:ilvl="4">
      <w:start w:val="1"/>
      <w:numFmt w:val="decimal"/>
      <w:lvlText w:val="(%5)"/>
      <w:lvlJc w:val="left"/>
      <w:pPr>
        <w:tabs>
          <w:tab w:val="num" w:pos="0"/>
        </w:tabs>
        <w:ind w:left="3588" w:hanging="708"/>
      </w:pPr>
      <w:rPr>
        <w:rFonts w:hint="default"/>
      </w:rPr>
    </w:lvl>
    <w:lvl w:ilvl="5">
      <w:start w:val="1"/>
      <w:numFmt w:val="lowerLetter"/>
      <w:lvlText w:val="(%6)"/>
      <w:lvlJc w:val="left"/>
      <w:pPr>
        <w:tabs>
          <w:tab w:val="num" w:pos="0"/>
        </w:tabs>
        <w:ind w:left="4296" w:hanging="708"/>
      </w:pPr>
      <w:rPr>
        <w:rFonts w:hint="default"/>
      </w:rPr>
    </w:lvl>
    <w:lvl w:ilvl="6">
      <w:start w:val="1"/>
      <w:numFmt w:val="lowerRoman"/>
      <w:lvlText w:val="(%7)"/>
      <w:lvlJc w:val="left"/>
      <w:pPr>
        <w:tabs>
          <w:tab w:val="num" w:pos="0"/>
        </w:tabs>
        <w:ind w:left="5004" w:hanging="708"/>
      </w:pPr>
      <w:rPr>
        <w:rFonts w:hint="default"/>
      </w:rPr>
    </w:lvl>
    <w:lvl w:ilvl="7">
      <w:start w:val="1"/>
      <w:numFmt w:val="lowerLetter"/>
      <w:lvlText w:val="(%8)"/>
      <w:lvlJc w:val="left"/>
      <w:pPr>
        <w:tabs>
          <w:tab w:val="num" w:pos="0"/>
        </w:tabs>
        <w:ind w:left="5712" w:hanging="708"/>
      </w:pPr>
      <w:rPr>
        <w:rFonts w:hint="default"/>
      </w:rPr>
    </w:lvl>
    <w:lvl w:ilvl="8">
      <w:start w:val="1"/>
      <w:numFmt w:val="lowerRoman"/>
      <w:lvlText w:val="(%9)"/>
      <w:lvlJc w:val="left"/>
      <w:pPr>
        <w:tabs>
          <w:tab w:val="num" w:pos="0"/>
        </w:tabs>
        <w:ind w:left="6420" w:hanging="708"/>
      </w:pPr>
      <w:rPr>
        <w:rFonts w:hint="default"/>
      </w:rPr>
    </w:lvl>
  </w:abstractNum>
  <w:abstractNum w:abstractNumId="1">
    <w:nsid w:val="155768D5"/>
    <w:multiLevelType w:val="hybridMultilevel"/>
    <w:tmpl w:val="0BF64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9401F8"/>
    <w:multiLevelType w:val="hybridMultilevel"/>
    <w:tmpl w:val="1F486C96"/>
    <w:lvl w:ilvl="0" w:tplc="FD287176">
      <w:start w:val="5"/>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74D698D"/>
    <w:multiLevelType w:val="hybridMultilevel"/>
    <w:tmpl w:val="53D0AAA0"/>
    <w:lvl w:ilvl="0" w:tplc="3FB43262">
      <w:start w:val="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27DC5A5B"/>
    <w:multiLevelType w:val="hybridMultilevel"/>
    <w:tmpl w:val="FF04CE18"/>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D5B49EE"/>
    <w:multiLevelType w:val="hybridMultilevel"/>
    <w:tmpl w:val="ED9C00EE"/>
    <w:lvl w:ilvl="0" w:tplc="926011BE">
      <w:start w:val="1"/>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30376AAB"/>
    <w:multiLevelType w:val="hybridMultilevel"/>
    <w:tmpl w:val="77F447E2"/>
    <w:lvl w:ilvl="0" w:tplc="664CD290">
      <w:start w:val="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6BA90C63"/>
    <w:multiLevelType w:val="hybridMultilevel"/>
    <w:tmpl w:val="DE18DDE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3"/>
  </w:num>
  <w:num w:numId="6">
    <w:abstractNumId w:val="4"/>
  </w:num>
  <w:num w:numId="7">
    <w:abstractNumId w:val="2"/>
  </w:num>
  <w:num w:numId="8">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SystemFont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de-CH" w:vendorID="64" w:dllVersion="131078" w:nlCheck="1" w:checkStyle="1"/>
  <w:stylePaneFormatFilter w:val="3F01"/>
  <w:defaultTabStop w:val="720"/>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cVars>
    <w:docVar w:name="AttachedTemplate" w:val="Normal.dot"/>
  </w:docVars>
  <w:rsids>
    <w:rsidRoot w:val="00747E06"/>
    <w:rsid w:val="000035FE"/>
    <w:rsid w:val="000039D1"/>
    <w:rsid w:val="000104B8"/>
    <w:rsid w:val="0001654D"/>
    <w:rsid w:val="00021656"/>
    <w:rsid w:val="00031377"/>
    <w:rsid w:val="000417C2"/>
    <w:rsid w:val="00043BE1"/>
    <w:rsid w:val="00050121"/>
    <w:rsid w:val="00055B66"/>
    <w:rsid w:val="00060C6E"/>
    <w:rsid w:val="000662E9"/>
    <w:rsid w:val="0007096D"/>
    <w:rsid w:val="00072DCA"/>
    <w:rsid w:val="0007580B"/>
    <w:rsid w:val="00076ED4"/>
    <w:rsid w:val="0007711D"/>
    <w:rsid w:val="0007721E"/>
    <w:rsid w:val="00084FA0"/>
    <w:rsid w:val="000925DB"/>
    <w:rsid w:val="00094039"/>
    <w:rsid w:val="00096CEE"/>
    <w:rsid w:val="000A0385"/>
    <w:rsid w:val="000A14AC"/>
    <w:rsid w:val="000A16A9"/>
    <w:rsid w:val="000A4ECE"/>
    <w:rsid w:val="000B08F3"/>
    <w:rsid w:val="000B2F90"/>
    <w:rsid w:val="000B52AE"/>
    <w:rsid w:val="000B78F3"/>
    <w:rsid w:val="000B7E72"/>
    <w:rsid w:val="000D0021"/>
    <w:rsid w:val="000D3B12"/>
    <w:rsid w:val="000D4498"/>
    <w:rsid w:val="000D53A3"/>
    <w:rsid w:val="000E2579"/>
    <w:rsid w:val="000E3286"/>
    <w:rsid w:val="000E49DE"/>
    <w:rsid w:val="000E6F1F"/>
    <w:rsid w:val="000F1B0D"/>
    <w:rsid w:val="000F34A2"/>
    <w:rsid w:val="000F4C50"/>
    <w:rsid w:val="000F4C70"/>
    <w:rsid w:val="000F5CCC"/>
    <w:rsid w:val="000F7928"/>
    <w:rsid w:val="001026DB"/>
    <w:rsid w:val="00112043"/>
    <w:rsid w:val="00114C33"/>
    <w:rsid w:val="0011723C"/>
    <w:rsid w:val="0011769B"/>
    <w:rsid w:val="001253EA"/>
    <w:rsid w:val="00127493"/>
    <w:rsid w:val="00127E52"/>
    <w:rsid w:val="00135906"/>
    <w:rsid w:val="0013663C"/>
    <w:rsid w:val="00137B97"/>
    <w:rsid w:val="001435FC"/>
    <w:rsid w:val="00144403"/>
    <w:rsid w:val="001450EE"/>
    <w:rsid w:val="001513E2"/>
    <w:rsid w:val="00151A88"/>
    <w:rsid w:val="00157096"/>
    <w:rsid w:val="0016209B"/>
    <w:rsid w:val="00165B7C"/>
    <w:rsid w:val="00166C5E"/>
    <w:rsid w:val="001730EB"/>
    <w:rsid w:val="00175239"/>
    <w:rsid w:val="00177021"/>
    <w:rsid w:val="00177D58"/>
    <w:rsid w:val="00183291"/>
    <w:rsid w:val="00185212"/>
    <w:rsid w:val="00187628"/>
    <w:rsid w:val="001A216C"/>
    <w:rsid w:val="001A7AB2"/>
    <w:rsid w:val="001B2ADB"/>
    <w:rsid w:val="001C3043"/>
    <w:rsid w:val="001C4974"/>
    <w:rsid w:val="001C4978"/>
    <w:rsid w:val="001C6729"/>
    <w:rsid w:val="001D0B47"/>
    <w:rsid w:val="001D24F8"/>
    <w:rsid w:val="001D452F"/>
    <w:rsid w:val="001D4D6F"/>
    <w:rsid w:val="001F08A2"/>
    <w:rsid w:val="001F0C44"/>
    <w:rsid w:val="001F1070"/>
    <w:rsid w:val="001F69B0"/>
    <w:rsid w:val="00201418"/>
    <w:rsid w:val="00221595"/>
    <w:rsid w:val="00224589"/>
    <w:rsid w:val="00224823"/>
    <w:rsid w:val="0022617F"/>
    <w:rsid w:val="00227F26"/>
    <w:rsid w:val="00237B92"/>
    <w:rsid w:val="002432B8"/>
    <w:rsid w:val="002476FB"/>
    <w:rsid w:val="00250890"/>
    <w:rsid w:val="00250B0C"/>
    <w:rsid w:val="00253FFC"/>
    <w:rsid w:val="0025536C"/>
    <w:rsid w:val="00256608"/>
    <w:rsid w:val="00256CBD"/>
    <w:rsid w:val="002615A3"/>
    <w:rsid w:val="00264AC2"/>
    <w:rsid w:val="002666C0"/>
    <w:rsid w:val="00270802"/>
    <w:rsid w:val="00274696"/>
    <w:rsid w:val="002762A2"/>
    <w:rsid w:val="00280409"/>
    <w:rsid w:val="002806AA"/>
    <w:rsid w:val="00281275"/>
    <w:rsid w:val="00285F21"/>
    <w:rsid w:val="002872B4"/>
    <w:rsid w:val="00287699"/>
    <w:rsid w:val="00294584"/>
    <w:rsid w:val="00294B42"/>
    <w:rsid w:val="00296256"/>
    <w:rsid w:val="002A3441"/>
    <w:rsid w:val="002A3961"/>
    <w:rsid w:val="002A69EB"/>
    <w:rsid w:val="002A7589"/>
    <w:rsid w:val="002A7F5A"/>
    <w:rsid w:val="002B1A76"/>
    <w:rsid w:val="002B3D05"/>
    <w:rsid w:val="002B6147"/>
    <w:rsid w:val="002B614C"/>
    <w:rsid w:val="002B7D17"/>
    <w:rsid w:val="002C0C81"/>
    <w:rsid w:val="002D14D8"/>
    <w:rsid w:val="002D41A7"/>
    <w:rsid w:val="002D47DA"/>
    <w:rsid w:val="002E584B"/>
    <w:rsid w:val="002F1938"/>
    <w:rsid w:val="002F5C62"/>
    <w:rsid w:val="00302AA2"/>
    <w:rsid w:val="0030339B"/>
    <w:rsid w:val="0030342D"/>
    <w:rsid w:val="0030458F"/>
    <w:rsid w:val="00304CB3"/>
    <w:rsid w:val="00304EF6"/>
    <w:rsid w:val="003072EE"/>
    <w:rsid w:val="003154AC"/>
    <w:rsid w:val="00316C9E"/>
    <w:rsid w:val="003202F5"/>
    <w:rsid w:val="003203F0"/>
    <w:rsid w:val="003326A1"/>
    <w:rsid w:val="003328BE"/>
    <w:rsid w:val="0034217F"/>
    <w:rsid w:val="003423F1"/>
    <w:rsid w:val="00342437"/>
    <w:rsid w:val="00344583"/>
    <w:rsid w:val="00346128"/>
    <w:rsid w:val="00351CBA"/>
    <w:rsid w:val="003531F6"/>
    <w:rsid w:val="00353C4E"/>
    <w:rsid w:val="00360AD2"/>
    <w:rsid w:val="00370992"/>
    <w:rsid w:val="00373A28"/>
    <w:rsid w:val="00375AB1"/>
    <w:rsid w:val="00376544"/>
    <w:rsid w:val="0038201E"/>
    <w:rsid w:val="0038357B"/>
    <w:rsid w:val="003906EC"/>
    <w:rsid w:val="00391994"/>
    <w:rsid w:val="00394007"/>
    <w:rsid w:val="00395EE1"/>
    <w:rsid w:val="003A4299"/>
    <w:rsid w:val="003A5625"/>
    <w:rsid w:val="003A6D52"/>
    <w:rsid w:val="003B0AF6"/>
    <w:rsid w:val="003B42C5"/>
    <w:rsid w:val="003B6443"/>
    <w:rsid w:val="003B6679"/>
    <w:rsid w:val="003B68AB"/>
    <w:rsid w:val="003C0465"/>
    <w:rsid w:val="003C232E"/>
    <w:rsid w:val="003D351E"/>
    <w:rsid w:val="003D3EF8"/>
    <w:rsid w:val="003E3AB9"/>
    <w:rsid w:val="003F28E3"/>
    <w:rsid w:val="003F5BF8"/>
    <w:rsid w:val="003F6029"/>
    <w:rsid w:val="00406810"/>
    <w:rsid w:val="0041394A"/>
    <w:rsid w:val="004179D1"/>
    <w:rsid w:val="004206AF"/>
    <w:rsid w:val="00420853"/>
    <w:rsid w:val="00421976"/>
    <w:rsid w:val="00422208"/>
    <w:rsid w:val="00422A29"/>
    <w:rsid w:val="004314ED"/>
    <w:rsid w:val="00431517"/>
    <w:rsid w:val="00432F0B"/>
    <w:rsid w:val="0043564C"/>
    <w:rsid w:val="004416C6"/>
    <w:rsid w:val="00443CB4"/>
    <w:rsid w:val="00443F3C"/>
    <w:rsid w:val="0045628D"/>
    <w:rsid w:val="0046366A"/>
    <w:rsid w:val="00465DD9"/>
    <w:rsid w:val="004802CC"/>
    <w:rsid w:val="0048461F"/>
    <w:rsid w:val="0049248C"/>
    <w:rsid w:val="0049537D"/>
    <w:rsid w:val="004953A2"/>
    <w:rsid w:val="00497628"/>
    <w:rsid w:val="004A05BF"/>
    <w:rsid w:val="004A3956"/>
    <w:rsid w:val="004A6656"/>
    <w:rsid w:val="004A671C"/>
    <w:rsid w:val="004A7FD4"/>
    <w:rsid w:val="004B1379"/>
    <w:rsid w:val="004B491E"/>
    <w:rsid w:val="004B5F8C"/>
    <w:rsid w:val="004C1221"/>
    <w:rsid w:val="004C3706"/>
    <w:rsid w:val="004D444D"/>
    <w:rsid w:val="004E1871"/>
    <w:rsid w:val="004E4CFE"/>
    <w:rsid w:val="004E6DEE"/>
    <w:rsid w:val="004E7897"/>
    <w:rsid w:val="00500146"/>
    <w:rsid w:val="00506DAA"/>
    <w:rsid w:val="00507A68"/>
    <w:rsid w:val="00511BEF"/>
    <w:rsid w:val="005123A5"/>
    <w:rsid w:val="00514E19"/>
    <w:rsid w:val="00515E27"/>
    <w:rsid w:val="0052008B"/>
    <w:rsid w:val="0052180C"/>
    <w:rsid w:val="005253C6"/>
    <w:rsid w:val="00533DD3"/>
    <w:rsid w:val="005355C1"/>
    <w:rsid w:val="00544614"/>
    <w:rsid w:val="00547338"/>
    <w:rsid w:val="00547807"/>
    <w:rsid w:val="005513C1"/>
    <w:rsid w:val="00554560"/>
    <w:rsid w:val="00554FF3"/>
    <w:rsid w:val="00556524"/>
    <w:rsid w:val="0056182F"/>
    <w:rsid w:val="005653B5"/>
    <w:rsid w:val="00572C6E"/>
    <w:rsid w:val="00574899"/>
    <w:rsid w:val="00574D32"/>
    <w:rsid w:val="005805BA"/>
    <w:rsid w:val="0058382B"/>
    <w:rsid w:val="00595E0B"/>
    <w:rsid w:val="005A2834"/>
    <w:rsid w:val="005A2FCF"/>
    <w:rsid w:val="005A7A98"/>
    <w:rsid w:val="005B4823"/>
    <w:rsid w:val="005B51C3"/>
    <w:rsid w:val="005B52AD"/>
    <w:rsid w:val="005B5A8E"/>
    <w:rsid w:val="005C1513"/>
    <w:rsid w:val="005C42A9"/>
    <w:rsid w:val="005D16EC"/>
    <w:rsid w:val="005D19A9"/>
    <w:rsid w:val="005D2079"/>
    <w:rsid w:val="005E5687"/>
    <w:rsid w:val="00602AFB"/>
    <w:rsid w:val="00607FF1"/>
    <w:rsid w:val="00610B8E"/>
    <w:rsid w:val="00614B72"/>
    <w:rsid w:val="006161B6"/>
    <w:rsid w:val="006169C3"/>
    <w:rsid w:val="00626479"/>
    <w:rsid w:val="00630D85"/>
    <w:rsid w:val="00634A52"/>
    <w:rsid w:val="0064032C"/>
    <w:rsid w:val="006409A5"/>
    <w:rsid w:val="006528F3"/>
    <w:rsid w:val="00652D92"/>
    <w:rsid w:val="00654648"/>
    <w:rsid w:val="006562F9"/>
    <w:rsid w:val="00661811"/>
    <w:rsid w:val="00662426"/>
    <w:rsid w:val="006655C9"/>
    <w:rsid w:val="00666341"/>
    <w:rsid w:val="00666970"/>
    <w:rsid w:val="00672130"/>
    <w:rsid w:val="00675E18"/>
    <w:rsid w:val="00684F69"/>
    <w:rsid w:val="006870A4"/>
    <w:rsid w:val="00687A78"/>
    <w:rsid w:val="00693508"/>
    <w:rsid w:val="0069657D"/>
    <w:rsid w:val="00697213"/>
    <w:rsid w:val="006A0894"/>
    <w:rsid w:val="006A2B2C"/>
    <w:rsid w:val="006A33DE"/>
    <w:rsid w:val="006A47B9"/>
    <w:rsid w:val="006A61FD"/>
    <w:rsid w:val="006A69B3"/>
    <w:rsid w:val="006B70F9"/>
    <w:rsid w:val="006B76C0"/>
    <w:rsid w:val="006C2A7B"/>
    <w:rsid w:val="006C3B7A"/>
    <w:rsid w:val="006C4AF3"/>
    <w:rsid w:val="006D5943"/>
    <w:rsid w:val="006D6911"/>
    <w:rsid w:val="006D6A2E"/>
    <w:rsid w:val="006D7F1D"/>
    <w:rsid w:val="006D7FA3"/>
    <w:rsid w:val="006E395E"/>
    <w:rsid w:val="006F19E0"/>
    <w:rsid w:val="006F1FA3"/>
    <w:rsid w:val="006F4E68"/>
    <w:rsid w:val="006F73F7"/>
    <w:rsid w:val="00700017"/>
    <w:rsid w:val="00700C24"/>
    <w:rsid w:val="00701451"/>
    <w:rsid w:val="00703AE7"/>
    <w:rsid w:val="0071047F"/>
    <w:rsid w:val="00711693"/>
    <w:rsid w:val="00712D7E"/>
    <w:rsid w:val="007138F2"/>
    <w:rsid w:val="00714998"/>
    <w:rsid w:val="00723AD5"/>
    <w:rsid w:val="00724F45"/>
    <w:rsid w:val="00726F4F"/>
    <w:rsid w:val="00731EF9"/>
    <w:rsid w:val="00733317"/>
    <w:rsid w:val="0073598C"/>
    <w:rsid w:val="00735BA9"/>
    <w:rsid w:val="00737530"/>
    <w:rsid w:val="00737C53"/>
    <w:rsid w:val="007444F2"/>
    <w:rsid w:val="0074611C"/>
    <w:rsid w:val="00747E06"/>
    <w:rsid w:val="007550A6"/>
    <w:rsid w:val="007552A2"/>
    <w:rsid w:val="00756CD7"/>
    <w:rsid w:val="007570ED"/>
    <w:rsid w:val="007579BC"/>
    <w:rsid w:val="0077267C"/>
    <w:rsid w:val="00772B8C"/>
    <w:rsid w:val="00775929"/>
    <w:rsid w:val="0077685E"/>
    <w:rsid w:val="00782533"/>
    <w:rsid w:val="00783D31"/>
    <w:rsid w:val="00795CB2"/>
    <w:rsid w:val="007A158D"/>
    <w:rsid w:val="007A467D"/>
    <w:rsid w:val="007A46A9"/>
    <w:rsid w:val="007A4B1D"/>
    <w:rsid w:val="007B37DC"/>
    <w:rsid w:val="007B3EC2"/>
    <w:rsid w:val="007B5148"/>
    <w:rsid w:val="007B6BFC"/>
    <w:rsid w:val="007C0715"/>
    <w:rsid w:val="007C0F8B"/>
    <w:rsid w:val="007C29E4"/>
    <w:rsid w:val="007C31C6"/>
    <w:rsid w:val="007C4205"/>
    <w:rsid w:val="007C4F84"/>
    <w:rsid w:val="007D22EA"/>
    <w:rsid w:val="007D71CC"/>
    <w:rsid w:val="007E08E2"/>
    <w:rsid w:val="007E3887"/>
    <w:rsid w:val="007E3BD9"/>
    <w:rsid w:val="007E56CB"/>
    <w:rsid w:val="007F1F51"/>
    <w:rsid w:val="00802075"/>
    <w:rsid w:val="00804915"/>
    <w:rsid w:val="0080510D"/>
    <w:rsid w:val="008158AD"/>
    <w:rsid w:val="008178BA"/>
    <w:rsid w:val="00817CC2"/>
    <w:rsid w:val="00821C54"/>
    <w:rsid w:val="0082388E"/>
    <w:rsid w:val="00824323"/>
    <w:rsid w:val="00831473"/>
    <w:rsid w:val="008317CC"/>
    <w:rsid w:val="0083195A"/>
    <w:rsid w:val="0083760B"/>
    <w:rsid w:val="008511A6"/>
    <w:rsid w:val="008574AD"/>
    <w:rsid w:val="008660CF"/>
    <w:rsid w:val="0086632D"/>
    <w:rsid w:val="00871917"/>
    <w:rsid w:val="00874694"/>
    <w:rsid w:val="008850D2"/>
    <w:rsid w:val="0089154C"/>
    <w:rsid w:val="00893146"/>
    <w:rsid w:val="008941FC"/>
    <w:rsid w:val="00894F20"/>
    <w:rsid w:val="008A2D83"/>
    <w:rsid w:val="008A3C20"/>
    <w:rsid w:val="008A4240"/>
    <w:rsid w:val="008A4EF6"/>
    <w:rsid w:val="008B0BFF"/>
    <w:rsid w:val="008B30B8"/>
    <w:rsid w:val="008B443B"/>
    <w:rsid w:val="008B4F45"/>
    <w:rsid w:val="008B563F"/>
    <w:rsid w:val="008B695B"/>
    <w:rsid w:val="008C38F4"/>
    <w:rsid w:val="008C3926"/>
    <w:rsid w:val="008C5D60"/>
    <w:rsid w:val="008C61B7"/>
    <w:rsid w:val="008D27D5"/>
    <w:rsid w:val="008D7F92"/>
    <w:rsid w:val="008E0717"/>
    <w:rsid w:val="008E16CA"/>
    <w:rsid w:val="008E3529"/>
    <w:rsid w:val="008E5436"/>
    <w:rsid w:val="008F36AF"/>
    <w:rsid w:val="008F6E3B"/>
    <w:rsid w:val="00903CF7"/>
    <w:rsid w:val="009049AB"/>
    <w:rsid w:val="0091117D"/>
    <w:rsid w:val="00911C0E"/>
    <w:rsid w:val="00916720"/>
    <w:rsid w:val="00916F4C"/>
    <w:rsid w:val="009273BB"/>
    <w:rsid w:val="0093136F"/>
    <w:rsid w:val="00943A04"/>
    <w:rsid w:val="00943F78"/>
    <w:rsid w:val="00951B60"/>
    <w:rsid w:val="00952FA8"/>
    <w:rsid w:val="00956DBA"/>
    <w:rsid w:val="00961DFE"/>
    <w:rsid w:val="00964FE0"/>
    <w:rsid w:val="00967B58"/>
    <w:rsid w:val="009722F9"/>
    <w:rsid w:val="00973BDF"/>
    <w:rsid w:val="00974386"/>
    <w:rsid w:val="00977EAF"/>
    <w:rsid w:val="00982E7F"/>
    <w:rsid w:val="00987D5B"/>
    <w:rsid w:val="009A0E37"/>
    <w:rsid w:val="009A11D3"/>
    <w:rsid w:val="009A15E8"/>
    <w:rsid w:val="009A1910"/>
    <w:rsid w:val="009A2C69"/>
    <w:rsid w:val="009B4417"/>
    <w:rsid w:val="009C2008"/>
    <w:rsid w:val="009D004E"/>
    <w:rsid w:val="009D132A"/>
    <w:rsid w:val="009D1A82"/>
    <w:rsid w:val="009D3585"/>
    <w:rsid w:val="009D3E9E"/>
    <w:rsid w:val="009E0424"/>
    <w:rsid w:val="009E478B"/>
    <w:rsid w:val="009E499E"/>
    <w:rsid w:val="009E5B26"/>
    <w:rsid w:val="009E69F6"/>
    <w:rsid w:val="009F2A3E"/>
    <w:rsid w:val="009F2D89"/>
    <w:rsid w:val="009F3666"/>
    <w:rsid w:val="009F6305"/>
    <w:rsid w:val="00A00305"/>
    <w:rsid w:val="00A0303E"/>
    <w:rsid w:val="00A0502B"/>
    <w:rsid w:val="00A07C6B"/>
    <w:rsid w:val="00A11F61"/>
    <w:rsid w:val="00A13457"/>
    <w:rsid w:val="00A15296"/>
    <w:rsid w:val="00A152C8"/>
    <w:rsid w:val="00A3113E"/>
    <w:rsid w:val="00A31866"/>
    <w:rsid w:val="00A3197E"/>
    <w:rsid w:val="00A354E6"/>
    <w:rsid w:val="00A37CBB"/>
    <w:rsid w:val="00A47D00"/>
    <w:rsid w:val="00A50C46"/>
    <w:rsid w:val="00A528F2"/>
    <w:rsid w:val="00A53732"/>
    <w:rsid w:val="00A600F8"/>
    <w:rsid w:val="00A60BFC"/>
    <w:rsid w:val="00A635E4"/>
    <w:rsid w:val="00A70AC8"/>
    <w:rsid w:val="00A72B04"/>
    <w:rsid w:val="00A754D4"/>
    <w:rsid w:val="00A81E07"/>
    <w:rsid w:val="00A83631"/>
    <w:rsid w:val="00A90771"/>
    <w:rsid w:val="00A90911"/>
    <w:rsid w:val="00A93E27"/>
    <w:rsid w:val="00A945CD"/>
    <w:rsid w:val="00A964BF"/>
    <w:rsid w:val="00A96EF1"/>
    <w:rsid w:val="00A96F46"/>
    <w:rsid w:val="00AA08FA"/>
    <w:rsid w:val="00AA0C21"/>
    <w:rsid w:val="00AA40E9"/>
    <w:rsid w:val="00AA6463"/>
    <w:rsid w:val="00AA6F84"/>
    <w:rsid w:val="00AA7932"/>
    <w:rsid w:val="00AC0ACC"/>
    <w:rsid w:val="00AC0BD9"/>
    <w:rsid w:val="00AC1B6F"/>
    <w:rsid w:val="00AC558B"/>
    <w:rsid w:val="00AC71F3"/>
    <w:rsid w:val="00AD00E4"/>
    <w:rsid w:val="00AE31B8"/>
    <w:rsid w:val="00AE4CDF"/>
    <w:rsid w:val="00AF033C"/>
    <w:rsid w:val="00AF6A23"/>
    <w:rsid w:val="00B00DE8"/>
    <w:rsid w:val="00B105A9"/>
    <w:rsid w:val="00B14BD1"/>
    <w:rsid w:val="00B15333"/>
    <w:rsid w:val="00B33A3A"/>
    <w:rsid w:val="00B42936"/>
    <w:rsid w:val="00B44F25"/>
    <w:rsid w:val="00B55DFD"/>
    <w:rsid w:val="00B576B1"/>
    <w:rsid w:val="00B606DE"/>
    <w:rsid w:val="00B60E97"/>
    <w:rsid w:val="00B66422"/>
    <w:rsid w:val="00B66938"/>
    <w:rsid w:val="00B70AAF"/>
    <w:rsid w:val="00B724AF"/>
    <w:rsid w:val="00B75FCC"/>
    <w:rsid w:val="00B77689"/>
    <w:rsid w:val="00B86331"/>
    <w:rsid w:val="00B9523A"/>
    <w:rsid w:val="00B97C56"/>
    <w:rsid w:val="00BA5929"/>
    <w:rsid w:val="00BA5BC6"/>
    <w:rsid w:val="00BA7FFB"/>
    <w:rsid w:val="00BB0AF3"/>
    <w:rsid w:val="00BB4435"/>
    <w:rsid w:val="00BB7945"/>
    <w:rsid w:val="00BB7B61"/>
    <w:rsid w:val="00BC0AC9"/>
    <w:rsid w:val="00BC1089"/>
    <w:rsid w:val="00BC2C5C"/>
    <w:rsid w:val="00BD14A8"/>
    <w:rsid w:val="00BD2986"/>
    <w:rsid w:val="00BD4E8D"/>
    <w:rsid w:val="00BD5543"/>
    <w:rsid w:val="00BD5B1C"/>
    <w:rsid w:val="00BE5E47"/>
    <w:rsid w:val="00BF25CA"/>
    <w:rsid w:val="00C00712"/>
    <w:rsid w:val="00C0471A"/>
    <w:rsid w:val="00C06A0E"/>
    <w:rsid w:val="00C0745E"/>
    <w:rsid w:val="00C14FDF"/>
    <w:rsid w:val="00C159A6"/>
    <w:rsid w:val="00C224AD"/>
    <w:rsid w:val="00C22616"/>
    <w:rsid w:val="00C23D89"/>
    <w:rsid w:val="00C240A0"/>
    <w:rsid w:val="00C2424A"/>
    <w:rsid w:val="00C351C5"/>
    <w:rsid w:val="00C37A5A"/>
    <w:rsid w:val="00C43030"/>
    <w:rsid w:val="00C46639"/>
    <w:rsid w:val="00C50383"/>
    <w:rsid w:val="00C50502"/>
    <w:rsid w:val="00C50B7A"/>
    <w:rsid w:val="00C52981"/>
    <w:rsid w:val="00C630FB"/>
    <w:rsid w:val="00C6739D"/>
    <w:rsid w:val="00C74679"/>
    <w:rsid w:val="00C761B5"/>
    <w:rsid w:val="00C80A76"/>
    <w:rsid w:val="00C87790"/>
    <w:rsid w:val="00C9328D"/>
    <w:rsid w:val="00C93EE2"/>
    <w:rsid w:val="00C9420B"/>
    <w:rsid w:val="00C94BD4"/>
    <w:rsid w:val="00C960CA"/>
    <w:rsid w:val="00CA2C1A"/>
    <w:rsid w:val="00CA371D"/>
    <w:rsid w:val="00CA60FD"/>
    <w:rsid w:val="00CB238C"/>
    <w:rsid w:val="00CB4D0B"/>
    <w:rsid w:val="00CB6F6F"/>
    <w:rsid w:val="00CC083C"/>
    <w:rsid w:val="00CC6D6D"/>
    <w:rsid w:val="00CD0D35"/>
    <w:rsid w:val="00CD1EB2"/>
    <w:rsid w:val="00CD2427"/>
    <w:rsid w:val="00CD3A4C"/>
    <w:rsid w:val="00CD736F"/>
    <w:rsid w:val="00CE634C"/>
    <w:rsid w:val="00CE66DE"/>
    <w:rsid w:val="00CF1C61"/>
    <w:rsid w:val="00CF4085"/>
    <w:rsid w:val="00CF4FD5"/>
    <w:rsid w:val="00CF5DF5"/>
    <w:rsid w:val="00CF5F51"/>
    <w:rsid w:val="00CF72F8"/>
    <w:rsid w:val="00CF7365"/>
    <w:rsid w:val="00D02C22"/>
    <w:rsid w:val="00D0347D"/>
    <w:rsid w:val="00D11509"/>
    <w:rsid w:val="00D21039"/>
    <w:rsid w:val="00D2784F"/>
    <w:rsid w:val="00D32A45"/>
    <w:rsid w:val="00D3400D"/>
    <w:rsid w:val="00D349DD"/>
    <w:rsid w:val="00D36407"/>
    <w:rsid w:val="00D40EBD"/>
    <w:rsid w:val="00D46327"/>
    <w:rsid w:val="00D540CF"/>
    <w:rsid w:val="00D540F0"/>
    <w:rsid w:val="00D562AE"/>
    <w:rsid w:val="00D62300"/>
    <w:rsid w:val="00D629EA"/>
    <w:rsid w:val="00D63DD5"/>
    <w:rsid w:val="00D7015D"/>
    <w:rsid w:val="00D70EDD"/>
    <w:rsid w:val="00D756D3"/>
    <w:rsid w:val="00D75896"/>
    <w:rsid w:val="00D801B2"/>
    <w:rsid w:val="00D846DF"/>
    <w:rsid w:val="00D85615"/>
    <w:rsid w:val="00D86EDE"/>
    <w:rsid w:val="00D8743F"/>
    <w:rsid w:val="00D9179F"/>
    <w:rsid w:val="00D9291E"/>
    <w:rsid w:val="00D9590A"/>
    <w:rsid w:val="00DA06EC"/>
    <w:rsid w:val="00DA266F"/>
    <w:rsid w:val="00DA3B74"/>
    <w:rsid w:val="00DA4142"/>
    <w:rsid w:val="00DA57A9"/>
    <w:rsid w:val="00DB0195"/>
    <w:rsid w:val="00DB273C"/>
    <w:rsid w:val="00DB3D17"/>
    <w:rsid w:val="00DB6C1A"/>
    <w:rsid w:val="00DB7698"/>
    <w:rsid w:val="00DC2A08"/>
    <w:rsid w:val="00DC4F14"/>
    <w:rsid w:val="00DD2B43"/>
    <w:rsid w:val="00DD7DFB"/>
    <w:rsid w:val="00DE439E"/>
    <w:rsid w:val="00E026CA"/>
    <w:rsid w:val="00E0460E"/>
    <w:rsid w:val="00E074D0"/>
    <w:rsid w:val="00E07AA7"/>
    <w:rsid w:val="00E10AC1"/>
    <w:rsid w:val="00E152E1"/>
    <w:rsid w:val="00E177BD"/>
    <w:rsid w:val="00E17C53"/>
    <w:rsid w:val="00E2002A"/>
    <w:rsid w:val="00E24AF4"/>
    <w:rsid w:val="00E32455"/>
    <w:rsid w:val="00E3417F"/>
    <w:rsid w:val="00E37F78"/>
    <w:rsid w:val="00E40B5C"/>
    <w:rsid w:val="00E46E8C"/>
    <w:rsid w:val="00E47C8C"/>
    <w:rsid w:val="00E50AC8"/>
    <w:rsid w:val="00E5213A"/>
    <w:rsid w:val="00E52BE7"/>
    <w:rsid w:val="00E534C4"/>
    <w:rsid w:val="00E54858"/>
    <w:rsid w:val="00E560FE"/>
    <w:rsid w:val="00E57DC8"/>
    <w:rsid w:val="00E629AA"/>
    <w:rsid w:val="00E63974"/>
    <w:rsid w:val="00E72084"/>
    <w:rsid w:val="00E8067D"/>
    <w:rsid w:val="00E83915"/>
    <w:rsid w:val="00E84C28"/>
    <w:rsid w:val="00E85763"/>
    <w:rsid w:val="00E86A2B"/>
    <w:rsid w:val="00E86E67"/>
    <w:rsid w:val="00E87244"/>
    <w:rsid w:val="00E876E8"/>
    <w:rsid w:val="00E93FBD"/>
    <w:rsid w:val="00E94FA5"/>
    <w:rsid w:val="00E9570A"/>
    <w:rsid w:val="00EA174B"/>
    <w:rsid w:val="00EA2849"/>
    <w:rsid w:val="00EA38A4"/>
    <w:rsid w:val="00EB1160"/>
    <w:rsid w:val="00EB32A7"/>
    <w:rsid w:val="00EB6D41"/>
    <w:rsid w:val="00EC5A94"/>
    <w:rsid w:val="00EC5B41"/>
    <w:rsid w:val="00EC75DE"/>
    <w:rsid w:val="00ED08AE"/>
    <w:rsid w:val="00ED3084"/>
    <w:rsid w:val="00ED37F3"/>
    <w:rsid w:val="00ED4A5B"/>
    <w:rsid w:val="00ED5CDE"/>
    <w:rsid w:val="00ED7D80"/>
    <w:rsid w:val="00EE222B"/>
    <w:rsid w:val="00EE2E84"/>
    <w:rsid w:val="00EE48C4"/>
    <w:rsid w:val="00EE5694"/>
    <w:rsid w:val="00EE5F09"/>
    <w:rsid w:val="00EE7826"/>
    <w:rsid w:val="00EF02D1"/>
    <w:rsid w:val="00EF3FC4"/>
    <w:rsid w:val="00EF416A"/>
    <w:rsid w:val="00EF43F9"/>
    <w:rsid w:val="00F00529"/>
    <w:rsid w:val="00F16EC5"/>
    <w:rsid w:val="00F171E4"/>
    <w:rsid w:val="00F22927"/>
    <w:rsid w:val="00F235B1"/>
    <w:rsid w:val="00F245B2"/>
    <w:rsid w:val="00F273BA"/>
    <w:rsid w:val="00F335DB"/>
    <w:rsid w:val="00F3407B"/>
    <w:rsid w:val="00F35091"/>
    <w:rsid w:val="00F36190"/>
    <w:rsid w:val="00F36BB1"/>
    <w:rsid w:val="00F3760B"/>
    <w:rsid w:val="00F4024D"/>
    <w:rsid w:val="00F44F38"/>
    <w:rsid w:val="00F455B6"/>
    <w:rsid w:val="00F53EFE"/>
    <w:rsid w:val="00F5601D"/>
    <w:rsid w:val="00F56C43"/>
    <w:rsid w:val="00F65AF2"/>
    <w:rsid w:val="00F65B64"/>
    <w:rsid w:val="00F70EDC"/>
    <w:rsid w:val="00F71D90"/>
    <w:rsid w:val="00F71F44"/>
    <w:rsid w:val="00F7353C"/>
    <w:rsid w:val="00F750A6"/>
    <w:rsid w:val="00F8059A"/>
    <w:rsid w:val="00F83255"/>
    <w:rsid w:val="00F87CD1"/>
    <w:rsid w:val="00F90065"/>
    <w:rsid w:val="00F93682"/>
    <w:rsid w:val="00F9474F"/>
    <w:rsid w:val="00FA673D"/>
    <w:rsid w:val="00FB46DF"/>
    <w:rsid w:val="00FC11F1"/>
    <w:rsid w:val="00FC3114"/>
    <w:rsid w:val="00FC3DF1"/>
    <w:rsid w:val="00FC67C5"/>
    <w:rsid w:val="00FC6C54"/>
    <w:rsid w:val="00FC6ED6"/>
    <w:rsid w:val="00FD11F5"/>
    <w:rsid w:val="00FD23D4"/>
    <w:rsid w:val="00FD4703"/>
    <w:rsid w:val="00FE025A"/>
    <w:rsid w:val="00FE1A34"/>
    <w:rsid w:val="00FE1B97"/>
    <w:rsid w:val="00FE1BB3"/>
    <w:rsid w:val="00FE56D9"/>
    <w:rsid w:val="00FE64C7"/>
    <w:rsid w:val="00FF14D4"/>
    <w:rsid w:val="00FF1685"/>
    <w:rsid w:val="00FF2870"/>
    <w:rsid w:val="00FF2B4A"/>
    <w:rsid w:val="00FF4FB1"/>
    <w:rsid w:val="00FF661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280" w:lineRule="atLeast"/>
      <w:textAlignment w:val="baseline"/>
    </w:pPr>
    <w:rPr>
      <w:sz w:val="24"/>
      <w:lang w:val="en-GB" w:eastAsia="en-US"/>
    </w:rPr>
  </w:style>
  <w:style w:type="paragraph" w:styleId="Heading1">
    <w:name w:val="heading 1"/>
    <w:aliases w:val="051"/>
    <w:basedOn w:val="000"/>
    <w:next w:val="000"/>
    <w:qFormat/>
    <w:pPr>
      <w:keepNext/>
      <w:numPr>
        <w:numId w:val="1"/>
      </w:numPr>
      <w:spacing w:before="560" w:after="280"/>
      <w:jc w:val="left"/>
      <w:outlineLvl w:val="0"/>
    </w:pPr>
    <w:rPr>
      <w:b/>
      <w:sz w:val="28"/>
    </w:rPr>
  </w:style>
  <w:style w:type="paragraph" w:styleId="Heading2">
    <w:name w:val="heading 2"/>
    <w:aliases w:val="052"/>
    <w:basedOn w:val="Heading1"/>
    <w:next w:val="000"/>
    <w:qFormat/>
    <w:pPr>
      <w:numPr>
        <w:ilvl w:val="1"/>
      </w:numPr>
      <w:outlineLvl w:val="1"/>
    </w:pPr>
    <w:rPr>
      <w:sz w:val="24"/>
    </w:rPr>
  </w:style>
  <w:style w:type="paragraph" w:styleId="Heading3">
    <w:name w:val="heading 3"/>
    <w:aliases w:val="053"/>
    <w:basedOn w:val="Heading1"/>
    <w:next w:val="000"/>
    <w:qFormat/>
    <w:pPr>
      <w:numPr>
        <w:ilvl w:val="2"/>
      </w:numPr>
      <w:outlineLvl w:val="2"/>
    </w:pPr>
    <w:rPr>
      <w:i/>
      <w:sz w:val="24"/>
    </w:rPr>
  </w:style>
  <w:style w:type="paragraph" w:styleId="Heading4">
    <w:name w:val="heading 4"/>
    <w:aliases w:val="054"/>
    <w:basedOn w:val="Heading1"/>
    <w:next w:val="000"/>
    <w:qFormat/>
    <w:pPr>
      <w:numPr>
        <w:ilvl w:val="3"/>
      </w:numPr>
      <w:tabs>
        <w:tab w:val="left" w:pos="720"/>
      </w:tabs>
      <w:outlineLvl w:val="3"/>
    </w:pPr>
    <w:rPr>
      <w:b w:val="0"/>
      <w:i/>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000">
    <w:name w:val="000"/>
    <w:aliases w:val="standaard,standaard uitvullen,standaard (alt-s),stan084daard,0001,standaard 155,standaard uitv042ullen,standaard 040,sta550ndaard,standaard81,standaard uitvull0083"/>
    <w:basedOn w:val="Normal"/>
    <w:link w:val="000Char"/>
    <w:rsid w:val="00431517"/>
    <w:pPr>
      <w:jc w:val="both"/>
    </w:pPr>
    <w:rPr>
      <w:rFonts w:ascii="Arial" w:hAnsi="Arial"/>
      <w:sz w:val="20"/>
    </w:rPr>
  </w:style>
  <w:style w:type="paragraph" w:customStyle="1" w:styleId="012">
    <w:name w:val="012"/>
    <w:aliases w:val="aan"/>
    <w:basedOn w:val="010"/>
    <w:next w:val="013"/>
    <w:pPr>
      <w:spacing w:after="60"/>
    </w:pPr>
    <w:rPr>
      <w:b/>
    </w:rPr>
  </w:style>
  <w:style w:type="paragraph" w:customStyle="1" w:styleId="010">
    <w:name w:val="010"/>
    <w:aliases w:val="venster"/>
    <w:basedOn w:val="000"/>
    <w:pPr>
      <w:ind w:left="493" w:right="1922"/>
      <w:jc w:val="left"/>
    </w:pPr>
  </w:style>
  <w:style w:type="paragraph" w:customStyle="1" w:styleId="013">
    <w:name w:val="013"/>
    <w:aliases w:val="de directie van"/>
    <w:basedOn w:val="010"/>
    <w:next w:val="014"/>
  </w:style>
  <w:style w:type="paragraph" w:customStyle="1" w:styleId="014">
    <w:name w:val="014"/>
    <w:aliases w:val="cliëntnaam"/>
    <w:basedOn w:val="010"/>
    <w:next w:val="016"/>
    <w:rPr>
      <w:caps/>
    </w:rPr>
  </w:style>
  <w:style w:type="paragraph" w:customStyle="1" w:styleId="016">
    <w:name w:val="016"/>
    <w:aliases w:val="inzake"/>
    <w:basedOn w:val="010"/>
    <w:next w:val="Normal"/>
    <w:pPr>
      <w:spacing w:before="280" w:after="60"/>
    </w:pPr>
  </w:style>
  <w:style w:type="paragraph" w:customStyle="1" w:styleId="001">
    <w:name w:val="001"/>
    <w:aliases w:val="cliëntnummer"/>
    <w:basedOn w:val="000"/>
    <w:pPr>
      <w:spacing w:before="660"/>
      <w:jc w:val="right"/>
    </w:pPr>
  </w:style>
  <w:style w:type="paragraph" w:customStyle="1" w:styleId="003">
    <w:name w:val="003"/>
    <w:aliases w:val="bijlage 1 enz."/>
    <w:basedOn w:val="Normal"/>
    <w:next w:val="004"/>
    <w:pPr>
      <w:spacing w:before="280"/>
      <w:ind w:left="4678"/>
      <w:jc w:val="right"/>
    </w:pPr>
    <w:rPr>
      <w:b/>
    </w:rPr>
  </w:style>
  <w:style w:type="paragraph" w:customStyle="1" w:styleId="004">
    <w:name w:val="004"/>
    <w:aliases w:val="bij rapport d.d."/>
    <w:basedOn w:val="Normal"/>
    <w:next w:val="005"/>
    <w:pPr>
      <w:ind w:left="4678"/>
      <w:jc w:val="right"/>
    </w:pPr>
  </w:style>
  <w:style w:type="paragraph" w:customStyle="1" w:styleId="005">
    <w:name w:val="005"/>
    <w:aliases w:val="cliënt-naam"/>
    <w:basedOn w:val="Normal"/>
    <w:pPr>
      <w:spacing w:after="280"/>
      <w:ind w:left="4678"/>
      <w:jc w:val="right"/>
    </w:pPr>
    <w:rPr>
      <w:caps/>
      <w:sz w:val="20"/>
    </w:rPr>
  </w:style>
  <w:style w:type="paragraph" w:customStyle="1" w:styleId="011">
    <w:name w:val="011"/>
    <w:aliases w:val="rapport"/>
    <w:basedOn w:val="010"/>
    <w:next w:val="013"/>
    <w:pPr>
      <w:spacing w:before="2000" w:after="60"/>
    </w:pPr>
    <w:rPr>
      <w:b/>
      <w:caps/>
    </w:rPr>
  </w:style>
  <w:style w:type="paragraph" w:customStyle="1" w:styleId="021">
    <w:name w:val="021"/>
    <w:aliases w:val="inhoudsopgave"/>
    <w:basedOn w:val="Normal"/>
    <w:next w:val="023"/>
    <w:pPr>
      <w:spacing w:before="1360" w:after="280"/>
    </w:pPr>
    <w:rPr>
      <w:b/>
      <w:caps/>
    </w:rPr>
  </w:style>
  <w:style w:type="paragraph" w:customStyle="1" w:styleId="023">
    <w:name w:val="023"/>
    <w:aliases w:val="regel &quot;Rapport&quot;"/>
    <w:basedOn w:val="Normal"/>
    <w:next w:val="TOC2"/>
    <w:pPr>
      <w:spacing w:before="280" w:after="140"/>
    </w:pPr>
    <w:rPr>
      <w:sz w:val="28"/>
    </w:rPr>
  </w:style>
  <w:style w:type="paragraph" w:styleId="TOC2">
    <w:name w:val="toc 2"/>
    <w:basedOn w:val="Normal"/>
    <w:pPr>
      <w:tabs>
        <w:tab w:val="right" w:pos="9378"/>
      </w:tabs>
      <w:ind w:left="720" w:right="284" w:hanging="720"/>
    </w:pPr>
  </w:style>
  <w:style w:type="paragraph" w:customStyle="1" w:styleId="024">
    <w:name w:val="024"/>
    <w:aliases w:val="nummering bijlagen"/>
    <w:basedOn w:val="Normal"/>
    <w:pPr>
      <w:tabs>
        <w:tab w:val="right" w:pos="9380"/>
      </w:tabs>
      <w:ind w:left="567" w:hanging="567"/>
    </w:pPr>
  </w:style>
  <w:style w:type="paragraph" w:customStyle="1" w:styleId="026">
    <w:name w:val="026"/>
    <w:aliases w:val="regel &quot;Jaarrekening&quot; etc."/>
    <w:basedOn w:val="000"/>
    <w:pPr>
      <w:spacing w:before="140" w:after="140"/>
      <w:ind w:left="567" w:hanging="567"/>
    </w:pPr>
  </w:style>
  <w:style w:type="paragraph" w:customStyle="1" w:styleId="031">
    <w:name w:val="031"/>
    <w:aliases w:val="geadresseerde"/>
    <w:basedOn w:val="Normal"/>
    <w:next w:val="032"/>
  </w:style>
  <w:style w:type="paragraph" w:customStyle="1" w:styleId="032">
    <w:name w:val="032"/>
    <w:aliases w:val="naam-cliënt"/>
    <w:basedOn w:val="Normal"/>
    <w:next w:val="035"/>
    <w:rPr>
      <w:caps/>
    </w:rPr>
  </w:style>
  <w:style w:type="paragraph" w:customStyle="1" w:styleId="035">
    <w:name w:val="035"/>
    <w:aliases w:val="plaats cliënt"/>
    <w:basedOn w:val="Normal"/>
    <w:next w:val="036"/>
    <w:pPr>
      <w:spacing w:after="840"/>
    </w:pPr>
    <w:rPr>
      <w:caps/>
    </w:rPr>
  </w:style>
  <w:style w:type="paragraph" w:customStyle="1" w:styleId="036">
    <w:name w:val="036"/>
    <w:aliases w:val="datum/kenmerk"/>
    <w:basedOn w:val="Normal"/>
    <w:next w:val="000"/>
    <w:pPr>
      <w:tabs>
        <w:tab w:val="left" w:pos="6560"/>
        <w:tab w:val="right" w:pos="9380"/>
      </w:tabs>
      <w:spacing w:after="560"/>
    </w:pPr>
  </w:style>
  <w:style w:type="paragraph" w:customStyle="1" w:styleId="049">
    <w:name w:val="049"/>
    <w:aliases w:val="handtekening"/>
    <w:basedOn w:val="Normal"/>
    <w:pPr>
      <w:tabs>
        <w:tab w:val="left" w:pos="4680"/>
      </w:tabs>
    </w:pPr>
  </w:style>
  <w:style w:type="paragraph" w:customStyle="1" w:styleId="070">
    <w:name w:val="070"/>
    <w:aliases w:val="kop balans/specificatie"/>
    <w:basedOn w:val="000"/>
    <w:next w:val="000"/>
    <w:pPr>
      <w:jc w:val="left"/>
    </w:pPr>
    <w:rPr>
      <w:b/>
      <w:caps/>
    </w:rPr>
  </w:style>
  <w:style w:type="paragraph" w:customStyle="1" w:styleId="073">
    <w:name w:val="073"/>
    <w:aliases w:val="activa"/>
    <w:basedOn w:val="000"/>
    <w:next w:val="000"/>
    <w:rPr>
      <w:b/>
      <w:spacing w:val="100"/>
    </w:rPr>
  </w:style>
  <w:style w:type="paragraph" w:customStyle="1" w:styleId="074">
    <w:name w:val="074"/>
    <w:aliases w:val="passiva"/>
    <w:basedOn w:val="000"/>
    <w:next w:val="000"/>
    <w:pPr>
      <w:ind w:right="-100"/>
      <w:jc w:val="right"/>
    </w:pPr>
    <w:rPr>
      <w:b/>
      <w:spacing w:val="100"/>
    </w:rPr>
  </w:style>
  <w:style w:type="paragraph" w:customStyle="1" w:styleId="080">
    <w:name w:val="080"/>
    <w:aliases w:val="titel,hoofdletters vet 2 witregels geen inspring"/>
    <w:basedOn w:val="000"/>
    <w:next w:val="000"/>
    <w:pPr>
      <w:keepNext/>
      <w:spacing w:after="560"/>
      <w:jc w:val="left"/>
    </w:pPr>
    <w:rPr>
      <w:b/>
      <w:caps/>
    </w:rPr>
  </w:style>
  <w:style w:type="paragraph" w:customStyle="1" w:styleId="081">
    <w:name w:val="081"/>
    <w:aliases w:val="kop 1,14 punten vet 1 witregel geen inspring"/>
    <w:basedOn w:val="000"/>
    <w:next w:val="000"/>
    <w:pPr>
      <w:keepNext/>
      <w:spacing w:before="560" w:after="280"/>
      <w:jc w:val="left"/>
    </w:pPr>
    <w:rPr>
      <w:b/>
      <w:sz w:val="28"/>
    </w:rPr>
  </w:style>
  <w:style w:type="paragraph" w:customStyle="1" w:styleId="082">
    <w:name w:val="082"/>
    <w:aliases w:val="kop 2,vet 1 witregel geen inspring"/>
    <w:basedOn w:val="000"/>
    <w:next w:val="000"/>
    <w:pPr>
      <w:keepNext/>
      <w:spacing w:before="560" w:after="280"/>
      <w:jc w:val="left"/>
    </w:pPr>
    <w:rPr>
      <w:b/>
    </w:rPr>
  </w:style>
  <w:style w:type="paragraph" w:customStyle="1" w:styleId="083">
    <w:name w:val="083"/>
    <w:aliases w:val="kop 3,vet cursief 1 witregel geen inspring"/>
    <w:basedOn w:val="000"/>
    <w:next w:val="000"/>
    <w:pPr>
      <w:keepNext/>
      <w:spacing w:before="560" w:after="280"/>
      <w:jc w:val="left"/>
    </w:pPr>
    <w:rPr>
      <w:b/>
      <w:i/>
    </w:rPr>
  </w:style>
  <w:style w:type="paragraph" w:customStyle="1" w:styleId="084">
    <w:name w:val="084"/>
    <w:aliases w:val="cursief geen inspring"/>
    <w:basedOn w:val="000"/>
    <w:next w:val="000"/>
    <w:pPr>
      <w:keepNext/>
      <w:spacing w:before="280"/>
      <w:jc w:val="left"/>
    </w:pPr>
    <w:rPr>
      <w:i/>
    </w:rPr>
  </w:style>
  <w:style w:type="paragraph" w:customStyle="1" w:styleId="100">
    <w:name w:val="100"/>
    <w:aliases w:val="1 kop h"/>
    <w:basedOn w:val="Normal"/>
    <w:next w:val="101"/>
    <w:pPr>
      <w:tabs>
        <w:tab w:val="center" w:pos="8980"/>
      </w:tabs>
      <w:ind w:right="-170"/>
    </w:pPr>
  </w:style>
  <w:style w:type="paragraph" w:customStyle="1" w:styleId="101">
    <w:name w:val="101"/>
    <w:aliases w:val="1 kopstreep h"/>
    <w:basedOn w:val="Normal"/>
    <w:next w:val="102"/>
    <w:pPr>
      <w:tabs>
        <w:tab w:val="left" w:pos="8580"/>
        <w:tab w:val="right" w:pos="9380"/>
      </w:tabs>
      <w:spacing w:after="140" w:line="140" w:lineRule="exact"/>
    </w:pPr>
    <w:rPr>
      <w:sz w:val="10"/>
    </w:rPr>
  </w:style>
  <w:style w:type="paragraph" w:customStyle="1" w:styleId="102">
    <w:name w:val="102"/>
    <w:aliases w:val="1 €-teken h"/>
    <w:basedOn w:val="Normal"/>
    <w:next w:val="104"/>
    <w:pPr>
      <w:tabs>
        <w:tab w:val="center" w:pos="8980"/>
      </w:tabs>
      <w:spacing w:after="140"/>
    </w:pPr>
  </w:style>
  <w:style w:type="paragraph" w:customStyle="1" w:styleId="104">
    <w:name w:val="104"/>
    <w:aliases w:val="1 cijferregel h"/>
    <w:basedOn w:val="Normal"/>
    <w:link w:val="104Char"/>
    <w:pPr>
      <w:tabs>
        <w:tab w:val="left" w:pos="1134"/>
        <w:tab w:val="decimal" w:pos="9380"/>
      </w:tabs>
      <w:ind w:left="567" w:right="-170" w:hanging="567"/>
    </w:pPr>
  </w:style>
  <w:style w:type="paragraph" w:customStyle="1" w:styleId="105">
    <w:name w:val="105"/>
    <w:aliases w:val="1 enkele telstreep h"/>
    <w:basedOn w:val="Normal"/>
    <w:next w:val="104"/>
    <w:pPr>
      <w:tabs>
        <w:tab w:val="left" w:pos="8580"/>
        <w:tab w:val="decimal" w:pos="9380"/>
      </w:tabs>
      <w:spacing w:line="140" w:lineRule="exact"/>
    </w:pPr>
    <w:rPr>
      <w:position w:val="4"/>
      <w:sz w:val="10"/>
    </w:rPr>
  </w:style>
  <w:style w:type="paragraph" w:customStyle="1" w:styleId="107">
    <w:name w:val="107"/>
    <w:aliases w:val="1 dubbele streep h"/>
    <w:basedOn w:val="105"/>
    <w:next w:val="Normal"/>
    <w:rPr>
      <w:position w:val="6"/>
      <w:sz w:val="14"/>
    </w:rPr>
  </w:style>
  <w:style w:type="paragraph" w:customStyle="1" w:styleId="200">
    <w:name w:val="200"/>
    <w:aliases w:val="2 kop h"/>
    <w:basedOn w:val="Normal"/>
    <w:next w:val="201"/>
    <w:rsid w:val="00431517"/>
    <w:pPr>
      <w:tabs>
        <w:tab w:val="center" w:pos="7700"/>
        <w:tab w:val="center" w:pos="8980"/>
      </w:tabs>
      <w:ind w:right="-170"/>
    </w:pPr>
    <w:rPr>
      <w:rFonts w:ascii="Arial" w:hAnsi="Arial"/>
      <w:sz w:val="20"/>
    </w:rPr>
  </w:style>
  <w:style w:type="paragraph" w:customStyle="1" w:styleId="201">
    <w:name w:val="201"/>
    <w:aliases w:val="2 kopstreep h"/>
    <w:basedOn w:val="Normal"/>
    <w:next w:val="202"/>
    <w:pPr>
      <w:tabs>
        <w:tab w:val="left" w:pos="7300"/>
        <w:tab w:val="right" w:pos="8100"/>
        <w:tab w:val="left" w:pos="8580"/>
        <w:tab w:val="right" w:pos="9380"/>
      </w:tabs>
      <w:spacing w:after="140" w:line="140" w:lineRule="exact"/>
    </w:pPr>
    <w:rPr>
      <w:sz w:val="10"/>
    </w:rPr>
  </w:style>
  <w:style w:type="paragraph" w:customStyle="1" w:styleId="202">
    <w:name w:val="202"/>
    <w:aliases w:val="2 €-tekens h"/>
    <w:basedOn w:val="Normal"/>
    <w:next w:val="204"/>
    <w:pPr>
      <w:tabs>
        <w:tab w:val="center" w:pos="7700"/>
        <w:tab w:val="center" w:pos="8980"/>
      </w:tabs>
      <w:spacing w:after="140"/>
    </w:pPr>
  </w:style>
  <w:style w:type="paragraph" w:customStyle="1" w:styleId="204">
    <w:name w:val="204"/>
    <w:aliases w:val="2 cijferregel h"/>
    <w:basedOn w:val="Normal"/>
    <w:pPr>
      <w:tabs>
        <w:tab w:val="left" w:pos="1134"/>
        <w:tab w:val="decimal" w:pos="8100"/>
        <w:tab w:val="decimal" w:pos="9380"/>
      </w:tabs>
      <w:ind w:left="567" w:right="-170" w:hanging="567"/>
    </w:pPr>
  </w:style>
  <w:style w:type="paragraph" w:customStyle="1" w:styleId="203">
    <w:name w:val="203"/>
    <w:aliases w:val="kop boven 1/2 h"/>
    <w:basedOn w:val="Normal"/>
    <w:next w:val="201"/>
    <w:pPr>
      <w:tabs>
        <w:tab w:val="center" w:pos="8340"/>
      </w:tabs>
    </w:pPr>
  </w:style>
  <w:style w:type="paragraph" w:customStyle="1" w:styleId="205">
    <w:name w:val="205"/>
    <w:aliases w:val="2 enkele telstreep h"/>
    <w:basedOn w:val="Normal"/>
    <w:next w:val="204"/>
    <w:pPr>
      <w:tabs>
        <w:tab w:val="left" w:pos="7300"/>
        <w:tab w:val="decimal" w:pos="8100"/>
        <w:tab w:val="left" w:pos="8580"/>
        <w:tab w:val="decimal" w:pos="9380"/>
      </w:tabs>
      <w:spacing w:line="140" w:lineRule="exact"/>
    </w:pPr>
    <w:rPr>
      <w:position w:val="4"/>
      <w:sz w:val="10"/>
    </w:rPr>
  </w:style>
  <w:style w:type="paragraph" w:customStyle="1" w:styleId="207">
    <w:name w:val="207"/>
    <w:aliases w:val="2 dubbele streep h"/>
    <w:basedOn w:val="205"/>
    <w:next w:val="000"/>
    <w:rPr>
      <w:position w:val="6"/>
      <w:sz w:val="14"/>
    </w:rPr>
  </w:style>
  <w:style w:type="paragraph" w:customStyle="1" w:styleId="300">
    <w:name w:val="300"/>
    <w:aliases w:val="3 kop h"/>
    <w:basedOn w:val="Normal"/>
    <w:next w:val="301"/>
    <w:pPr>
      <w:tabs>
        <w:tab w:val="center" w:pos="6420"/>
        <w:tab w:val="center" w:pos="7700"/>
        <w:tab w:val="center" w:pos="8980"/>
      </w:tabs>
      <w:ind w:right="-170"/>
    </w:pPr>
  </w:style>
  <w:style w:type="paragraph" w:customStyle="1" w:styleId="301">
    <w:name w:val="301"/>
    <w:aliases w:val="3 kopstreep h"/>
    <w:basedOn w:val="Normal"/>
    <w:next w:val="302"/>
    <w:pPr>
      <w:tabs>
        <w:tab w:val="left" w:pos="6020"/>
        <w:tab w:val="right" w:pos="6820"/>
        <w:tab w:val="left" w:pos="7300"/>
        <w:tab w:val="right" w:pos="8100"/>
        <w:tab w:val="left" w:pos="8580"/>
        <w:tab w:val="right" w:pos="9380"/>
      </w:tabs>
      <w:spacing w:after="140" w:line="140" w:lineRule="exact"/>
    </w:pPr>
    <w:rPr>
      <w:sz w:val="10"/>
    </w:rPr>
  </w:style>
  <w:style w:type="paragraph" w:customStyle="1" w:styleId="302">
    <w:name w:val="302"/>
    <w:aliases w:val="3 €-tekens h"/>
    <w:basedOn w:val="Normal"/>
    <w:next w:val="304"/>
    <w:pPr>
      <w:tabs>
        <w:tab w:val="center" w:pos="6420"/>
        <w:tab w:val="center" w:pos="7700"/>
        <w:tab w:val="center" w:pos="8980"/>
      </w:tabs>
      <w:spacing w:after="140"/>
    </w:pPr>
  </w:style>
  <w:style w:type="paragraph" w:customStyle="1" w:styleId="304">
    <w:name w:val="304"/>
    <w:aliases w:val="3 cijferregel h"/>
    <w:basedOn w:val="Normal"/>
    <w:pPr>
      <w:tabs>
        <w:tab w:val="left" w:pos="1134"/>
        <w:tab w:val="decimal" w:pos="6820"/>
        <w:tab w:val="decimal" w:pos="8100"/>
        <w:tab w:val="decimal" w:pos="9380"/>
      </w:tabs>
      <w:ind w:left="567" w:right="-170" w:hanging="567"/>
    </w:pPr>
  </w:style>
  <w:style w:type="paragraph" w:customStyle="1" w:styleId="303">
    <w:name w:val="303"/>
    <w:aliases w:val="kop boven 1/3 h"/>
    <w:basedOn w:val="Normal"/>
    <w:next w:val="301"/>
    <w:pPr>
      <w:tabs>
        <w:tab w:val="center" w:pos="7700"/>
      </w:tabs>
    </w:pPr>
  </w:style>
  <w:style w:type="paragraph" w:customStyle="1" w:styleId="305">
    <w:name w:val="305"/>
    <w:aliases w:val="3 enkele telstreep h"/>
    <w:basedOn w:val="Normal"/>
    <w:next w:val="304"/>
    <w:pPr>
      <w:tabs>
        <w:tab w:val="left" w:pos="6020"/>
        <w:tab w:val="decimal" w:pos="6820"/>
        <w:tab w:val="left" w:pos="7300"/>
        <w:tab w:val="decimal" w:pos="8100"/>
        <w:tab w:val="left" w:pos="8580"/>
        <w:tab w:val="decimal" w:pos="9380"/>
      </w:tabs>
      <w:spacing w:line="140" w:lineRule="exact"/>
    </w:pPr>
    <w:rPr>
      <w:position w:val="4"/>
      <w:sz w:val="10"/>
    </w:rPr>
  </w:style>
  <w:style w:type="paragraph" w:customStyle="1" w:styleId="307">
    <w:name w:val="307"/>
    <w:aliases w:val="3 dubbele streep h"/>
    <w:basedOn w:val="305"/>
    <w:next w:val="000"/>
    <w:rPr>
      <w:position w:val="6"/>
      <w:sz w:val="14"/>
    </w:rPr>
  </w:style>
  <w:style w:type="paragraph" w:customStyle="1" w:styleId="400">
    <w:name w:val="400"/>
    <w:aliases w:val="4 kop h"/>
    <w:basedOn w:val="Normal"/>
    <w:next w:val="401"/>
    <w:rsid w:val="00431517"/>
    <w:pPr>
      <w:tabs>
        <w:tab w:val="center" w:pos="5140"/>
        <w:tab w:val="center" w:pos="6420"/>
        <w:tab w:val="center" w:pos="7700"/>
        <w:tab w:val="center" w:pos="8980"/>
      </w:tabs>
      <w:ind w:right="-170"/>
    </w:pPr>
    <w:rPr>
      <w:rFonts w:ascii="Arial" w:hAnsi="Arial"/>
      <w:sz w:val="20"/>
    </w:rPr>
  </w:style>
  <w:style w:type="paragraph" w:customStyle="1" w:styleId="401">
    <w:name w:val="401"/>
    <w:aliases w:val="4 kopstreep h"/>
    <w:basedOn w:val="Normal"/>
    <w:next w:val="402"/>
    <w:pPr>
      <w:tabs>
        <w:tab w:val="left" w:pos="4740"/>
        <w:tab w:val="right" w:pos="5540"/>
        <w:tab w:val="left" w:pos="6020"/>
        <w:tab w:val="right" w:pos="6820"/>
        <w:tab w:val="left" w:pos="7300"/>
        <w:tab w:val="right" w:pos="8100"/>
        <w:tab w:val="left" w:pos="8580"/>
        <w:tab w:val="right" w:pos="9380"/>
      </w:tabs>
      <w:spacing w:after="140" w:line="140" w:lineRule="exact"/>
    </w:pPr>
    <w:rPr>
      <w:sz w:val="10"/>
    </w:rPr>
  </w:style>
  <w:style w:type="paragraph" w:customStyle="1" w:styleId="402">
    <w:name w:val="402"/>
    <w:aliases w:val="4 €-tekens h"/>
    <w:basedOn w:val="Normal"/>
    <w:next w:val="404"/>
    <w:pPr>
      <w:tabs>
        <w:tab w:val="center" w:pos="5140"/>
        <w:tab w:val="center" w:pos="6420"/>
        <w:tab w:val="center" w:pos="7700"/>
        <w:tab w:val="center" w:pos="8980"/>
      </w:tabs>
      <w:spacing w:after="140"/>
    </w:pPr>
  </w:style>
  <w:style w:type="paragraph" w:customStyle="1" w:styleId="404">
    <w:name w:val="404"/>
    <w:aliases w:val="4 cijferregel h"/>
    <w:basedOn w:val="Normal"/>
    <w:link w:val="404Char"/>
    <w:pPr>
      <w:tabs>
        <w:tab w:val="left" w:pos="1134"/>
        <w:tab w:val="decimal" w:pos="5540"/>
        <w:tab w:val="decimal" w:pos="6820"/>
        <w:tab w:val="decimal" w:pos="8100"/>
        <w:tab w:val="decimal" w:pos="9380"/>
      </w:tabs>
      <w:ind w:left="567" w:right="-170" w:hanging="567"/>
    </w:pPr>
  </w:style>
  <w:style w:type="paragraph" w:styleId="TOC4">
    <w:name w:val="toc 4"/>
    <w:basedOn w:val="Normal"/>
    <w:next w:val="Normal"/>
    <w:autoRedefine/>
    <w:semiHidden/>
    <w:pPr>
      <w:ind w:left="720"/>
    </w:pPr>
  </w:style>
  <w:style w:type="paragraph" w:customStyle="1" w:styleId="501">
    <w:name w:val="501"/>
    <w:aliases w:val="5 kopstreep h"/>
    <w:basedOn w:val="Normal"/>
    <w:next w:val="502"/>
    <w:pPr>
      <w:tabs>
        <w:tab w:val="left" w:pos="3460"/>
        <w:tab w:val="right" w:pos="4260"/>
        <w:tab w:val="left" w:pos="4740"/>
        <w:tab w:val="right" w:pos="5540"/>
        <w:tab w:val="left" w:pos="6020"/>
        <w:tab w:val="right" w:pos="6820"/>
        <w:tab w:val="left" w:pos="7300"/>
        <w:tab w:val="right" w:pos="8100"/>
        <w:tab w:val="left" w:pos="8580"/>
        <w:tab w:val="right" w:pos="9380"/>
      </w:tabs>
      <w:spacing w:after="140" w:line="140" w:lineRule="exact"/>
    </w:pPr>
    <w:rPr>
      <w:sz w:val="10"/>
    </w:rPr>
  </w:style>
  <w:style w:type="paragraph" w:customStyle="1" w:styleId="502">
    <w:name w:val="502"/>
    <w:aliases w:val="5 €-tekens h"/>
    <w:basedOn w:val="Normal"/>
    <w:next w:val="504"/>
    <w:pPr>
      <w:tabs>
        <w:tab w:val="center" w:pos="3860"/>
        <w:tab w:val="center" w:pos="5140"/>
        <w:tab w:val="center" w:pos="6420"/>
        <w:tab w:val="center" w:pos="7700"/>
        <w:tab w:val="center" w:pos="8980"/>
      </w:tabs>
      <w:spacing w:after="140"/>
    </w:pPr>
  </w:style>
  <w:style w:type="paragraph" w:customStyle="1" w:styleId="504">
    <w:name w:val="504"/>
    <w:aliases w:val="5 cijferregel h"/>
    <w:basedOn w:val="Normal"/>
    <w:link w:val="504Char"/>
    <w:pPr>
      <w:tabs>
        <w:tab w:val="left" w:pos="1134"/>
        <w:tab w:val="decimal" w:pos="4260"/>
        <w:tab w:val="decimal" w:pos="5540"/>
        <w:tab w:val="decimal" w:pos="6820"/>
        <w:tab w:val="decimal" w:pos="8100"/>
        <w:tab w:val="decimal" w:pos="9380"/>
      </w:tabs>
      <w:ind w:left="567" w:right="-170" w:hanging="567"/>
    </w:pPr>
  </w:style>
  <w:style w:type="paragraph" w:customStyle="1" w:styleId="403">
    <w:name w:val="403"/>
    <w:aliases w:val="kop boven 1/4 h"/>
    <w:basedOn w:val="Normal"/>
    <w:next w:val="401"/>
    <w:link w:val="403Char"/>
    <w:rsid w:val="00431517"/>
    <w:pPr>
      <w:tabs>
        <w:tab w:val="center" w:pos="5780"/>
        <w:tab w:val="center" w:pos="8340"/>
      </w:tabs>
    </w:pPr>
    <w:rPr>
      <w:rFonts w:ascii="Arial" w:hAnsi="Arial"/>
      <w:sz w:val="20"/>
    </w:rPr>
  </w:style>
  <w:style w:type="paragraph" w:customStyle="1" w:styleId="405">
    <w:name w:val="405"/>
    <w:aliases w:val="4 enkele telstreep h"/>
    <w:basedOn w:val="Normal"/>
    <w:next w:val="404"/>
    <w:pPr>
      <w:tabs>
        <w:tab w:val="left" w:pos="4740"/>
        <w:tab w:val="decimal" w:pos="5540"/>
        <w:tab w:val="left" w:pos="6020"/>
        <w:tab w:val="decimal" w:pos="6820"/>
        <w:tab w:val="left" w:pos="7300"/>
        <w:tab w:val="decimal" w:pos="8100"/>
        <w:tab w:val="left" w:pos="8580"/>
        <w:tab w:val="decimal" w:pos="9380"/>
      </w:tabs>
      <w:spacing w:line="140" w:lineRule="exact"/>
    </w:pPr>
    <w:rPr>
      <w:position w:val="4"/>
      <w:sz w:val="10"/>
    </w:rPr>
  </w:style>
  <w:style w:type="paragraph" w:customStyle="1" w:styleId="407">
    <w:name w:val="407"/>
    <w:aliases w:val="4 dubbele streep h"/>
    <w:basedOn w:val="405"/>
    <w:next w:val="000"/>
    <w:rPr>
      <w:position w:val="6"/>
      <w:sz w:val="14"/>
    </w:rPr>
  </w:style>
  <w:style w:type="paragraph" w:customStyle="1" w:styleId="500">
    <w:name w:val="500"/>
    <w:aliases w:val="5 kop h"/>
    <w:basedOn w:val="Normal"/>
    <w:next w:val="501"/>
    <w:pPr>
      <w:tabs>
        <w:tab w:val="center" w:pos="3860"/>
        <w:tab w:val="center" w:pos="5140"/>
        <w:tab w:val="center" w:pos="6420"/>
        <w:tab w:val="center" w:pos="7700"/>
        <w:tab w:val="center" w:pos="8980"/>
      </w:tabs>
      <w:ind w:right="-170"/>
    </w:pPr>
  </w:style>
  <w:style w:type="paragraph" w:customStyle="1" w:styleId="503">
    <w:name w:val="503"/>
    <w:aliases w:val="kop boven 1/5 h"/>
    <w:basedOn w:val="Normal"/>
    <w:next w:val="501"/>
    <w:rsid w:val="00431517"/>
    <w:pPr>
      <w:tabs>
        <w:tab w:val="center" w:pos="6420"/>
      </w:tabs>
    </w:pPr>
    <w:rPr>
      <w:rFonts w:ascii="Arial" w:hAnsi="Arial"/>
      <w:sz w:val="20"/>
    </w:rPr>
  </w:style>
  <w:style w:type="paragraph" w:customStyle="1" w:styleId="505">
    <w:name w:val="505"/>
    <w:aliases w:val="5 enkele telstreep h"/>
    <w:basedOn w:val="Normal"/>
    <w:next w:val="504"/>
    <w:pPr>
      <w:tabs>
        <w:tab w:val="left" w:pos="3460"/>
        <w:tab w:val="decimal" w:pos="4260"/>
        <w:tab w:val="left" w:pos="4740"/>
        <w:tab w:val="decimal" w:pos="5540"/>
        <w:tab w:val="left" w:pos="6020"/>
        <w:tab w:val="decimal" w:pos="6820"/>
        <w:tab w:val="left" w:pos="7300"/>
        <w:tab w:val="decimal" w:pos="8100"/>
        <w:tab w:val="left" w:pos="8580"/>
        <w:tab w:val="decimal" w:pos="9380"/>
      </w:tabs>
      <w:spacing w:line="140" w:lineRule="exact"/>
    </w:pPr>
    <w:rPr>
      <w:position w:val="4"/>
      <w:sz w:val="10"/>
    </w:rPr>
  </w:style>
  <w:style w:type="paragraph" w:customStyle="1" w:styleId="507">
    <w:name w:val="507"/>
    <w:aliases w:val="5 dubbele streep h"/>
    <w:basedOn w:val="505"/>
    <w:next w:val="000"/>
    <w:rPr>
      <w:position w:val="6"/>
      <w:sz w:val="14"/>
    </w:rPr>
  </w:style>
  <w:style w:type="paragraph" w:customStyle="1" w:styleId="603">
    <w:name w:val="603"/>
    <w:aliases w:val="kop boven 1/2 3/4 5/6 h"/>
    <w:basedOn w:val="Normal"/>
    <w:pPr>
      <w:tabs>
        <w:tab w:val="center" w:pos="3221"/>
        <w:tab w:val="center" w:pos="5780"/>
        <w:tab w:val="center" w:pos="8341"/>
      </w:tabs>
    </w:pPr>
    <w:rPr>
      <w:lang w:val="nl-NL"/>
    </w:rPr>
  </w:style>
  <w:style w:type="paragraph" w:customStyle="1" w:styleId="a200">
    <w:name w:val="a200"/>
    <w:aliases w:val="2 kop h en 100%"/>
    <w:basedOn w:val="Normal"/>
    <w:next w:val="a201"/>
    <w:pPr>
      <w:tabs>
        <w:tab w:val="center" w:pos="6820"/>
        <w:tab w:val="center" w:pos="8580"/>
      </w:tabs>
      <w:ind w:right="-170"/>
    </w:pPr>
  </w:style>
  <w:style w:type="paragraph" w:customStyle="1" w:styleId="a201">
    <w:name w:val="a201"/>
    <w:aliases w:val="2 kopstreep h en 100%"/>
    <w:basedOn w:val="Normal"/>
    <w:next w:val="a202"/>
    <w:pPr>
      <w:tabs>
        <w:tab w:val="left" w:pos="6020"/>
        <w:tab w:val="right" w:pos="7620"/>
        <w:tab w:val="left" w:pos="7780"/>
        <w:tab w:val="right" w:pos="9380"/>
      </w:tabs>
      <w:spacing w:after="140" w:line="140" w:lineRule="exact"/>
    </w:pPr>
    <w:rPr>
      <w:sz w:val="10"/>
    </w:rPr>
  </w:style>
  <w:style w:type="paragraph" w:customStyle="1" w:styleId="a202">
    <w:name w:val="a202"/>
    <w:aliases w:val="2 €- en %-tekens h en 100%"/>
    <w:basedOn w:val="Normal"/>
    <w:next w:val="a204"/>
    <w:pPr>
      <w:tabs>
        <w:tab w:val="center" w:pos="6420"/>
        <w:tab w:val="center" w:pos="7380"/>
        <w:tab w:val="center" w:pos="8180"/>
        <w:tab w:val="center" w:pos="9140"/>
      </w:tabs>
      <w:spacing w:after="140"/>
    </w:pPr>
  </w:style>
  <w:style w:type="paragraph" w:customStyle="1" w:styleId="a204">
    <w:name w:val="a204"/>
    <w:aliases w:val="2 cijferregel h en 100%"/>
    <w:basedOn w:val="Normal"/>
    <w:pPr>
      <w:tabs>
        <w:tab w:val="left" w:pos="1134"/>
        <w:tab w:val="decimal" w:pos="6820"/>
        <w:tab w:val="decimal" w:pos="7620"/>
        <w:tab w:val="decimal" w:pos="8580"/>
        <w:tab w:val="decimal" w:pos="9380"/>
      </w:tabs>
      <w:ind w:left="567" w:right="-170" w:hanging="567"/>
    </w:pPr>
  </w:style>
  <w:style w:type="paragraph" w:customStyle="1" w:styleId="a205">
    <w:name w:val="a205"/>
    <w:aliases w:val="2 enkele telstreep h en 100%"/>
    <w:basedOn w:val="Normal"/>
    <w:next w:val="a204"/>
    <w:pPr>
      <w:tabs>
        <w:tab w:val="left" w:pos="6020"/>
        <w:tab w:val="decimal" w:pos="6820"/>
        <w:tab w:val="left" w:pos="7140"/>
        <w:tab w:val="decimal" w:pos="7620"/>
        <w:tab w:val="left" w:pos="7780"/>
        <w:tab w:val="decimal" w:pos="8580"/>
        <w:tab w:val="left" w:pos="8900"/>
        <w:tab w:val="decimal" w:pos="9380"/>
      </w:tabs>
      <w:spacing w:line="140" w:lineRule="exact"/>
    </w:pPr>
    <w:rPr>
      <w:position w:val="4"/>
      <w:sz w:val="10"/>
    </w:rPr>
  </w:style>
  <w:style w:type="paragraph" w:customStyle="1" w:styleId="a207">
    <w:name w:val="a207"/>
    <w:aliases w:val="2 dubbele streep h en 100%"/>
    <w:basedOn w:val="a205"/>
    <w:next w:val="000"/>
    <w:rPr>
      <w:position w:val="6"/>
      <w:sz w:val="14"/>
    </w:rPr>
  </w:style>
  <w:style w:type="paragraph" w:styleId="Footer">
    <w:name w:val="footer"/>
    <w:basedOn w:val="000"/>
    <w:link w:val="FooterChar"/>
    <w:uiPriority w:val="99"/>
    <w:pPr>
      <w:tabs>
        <w:tab w:val="center" w:pos="4680"/>
        <w:tab w:val="right" w:pos="9380"/>
      </w:tabs>
    </w:pPr>
  </w:style>
  <w:style w:type="paragraph" w:styleId="Header">
    <w:name w:val="header"/>
    <w:basedOn w:val="000"/>
    <w:link w:val="HeaderChar"/>
    <w:uiPriority w:val="99"/>
    <w:pPr>
      <w:tabs>
        <w:tab w:val="center" w:pos="4680"/>
        <w:tab w:val="right" w:pos="9380"/>
      </w:tabs>
    </w:pPr>
  </w:style>
  <w:style w:type="paragraph" w:styleId="ListBullet">
    <w:name w:val="List Bullet"/>
    <w:basedOn w:val="000"/>
    <w:pPr>
      <w:ind w:left="567" w:hanging="567"/>
    </w:pPr>
  </w:style>
  <w:style w:type="character" w:styleId="PageNumber">
    <w:name w:val="page number"/>
    <w:basedOn w:val="DefaultParagraphFont"/>
    <w:rPr>
      <w:rFonts w:cs="Times New Roman"/>
      <w:sz w:val="24"/>
      <w:szCs w:val="24"/>
      <w:lang w:val="nl-NL"/>
    </w:rPr>
  </w:style>
  <w:style w:type="paragraph" w:customStyle="1" w:styleId="601">
    <w:name w:val="601"/>
    <w:aliases w:val="6 kopstreep h"/>
    <w:basedOn w:val="Normal"/>
    <w:next w:val="602"/>
    <w:pPr>
      <w:tabs>
        <w:tab w:val="left" w:pos="2180"/>
        <w:tab w:val="right" w:pos="2980"/>
        <w:tab w:val="left" w:pos="3460"/>
        <w:tab w:val="right" w:pos="4260"/>
        <w:tab w:val="left" w:pos="4740"/>
        <w:tab w:val="right" w:pos="5540"/>
        <w:tab w:val="left" w:pos="6020"/>
        <w:tab w:val="right" w:pos="6820"/>
        <w:tab w:val="left" w:pos="7300"/>
        <w:tab w:val="right" w:pos="8100"/>
        <w:tab w:val="left" w:pos="8580"/>
        <w:tab w:val="right" w:pos="9380"/>
      </w:tabs>
      <w:spacing w:after="140" w:line="140" w:lineRule="exact"/>
    </w:pPr>
    <w:rPr>
      <w:sz w:val="10"/>
      <w:szCs w:val="10"/>
    </w:rPr>
  </w:style>
  <w:style w:type="paragraph" w:customStyle="1" w:styleId="602">
    <w:name w:val="602"/>
    <w:aliases w:val="6 €-tekens h"/>
    <w:basedOn w:val="Normal"/>
    <w:next w:val="604"/>
    <w:pPr>
      <w:tabs>
        <w:tab w:val="center" w:pos="2580"/>
        <w:tab w:val="center" w:pos="3860"/>
        <w:tab w:val="center" w:pos="5140"/>
        <w:tab w:val="center" w:pos="6420"/>
        <w:tab w:val="center" w:pos="7700"/>
        <w:tab w:val="center" w:pos="8980"/>
      </w:tabs>
      <w:spacing w:after="140"/>
    </w:pPr>
    <w:rPr>
      <w:lang w:val="nl-NL"/>
    </w:rPr>
  </w:style>
  <w:style w:type="paragraph" w:customStyle="1" w:styleId="604">
    <w:name w:val="604"/>
    <w:aliases w:val="6 cijferregel h"/>
    <w:basedOn w:val="Normal"/>
    <w:pPr>
      <w:tabs>
        <w:tab w:val="left" w:pos="1134"/>
        <w:tab w:val="decimal" w:pos="2980"/>
        <w:tab w:val="decimal" w:pos="4260"/>
        <w:tab w:val="decimal" w:pos="5540"/>
        <w:tab w:val="decimal" w:pos="6820"/>
        <w:tab w:val="decimal" w:pos="8100"/>
        <w:tab w:val="decimal" w:pos="9380"/>
      </w:tabs>
      <w:ind w:left="567" w:right="-170" w:hanging="567"/>
    </w:pPr>
    <w:rPr>
      <w:lang w:val="nl-NL"/>
    </w:rPr>
  </w:style>
  <w:style w:type="paragraph" w:customStyle="1" w:styleId="605">
    <w:name w:val="605"/>
    <w:aliases w:val="6 enkele telstreep h"/>
    <w:basedOn w:val="Normal"/>
    <w:next w:val="604"/>
    <w:pPr>
      <w:tabs>
        <w:tab w:val="left" w:pos="2180"/>
        <w:tab w:val="decimal" w:pos="2980"/>
        <w:tab w:val="left" w:pos="3460"/>
        <w:tab w:val="decimal" w:pos="4260"/>
        <w:tab w:val="left" w:pos="4740"/>
        <w:tab w:val="decimal" w:pos="5540"/>
        <w:tab w:val="left" w:pos="6020"/>
        <w:tab w:val="decimal" w:pos="6820"/>
        <w:tab w:val="left" w:pos="7300"/>
        <w:tab w:val="decimal" w:pos="8100"/>
        <w:tab w:val="left" w:pos="8580"/>
        <w:tab w:val="decimal" w:pos="9380"/>
      </w:tabs>
      <w:spacing w:line="140" w:lineRule="exact"/>
    </w:pPr>
    <w:rPr>
      <w:position w:val="4"/>
      <w:sz w:val="10"/>
      <w:szCs w:val="10"/>
      <w:lang w:val="nl-NL"/>
    </w:rPr>
  </w:style>
  <w:style w:type="paragraph" w:customStyle="1" w:styleId="607">
    <w:name w:val="607"/>
    <w:aliases w:val="6 dubbele streep h"/>
    <w:basedOn w:val="605"/>
    <w:next w:val="000"/>
    <w:rPr>
      <w:position w:val="6"/>
      <w:sz w:val="14"/>
      <w:szCs w:val="14"/>
    </w:rPr>
  </w:style>
  <w:style w:type="paragraph" w:customStyle="1" w:styleId="600">
    <w:name w:val="600"/>
    <w:aliases w:val="6 kop h"/>
    <w:basedOn w:val="Normal"/>
    <w:next w:val="601"/>
    <w:pPr>
      <w:tabs>
        <w:tab w:val="center" w:pos="2580"/>
        <w:tab w:val="center" w:pos="3860"/>
        <w:tab w:val="center" w:pos="5140"/>
        <w:tab w:val="center" w:pos="6420"/>
        <w:tab w:val="center" w:pos="7700"/>
        <w:tab w:val="center" w:pos="8980"/>
      </w:tabs>
      <w:ind w:right="-170"/>
    </w:pPr>
  </w:style>
  <w:style w:type="paragraph" w:customStyle="1" w:styleId="221">
    <w:name w:val="221"/>
    <w:aliases w:val="2 kopstreep t"/>
    <w:basedOn w:val="Normal"/>
    <w:next w:val="222"/>
    <w:pPr>
      <w:tabs>
        <w:tab w:val="left" w:pos="7660"/>
        <w:tab w:val="right" w:pos="8280"/>
        <w:tab w:val="left" w:pos="8760"/>
        <w:tab w:val="right" w:pos="9380"/>
      </w:tabs>
      <w:spacing w:after="140" w:line="140" w:lineRule="exact"/>
    </w:pPr>
    <w:rPr>
      <w:sz w:val="10"/>
      <w:szCs w:val="10"/>
    </w:rPr>
  </w:style>
  <w:style w:type="paragraph" w:customStyle="1" w:styleId="222">
    <w:name w:val="222"/>
    <w:aliases w:val="2 €-tekens t"/>
    <w:basedOn w:val="Normal"/>
    <w:next w:val="224"/>
    <w:link w:val="222Char"/>
    <w:pPr>
      <w:tabs>
        <w:tab w:val="center" w:pos="7980"/>
        <w:tab w:val="center" w:pos="9080"/>
      </w:tabs>
      <w:spacing w:after="140"/>
    </w:pPr>
  </w:style>
  <w:style w:type="paragraph" w:customStyle="1" w:styleId="224">
    <w:name w:val="224"/>
    <w:aliases w:val="2 cijferregel t"/>
    <w:basedOn w:val="Normal"/>
    <w:pPr>
      <w:tabs>
        <w:tab w:val="left" w:pos="1134"/>
        <w:tab w:val="decimal" w:pos="8280"/>
        <w:tab w:val="decimal" w:pos="9380"/>
      </w:tabs>
      <w:ind w:left="567" w:right="-170" w:hanging="567"/>
    </w:pPr>
  </w:style>
  <w:style w:type="character" w:customStyle="1" w:styleId="222Char">
    <w:name w:val="222 Char"/>
    <w:aliases w:val="2 €-tekens t Char"/>
    <w:basedOn w:val="DefaultParagraphFont"/>
    <w:link w:val="222"/>
    <w:rPr>
      <w:sz w:val="24"/>
      <w:lang w:val="en-GB" w:eastAsia="en-US" w:bidi="ar-SA"/>
    </w:rPr>
  </w:style>
  <w:style w:type="paragraph" w:customStyle="1" w:styleId="220">
    <w:name w:val="220"/>
    <w:aliases w:val="2 kop t"/>
    <w:basedOn w:val="Normal"/>
    <w:next w:val="221"/>
    <w:pPr>
      <w:tabs>
        <w:tab w:val="center" w:pos="7980"/>
        <w:tab w:val="center" w:pos="9080"/>
      </w:tabs>
      <w:ind w:right="-170"/>
    </w:pPr>
  </w:style>
  <w:style w:type="paragraph" w:customStyle="1" w:styleId="225">
    <w:name w:val="225"/>
    <w:aliases w:val="2 enkele telstreep t"/>
    <w:basedOn w:val="Normal"/>
    <w:next w:val="224"/>
    <w:link w:val="225Char"/>
    <w:pPr>
      <w:tabs>
        <w:tab w:val="left" w:pos="7660"/>
        <w:tab w:val="decimal" w:pos="8280"/>
        <w:tab w:val="left" w:pos="8760"/>
        <w:tab w:val="decimal" w:pos="9380"/>
      </w:tabs>
      <w:spacing w:line="140" w:lineRule="exact"/>
    </w:pPr>
    <w:rPr>
      <w:position w:val="4"/>
      <w:sz w:val="10"/>
      <w:szCs w:val="10"/>
    </w:rPr>
  </w:style>
  <w:style w:type="character" w:customStyle="1" w:styleId="225Char">
    <w:name w:val="225 Char"/>
    <w:aliases w:val="2 enkele telstreep t Char"/>
    <w:basedOn w:val="DefaultParagraphFont"/>
    <w:link w:val="225"/>
    <w:rPr>
      <w:position w:val="4"/>
      <w:sz w:val="10"/>
      <w:szCs w:val="10"/>
      <w:lang w:val="en-GB" w:eastAsia="en-US" w:bidi="ar-SA"/>
    </w:rPr>
  </w:style>
  <w:style w:type="paragraph" w:customStyle="1" w:styleId="227">
    <w:name w:val="227"/>
    <w:aliases w:val="2 dubbele streep t"/>
    <w:basedOn w:val="225"/>
    <w:next w:val="000"/>
    <w:rPr>
      <w:position w:val="6"/>
      <w:sz w:val="14"/>
      <w:szCs w:val="14"/>
    </w:rPr>
  </w:style>
  <w:style w:type="paragraph" w:customStyle="1" w:styleId="421">
    <w:name w:val="421"/>
    <w:aliases w:val="4 kopstreep t"/>
    <w:basedOn w:val="Normal"/>
    <w:next w:val="422"/>
    <w:pPr>
      <w:tabs>
        <w:tab w:val="left" w:pos="5460"/>
        <w:tab w:val="right" w:pos="6080"/>
        <w:tab w:val="left" w:pos="6560"/>
        <w:tab w:val="right" w:pos="7180"/>
        <w:tab w:val="left" w:pos="7660"/>
        <w:tab w:val="right" w:pos="8280"/>
        <w:tab w:val="left" w:pos="8760"/>
        <w:tab w:val="right" w:pos="9380"/>
      </w:tabs>
      <w:spacing w:after="140" w:line="140" w:lineRule="exact"/>
    </w:pPr>
    <w:rPr>
      <w:sz w:val="10"/>
      <w:szCs w:val="10"/>
    </w:rPr>
  </w:style>
  <w:style w:type="paragraph" w:customStyle="1" w:styleId="422">
    <w:name w:val="422"/>
    <w:aliases w:val="4 €-tekens t"/>
    <w:basedOn w:val="Normal"/>
    <w:next w:val="424"/>
    <w:pPr>
      <w:tabs>
        <w:tab w:val="center" w:pos="5780"/>
        <w:tab w:val="center" w:pos="6880"/>
        <w:tab w:val="center" w:pos="7980"/>
        <w:tab w:val="center" w:pos="9080"/>
      </w:tabs>
      <w:spacing w:after="140"/>
    </w:pPr>
  </w:style>
  <w:style w:type="paragraph" w:customStyle="1" w:styleId="424">
    <w:name w:val="424"/>
    <w:aliases w:val="4 cijferregel t"/>
    <w:basedOn w:val="Normal"/>
    <w:pPr>
      <w:tabs>
        <w:tab w:val="left" w:pos="1134"/>
        <w:tab w:val="decimal" w:pos="6080"/>
        <w:tab w:val="decimal" w:pos="7180"/>
        <w:tab w:val="decimal" w:pos="8280"/>
        <w:tab w:val="decimal" w:pos="9380"/>
      </w:tabs>
      <w:ind w:left="567" w:right="-170" w:hanging="567"/>
    </w:pPr>
  </w:style>
  <w:style w:type="paragraph" w:customStyle="1" w:styleId="420">
    <w:name w:val="420"/>
    <w:aliases w:val="4 kop t"/>
    <w:basedOn w:val="Normal"/>
    <w:next w:val="421"/>
    <w:pPr>
      <w:tabs>
        <w:tab w:val="center" w:pos="5780"/>
        <w:tab w:val="center" w:pos="6880"/>
        <w:tab w:val="center" w:pos="7980"/>
        <w:tab w:val="center" w:pos="9080"/>
      </w:tabs>
      <w:ind w:right="-170"/>
    </w:pPr>
  </w:style>
  <w:style w:type="paragraph" w:styleId="BalloonText">
    <w:name w:val="Balloon Text"/>
    <w:basedOn w:val="Normal"/>
    <w:semiHidden/>
    <w:rPr>
      <w:sz w:val="16"/>
      <w:szCs w:val="16"/>
    </w:rPr>
  </w:style>
  <w:style w:type="paragraph" w:styleId="TOC5">
    <w:name w:val="toc 5"/>
    <w:basedOn w:val="Normal"/>
    <w:next w:val="Normal"/>
    <w:autoRedefine/>
    <w:semiHidden/>
    <w:pPr>
      <w:ind w:left="960"/>
    </w:pPr>
  </w:style>
  <w:style w:type="character" w:styleId="FootnoteReference">
    <w:name w:val="footnote reference"/>
    <w:basedOn w:val="DefaultParagraphFont"/>
    <w:semiHidden/>
    <w:rPr>
      <w:position w:val="6"/>
      <w:sz w:val="16"/>
    </w:rPr>
  </w:style>
  <w:style w:type="paragraph" w:styleId="FootnoteText">
    <w:name w:val="footnote text"/>
    <w:basedOn w:val="000"/>
    <w:semiHidden/>
    <w:pPr>
      <w:ind w:left="480" w:hanging="480"/>
    </w:pPr>
  </w:style>
  <w:style w:type="paragraph" w:styleId="ListBullet3">
    <w:name w:val="List Bullet 3"/>
    <w:basedOn w:val="000"/>
    <w:pPr>
      <w:ind w:left="1701" w:hanging="567"/>
    </w:pPr>
  </w:style>
  <w:style w:type="paragraph" w:customStyle="1" w:styleId="015">
    <w:name w:val="015"/>
    <w:aliases w:val="plaatsnaam"/>
    <w:basedOn w:val="010"/>
    <w:next w:val="016"/>
    <w:rPr>
      <w:caps/>
    </w:rPr>
  </w:style>
  <w:style w:type="paragraph" w:customStyle="1" w:styleId="017">
    <w:name w:val="017"/>
    <w:aliases w:val="onderwerp"/>
    <w:basedOn w:val="010"/>
  </w:style>
  <w:style w:type="paragraph" w:customStyle="1" w:styleId="018">
    <w:name w:val="018"/>
    <w:aliases w:val="financieel verslag"/>
    <w:basedOn w:val="000"/>
    <w:next w:val="Normal"/>
    <w:pPr>
      <w:spacing w:before="2200" w:after="60"/>
      <w:jc w:val="center"/>
    </w:pPr>
    <w:rPr>
      <w:b/>
      <w:caps/>
    </w:rPr>
  </w:style>
  <w:style w:type="paragraph" w:customStyle="1" w:styleId="019">
    <w:name w:val="019"/>
    <w:aliases w:val="van (bij fin. verslag)"/>
    <w:basedOn w:val="000"/>
    <w:next w:val="014"/>
    <w:pPr>
      <w:spacing w:after="60"/>
      <w:jc w:val="center"/>
    </w:pPr>
  </w:style>
  <w:style w:type="paragraph" w:customStyle="1" w:styleId="020">
    <w:name w:val="020"/>
    <w:aliases w:val="streep"/>
    <w:basedOn w:val="000"/>
    <w:next w:val="000"/>
    <w:pPr>
      <w:pBdr>
        <w:bottom w:val="single" w:sz="6" w:space="0" w:color="auto"/>
      </w:pBdr>
      <w:tabs>
        <w:tab w:val="right" w:pos="9380"/>
      </w:tabs>
      <w:spacing w:after="280"/>
    </w:pPr>
  </w:style>
  <w:style w:type="paragraph" w:customStyle="1" w:styleId="025">
    <w:name w:val="025"/>
    <w:aliases w:val="regel &quot;Bijlagen&quot;"/>
    <w:basedOn w:val="Normal"/>
    <w:next w:val="024"/>
    <w:pPr>
      <w:spacing w:before="280"/>
    </w:pPr>
    <w:rPr>
      <w:sz w:val="28"/>
    </w:rPr>
  </w:style>
  <w:style w:type="paragraph" w:customStyle="1" w:styleId="034">
    <w:name w:val="034"/>
    <w:aliases w:val="vertrouwelijk"/>
    <w:basedOn w:val="Normal"/>
    <w:next w:val="Normal"/>
    <w:rPr>
      <w:b/>
      <w:caps/>
    </w:rPr>
  </w:style>
  <w:style w:type="paragraph" w:customStyle="1" w:styleId="040">
    <w:name w:val="040"/>
    <w:aliases w:val="hoofdletters vet 1 witregel"/>
    <w:basedOn w:val="000"/>
    <w:next w:val="000"/>
    <w:pPr>
      <w:keepNext/>
      <w:spacing w:after="280"/>
      <w:ind w:left="720" w:hanging="720"/>
      <w:jc w:val="left"/>
    </w:pPr>
    <w:rPr>
      <w:b/>
      <w:caps/>
    </w:rPr>
  </w:style>
  <w:style w:type="paragraph" w:customStyle="1" w:styleId="041">
    <w:name w:val="041"/>
    <w:aliases w:val="14 punten vet 1 witregel"/>
    <w:basedOn w:val="000"/>
    <w:next w:val="000"/>
    <w:pPr>
      <w:keepNext/>
      <w:spacing w:before="560" w:after="280"/>
      <w:ind w:left="720" w:hanging="720"/>
      <w:jc w:val="left"/>
    </w:pPr>
    <w:rPr>
      <w:b/>
      <w:sz w:val="28"/>
    </w:rPr>
  </w:style>
  <w:style w:type="paragraph" w:customStyle="1" w:styleId="042">
    <w:name w:val="042"/>
    <w:aliases w:val="vet 1 witregel"/>
    <w:basedOn w:val="000"/>
    <w:next w:val="000"/>
    <w:pPr>
      <w:keepNext/>
      <w:spacing w:before="560" w:after="280"/>
      <w:ind w:left="720" w:hanging="720"/>
      <w:jc w:val="left"/>
    </w:pPr>
    <w:rPr>
      <w:b/>
    </w:rPr>
  </w:style>
  <w:style w:type="paragraph" w:customStyle="1" w:styleId="043">
    <w:name w:val="043"/>
    <w:aliases w:val="vet cursief 1 witregel"/>
    <w:basedOn w:val="000"/>
    <w:next w:val="000"/>
    <w:pPr>
      <w:keepNext/>
      <w:spacing w:before="560" w:after="280"/>
      <w:ind w:left="720" w:hanging="720"/>
      <w:jc w:val="left"/>
    </w:pPr>
    <w:rPr>
      <w:b/>
      <w:i/>
    </w:rPr>
  </w:style>
  <w:style w:type="paragraph" w:customStyle="1" w:styleId="045">
    <w:name w:val="045"/>
    <w:aliases w:val="inspringing a"/>
    <w:basedOn w:val="000"/>
    <w:pPr>
      <w:ind w:left="567" w:hanging="567"/>
    </w:pPr>
  </w:style>
  <w:style w:type="paragraph" w:customStyle="1" w:styleId="046">
    <w:name w:val="046"/>
    <w:aliases w:val="inspringing b"/>
    <w:basedOn w:val="000"/>
    <w:pPr>
      <w:ind w:left="1134" w:hanging="567"/>
    </w:pPr>
  </w:style>
  <w:style w:type="paragraph" w:customStyle="1" w:styleId="047">
    <w:name w:val="047"/>
    <w:aliases w:val="inspringing c"/>
    <w:basedOn w:val="000"/>
    <w:pPr>
      <w:ind w:left="1701" w:hanging="567"/>
    </w:pPr>
  </w:style>
  <w:style w:type="paragraph" w:customStyle="1" w:styleId="048">
    <w:name w:val="048"/>
    <w:aliases w:val="inspring"/>
    <w:basedOn w:val="000"/>
    <w:pPr>
      <w:ind w:left="567" w:hanging="567"/>
    </w:pPr>
  </w:style>
  <w:style w:type="paragraph" w:customStyle="1" w:styleId="061">
    <w:name w:val="061"/>
    <w:aliases w:val="paginanr."/>
    <w:basedOn w:val="000"/>
    <w:pPr>
      <w:tabs>
        <w:tab w:val="center" w:pos="4680"/>
        <w:tab w:val="right" w:pos="9380"/>
      </w:tabs>
    </w:pPr>
  </w:style>
  <w:style w:type="paragraph" w:customStyle="1" w:styleId="091">
    <w:name w:val="091"/>
    <w:aliases w:val="inhoudsopgave 14 punten vet"/>
    <w:basedOn w:val="Normal"/>
    <w:next w:val="Normal"/>
    <w:pPr>
      <w:spacing w:before="280"/>
      <w:ind w:left="720" w:hanging="720"/>
    </w:pPr>
    <w:rPr>
      <w:b/>
      <w:sz w:val="28"/>
    </w:rPr>
  </w:style>
  <w:style w:type="paragraph" w:customStyle="1" w:styleId="099">
    <w:name w:val="099"/>
    <w:aliases w:val="einde document teken"/>
    <w:basedOn w:val="000"/>
    <w:pPr>
      <w:pBdr>
        <w:bottom w:val="single" w:sz="18" w:space="0" w:color="auto"/>
      </w:pBdr>
      <w:tabs>
        <w:tab w:val="right" w:pos="9380"/>
      </w:tabs>
      <w:ind w:right="8820"/>
    </w:pPr>
  </w:style>
  <w:style w:type="paragraph" w:customStyle="1" w:styleId="106">
    <w:name w:val="106"/>
    <w:aliases w:val="1 gestippelde streep h"/>
    <w:basedOn w:val="105"/>
    <w:next w:val="104"/>
    <w:pPr>
      <w:tabs>
        <w:tab w:val="decimal" w:leader="dot" w:pos="9380"/>
      </w:tabs>
    </w:pPr>
    <w:rPr>
      <w:position w:val="2"/>
      <w:sz w:val="14"/>
    </w:rPr>
  </w:style>
  <w:style w:type="paragraph" w:customStyle="1" w:styleId="206">
    <w:name w:val="206"/>
    <w:aliases w:val="2 gestippelde streep h"/>
    <w:basedOn w:val="205"/>
    <w:next w:val="204"/>
    <w:pPr>
      <w:tabs>
        <w:tab w:val="decimal" w:leader="dot" w:pos="8100"/>
        <w:tab w:val="decimal" w:leader="dot" w:pos="9380"/>
      </w:tabs>
    </w:pPr>
    <w:rPr>
      <w:position w:val="2"/>
      <w:sz w:val="14"/>
    </w:rPr>
  </w:style>
  <w:style w:type="paragraph" w:customStyle="1" w:styleId="306">
    <w:name w:val="306"/>
    <w:aliases w:val="3 gestippelde streep h"/>
    <w:basedOn w:val="305"/>
    <w:next w:val="304"/>
    <w:pPr>
      <w:tabs>
        <w:tab w:val="decimal" w:leader="dot" w:pos="6820"/>
        <w:tab w:val="decimal" w:leader="dot" w:pos="8100"/>
        <w:tab w:val="decimal" w:leader="dot" w:pos="9380"/>
      </w:tabs>
    </w:pPr>
    <w:rPr>
      <w:position w:val="2"/>
      <w:sz w:val="14"/>
    </w:rPr>
  </w:style>
  <w:style w:type="paragraph" w:customStyle="1" w:styleId="406">
    <w:name w:val="406"/>
    <w:aliases w:val="4 gestippelde streep h"/>
    <w:basedOn w:val="405"/>
    <w:next w:val="404"/>
    <w:pPr>
      <w:tabs>
        <w:tab w:val="decimal" w:leader="dot" w:pos="5540"/>
        <w:tab w:val="decimal" w:leader="dot" w:pos="6820"/>
        <w:tab w:val="decimal" w:leader="dot" w:pos="8100"/>
        <w:tab w:val="decimal" w:leader="dot" w:pos="9380"/>
      </w:tabs>
    </w:pPr>
    <w:rPr>
      <w:position w:val="2"/>
      <w:sz w:val="14"/>
    </w:rPr>
  </w:style>
  <w:style w:type="paragraph" w:customStyle="1" w:styleId="506">
    <w:name w:val="506"/>
    <w:aliases w:val="5 gestippelde streep h"/>
    <w:basedOn w:val="505"/>
    <w:next w:val="504"/>
    <w:pPr>
      <w:tabs>
        <w:tab w:val="decimal" w:leader="dot" w:pos="4260"/>
        <w:tab w:val="decimal" w:leader="dot" w:pos="5540"/>
        <w:tab w:val="decimal" w:leader="dot" w:pos="6820"/>
        <w:tab w:val="decimal" w:leader="dot" w:pos="8100"/>
        <w:tab w:val="decimal" w:leader="dot" w:pos="9380"/>
      </w:tabs>
    </w:pPr>
    <w:rPr>
      <w:position w:val="2"/>
      <w:sz w:val="14"/>
    </w:rPr>
  </w:style>
  <w:style w:type="paragraph" w:customStyle="1" w:styleId="700r">
    <w:name w:val="700r"/>
    <w:aliases w:val="7 kop h rechts"/>
    <w:basedOn w:val="Normal"/>
    <w:next w:val="Normal"/>
    <w:pPr>
      <w:tabs>
        <w:tab w:val="center" w:pos="400"/>
        <w:tab w:val="center" w:pos="1680"/>
        <w:tab w:val="center" w:pos="2960"/>
        <w:tab w:val="center" w:pos="4240"/>
        <w:tab w:val="center" w:pos="5520"/>
        <w:tab w:val="center" w:pos="6800"/>
        <w:tab w:val="center" w:pos="8080"/>
      </w:tabs>
    </w:pPr>
  </w:style>
  <w:style w:type="paragraph" w:customStyle="1" w:styleId="701r">
    <w:name w:val="701r"/>
    <w:aliases w:val="7 kopstreep h rechts"/>
    <w:basedOn w:val="Normal"/>
    <w:next w:val="Normal"/>
    <w:pPr>
      <w:tabs>
        <w:tab w:val="left" w:pos="0"/>
        <w:tab w:val="right" w:pos="800"/>
        <w:tab w:val="left" w:pos="1280"/>
        <w:tab w:val="right" w:pos="2080"/>
        <w:tab w:val="left" w:pos="2560"/>
        <w:tab w:val="right" w:pos="3360"/>
        <w:tab w:val="left" w:pos="3840"/>
        <w:tab w:val="right" w:pos="4640"/>
        <w:tab w:val="left" w:pos="5120"/>
        <w:tab w:val="right" w:pos="5920"/>
        <w:tab w:val="left" w:pos="6400"/>
        <w:tab w:val="right" w:pos="7200"/>
        <w:tab w:val="left" w:pos="7680"/>
        <w:tab w:val="right" w:pos="8480"/>
      </w:tabs>
      <w:spacing w:after="140" w:line="140" w:lineRule="exact"/>
    </w:pPr>
    <w:rPr>
      <w:sz w:val="10"/>
    </w:rPr>
  </w:style>
  <w:style w:type="paragraph" w:customStyle="1" w:styleId="702r">
    <w:name w:val="702r"/>
    <w:aliases w:val="7 €-tekens h rechts"/>
    <w:basedOn w:val="Normal"/>
    <w:next w:val="Normal"/>
    <w:pPr>
      <w:tabs>
        <w:tab w:val="center" w:pos="400"/>
        <w:tab w:val="center" w:pos="1680"/>
        <w:tab w:val="center" w:pos="2960"/>
        <w:tab w:val="center" w:pos="4240"/>
        <w:tab w:val="center" w:pos="5520"/>
        <w:tab w:val="center" w:pos="6800"/>
        <w:tab w:val="center" w:pos="8080"/>
      </w:tabs>
      <w:spacing w:after="140"/>
    </w:pPr>
  </w:style>
  <w:style w:type="paragraph" w:customStyle="1" w:styleId="703r">
    <w:name w:val="703r"/>
    <w:aliases w:val="kop boven 1/7 h rechts"/>
    <w:basedOn w:val="Normal"/>
    <w:next w:val="701r"/>
    <w:pPr>
      <w:tabs>
        <w:tab w:val="center" w:pos="4240"/>
      </w:tabs>
    </w:pPr>
  </w:style>
  <w:style w:type="paragraph" w:customStyle="1" w:styleId="704r">
    <w:name w:val="704r"/>
    <w:aliases w:val="7 cijferregel h rechts"/>
    <w:basedOn w:val="Normal"/>
    <w:pPr>
      <w:tabs>
        <w:tab w:val="decimal" w:pos="800"/>
        <w:tab w:val="decimal" w:pos="2080"/>
        <w:tab w:val="decimal" w:pos="3360"/>
        <w:tab w:val="decimal" w:pos="4640"/>
        <w:tab w:val="decimal" w:pos="5920"/>
        <w:tab w:val="decimal" w:pos="7200"/>
        <w:tab w:val="decimal" w:pos="8480"/>
      </w:tabs>
    </w:pPr>
  </w:style>
  <w:style w:type="paragraph" w:customStyle="1" w:styleId="705r">
    <w:name w:val="705r"/>
    <w:aliases w:val="7 enkele telstreep h rechts"/>
    <w:basedOn w:val="Normal"/>
    <w:next w:val="704r"/>
    <w:pPr>
      <w:tabs>
        <w:tab w:val="left" w:pos="0"/>
        <w:tab w:val="decimal" w:pos="800"/>
        <w:tab w:val="left" w:pos="1280"/>
        <w:tab w:val="decimal" w:pos="2080"/>
        <w:tab w:val="left" w:pos="2560"/>
        <w:tab w:val="decimal" w:pos="3360"/>
        <w:tab w:val="left" w:pos="3840"/>
        <w:tab w:val="decimal" w:pos="4640"/>
        <w:tab w:val="left" w:pos="5120"/>
        <w:tab w:val="decimal" w:pos="5920"/>
        <w:tab w:val="left" w:pos="6400"/>
        <w:tab w:val="decimal" w:pos="7200"/>
        <w:tab w:val="left" w:pos="7680"/>
        <w:tab w:val="decimal" w:pos="8480"/>
      </w:tabs>
      <w:spacing w:line="140" w:lineRule="exact"/>
    </w:pPr>
    <w:rPr>
      <w:position w:val="4"/>
      <w:sz w:val="10"/>
    </w:rPr>
  </w:style>
  <w:style w:type="paragraph" w:customStyle="1" w:styleId="706r">
    <w:name w:val="706r"/>
    <w:aliases w:val="7 gestippelde streep h rechts"/>
    <w:basedOn w:val="705r"/>
    <w:next w:val="704r"/>
    <w:pPr>
      <w:tabs>
        <w:tab w:val="decimal" w:leader="dot" w:pos="800"/>
        <w:tab w:val="decimal" w:leader="dot" w:pos="2080"/>
        <w:tab w:val="decimal" w:leader="dot" w:pos="3360"/>
        <w:tab w:val="decimal" w:leader="dot" w:pos="4640"/>
        <w:tab w:val="decimal" w:leader="dot" w:pos="5920"/>
        <w:tab w:val="decimal" w:leader="dot" w:pos="7200"/>
        <w:tab w:val="decimal" w:leader="dot" w:pos="8480"/>
      </w:tabs>
    </w:pPr>
    <w:rPr>
      <w:position w:val="2"/>
      <w:sz w:val="14"/>
    </w:rPr>
  </w:style>
  <w:style w:type="paragraph" w:customStyle="1" w:styleId="707r">
    <w:name w:val="707r"/>
    <w:aliases w:val="7 dubbele streep h rechts"/>
    <w:basedOn w:val="705r"/>
    <w:next w:val="000"/>
    <w:rPr>
      <w:position w:val="6"/>
      <w:sz w:val="14"/>
    </w:rPr>
  </w:style>
  <w:style w:type="paragraph" w:customStyle="1" w:styleId="a203">
    <w:name w:val="a203"/>
    <w:aliases w:val="kop boven 1/2 h en 100%"/>
    <w:basedOn w:val="Normal"/>
    <w:next w:val="a201"/>
    <w:pPr>
      <w:tabs>
        <w:tab w:val="center" w:pos="7700"/>
      </w:tabs>
    </w:pPr>
  </w:style>
  <w:style w:type="paragraph" w:customStyle="1" w:styleId="a206">
    <w:name w:val="a206"/>
    <w:aliases w:val="2 gestippelde streep h en 100%"/>
    <w:basedOn w:val="a205"/>
    <w:next w:val="a204"/>
    <w:pPr>
      <w:tabs>
        <w:tab w:val="decimal" w:leader="dot" w:pos="6820"/>
        <w:tab w:val="decimal" w:leader="dot" w:pos="7620"/>
        <w:tab w:val="decimal" w:leader="dot" w:pos="8580"/>
        <w:tab w:val="decimal" w:leader="dot" w:pos="9380"/>
      </w:tabs>
    </w:pPr>
    <w:rPr>
      <w:position w:val="2"/>
      <w:sz w:val="14"/>
    </w:rPr>
  </w:style>
  <w:style w:type="paragraph" w:customStyle="1" w:styleId="b200">
    <w:name w:val="b200"/>
    <w:aliases w:val="2 kop h en 100.0%"/>
    <w:basedOn w:val="Normal"/>
    <w:next w:val="Normal"/>
    <w:pPr>
      <w:tabs>
        <w:tab w:val="center" w:pos="6820"/>
        <w:tab w:val="center" w:pos="8580"/>
      </w:tabs>
      <w:ind w:right="-170"/>
    </w:pPr>
  </w:style>
  <w:style w:type="paragraph" w:customStyle="1" w:styleId="b201">
    <w:name w:val="b201"/>
    <w:aliases w:val="2 kopstreep h en 100.0%"/>
    <w:basedOn w:val="Normal"/>
    <w:next w:val="Normal"/>
    <w:pPr>
      <w:tabs>
        <w:tab w:val="left" w:pos="6020"/>
        <w:tab w:val="right" w:pos="7620"/>
        <w:tab w:val="left" w:pos="7780"/>
        <w:tab w:val="right" w:pos="9380"/>
      </w:tabs>
      <w:spacing w:after="140" w:line="140" w:lineRule="exact"/>
    </w:pPr>
    <w:rPr>
      <w:sz w:val="10"/>
    </w:rPr>
  </w:style>
  <w:style w:type="paragraph" w:customStyle="1" w:styleId="b202">
    <w:name w:val="b202"/>
    <w:aliases w:val="2 €- en %-tekens h en 100.0%"/>
    <w:basedOn w:val="Normal"/>
    <w:next w:val="Normal"/>
    <w:pPr>
      <w:tabs>
        <w:tab w:val="center" w:pos="6420"/>
        <w:tab w:val="center" w:pos="7340"/>
        <w:tab w:val="center" w:pos="8180"/>
        <w:tab w:val="center" w:pos="9100"/>
      </w:tabs>
      <w:spacing w:after="140"/>
    </w:pPr>
  </w:style>
  <w:style w:type="paragraph" w:customStyle="1" w:styleId="b203">
    <w:name w:val="b203"/>
    <w:aliases w:val="kop boven 1/2 h en 100.0%"/>
    <w:basedOn w:val="Normal"/>
    <w:next w:val="b201"/>
    <w:pPr>
      <w:tabs>
        <w:tab w:val="center" w:pos="7700"/>
      </w:tabs>
    </w:pPr>
  </w:style>
  <w:style w:type="paragraph" w:customStyle="1" w:styleId="b204">
    <w:name w:val="b204"/>
    <w:aliases w:val="2 cijferregel h en 100.0%"/>
    <w:basedOn w:val="Normal"/>
    <w:pPr>
      <w:tabs>
        <w:tab w:val="left" w:pos="1134"/>
        <w:tab w:val="decimal" w:pos="6820"/>
        <w:tab w:val="decimal" w:pos="7420"/>
        <w:tab w:val="decimal" w:pos="8580"/>
        <w:tab w:val="decimal" w:pos="9180"/>
      </w:tabs>
      <w:ind w:left="567" w:right="-170" w:hanging="567"/>
    </w:pPr>
  </w:style>
  <w:style w:type="paragraph" w:customStyle="1" w:styleId="b205">
    <w:name w:val="b205"/>
    <w:aliases w:val="2 enkele telstreep h en 100.0%"/>
    <w:basedOn w:val="Normal"/>
    <w:next w:val="b204"/>
    <w:pPr>
      <w:tabs>
        <w:tab w:val="left" w:pos="6020"/>
        <w:tab w:val="decimal" w:pos="6820"/>
        <w:tab w:val="left" w:pos="7060"/>
        <w:tab w:val="decimal" w:pos="7620"/>
        <w:tab w:val="left" w:pos="7780"/>
        <w:tab w:val="decimal" w:pos="8580"/>
        <w:tab w:val="left" w:pos="8820"/>
        <w:tab w:val="decimal" w:pos="9380"/>
      </w:tabs>
      <w:spacing w:line="140" w:lineRule="exact"/>
    </w:pPr>
    <w:rPr>
      <w:position w:val="4"/>
      <w:sz w:val="10"/>
    </w:rPr>
  </w:style>
  <w:style w:type="paragraph" w:customStyle="1" w:styleId="b206">
    <w:name w:val="b206"/>
    <w:aliases w:val="2 gestippelde streep h en 100.0%"/>
    <w:basedOn w:val="b205"/>
    <w:next w:val="b204"/>
    <w:pPr>
      <w:tabs>
        <w:tab w:val="decimal" w:leader="dot" w:pos="6820"/>
        <w:tab w:val="decimal" w:leader="dot" w:pos="7620"/>
        <w:tab w:val="decimal" w:leader="dot" w:pos="8580"/>
        <w:tab w:val="decimal" w:leader="dot" w:pos="9380"/>
      </w:tabs>
    </w:pPr>
    <w:rPr>
      <w:position w:val="2"/>
      <w:sz w:val="14"/>
    </w:rPr>
  </w:style>
  <w:style w:type="paragraph" w:customStyle="1" w:styleId="b207">
    <w:name w:val="b207"/>
    <w:aliases w:val="2 dubbele streep h en 100.0%"/>
    <w:basedOn w:val="b205"/>
    <w:next w:val="000"/>
    <w:rPr>
      <w:position w:val="6"/>
      <w:sz w:val="14"/>
    </w:rPr>
  </w:style>
  <w:style w:type="paragraph" w:styleId="ListBullet2">
    <w:name w:val="List Bullet 2"/>
    <w:basedOn w:val="000"/>
    <w:pPr>
      <w:ind w:left="1134" w:hanging="567"/>
    </w:pPr>
  </w:style>
  <w:style w:type="paragraph" w:styleId="ListNumber">
    <w:name w:val="List Number"/>
    <w:basedOn w:val="000"/>
    <w:pPr>
      <w:ind w:left="567" w:hanging="567"/>
    </w:pPr>
  </w:style>
  <w:style w:type="paragraph" w:styleId="TOC1">
    <w:name w:val="toc 1"/>
    <w:basedOn w:val="Normal"/>
    <w:next w:val="Normal"/>
    <w:pPr>
      <w:tabs>
        <w:tab w:val="right" w:pos="9378"/>
      </w:tabs>
      <w:spacing w:before="280"/>
      <w:ind w:left="720" w:right="284" w:hanging="720"/>
    </w:pPr>
    <w:rPr>
      <w:b/>
    </w:rPr>
  </w:style>
  <w:style w:type="paragraph" w:styleId="TOC3">
    <w:name w:val="toc 3"/>
    <w:basedOn w:val="Normal"/>
    <w:next w:val="Normal"/>
    <w:pPr>
      <w:ind w:left="720" w:hanging="720"/>
    </w:pPr>
  </w:style>
  <w:style w:type="paragraph" w:styleId="List">
    <w:name w:val="List"/>
    <w:basedOn w:val="Normal"/>
    <w:pPr>
      <w:ind w:left="283" w:hanging="283"/>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al">
    <w:name w:val="al"/>
    <w:basedOn w:val="Normal"/>
    <w:link w:val="alChar"/>
    <w:rsid w:val="00422208"/>
    <w:pPr>
      <w:overflowPunct/>
      <w:autoSpaceDE/>
      <w:autoSpaceDN/>
      <w:adjustRightInd/>
      <w:spacing w:before="200" w:line="240" w:lineRule="exact"/>
      <w:textAlignment w:val="auto"/>
    </w:pPr>
    <w:rPr>
      <w:rFonts w:ascii="Arial" w:hAnsi="Arial"/>
      <w:color w:val="000000"/>
      <w:sz w:val="20"/>
    </w:rPr>
  </w:style>
  <w:style w:type="paragraph" w:customStyle="1" w:styleId="Style000">
    <w:name w:val="Style 000"/>
    <w:aliases w:val="standaard + Arial"/>
    <w:basedOn w:val="000"/>
    <w:link w:val="Style000Char"/>
    <w:rsid w:val="00431517"/>
  </w:style>
  <w:style w:type="character" w:customStyle="1" w:styleId="000Char">
    <w:name w:val="000 Char"/>
    <w:aliases w:val="standaard Char"/>
    <w:basedOn w:val="DefaultParagraphFont"/>
    <w:link w:val="000"/>
    <w:rsid w:val="00431517"/>
    <w:rPr>
      <w:rFonts w:ascii="Arial" w:hAnsi="Arial"/>
      <w:lang w:val="en-GB" w:eastAsia="en-US" w:bidi="ar-SA"/>
    </w:rPr>
  </w:style>
  <w:style w:type="character" w:customStyle="1" w:styleId="Style000Char">
    <w:name w:val="Style 000 Char"/>
    <w:aliases w:val="standaard + Arial Char"/>
    <w:basedOn w:val="000Char"/>
    <w:link w:val="Style000"/>
    <w:rsid w:val="00431517"/>
    <w:rPr>
      <w:rFonts w:ascii="Arial" w:hAnsi="Arial"/>
    </w:rPr>
  </w:style>
  <w:style w:type="paragraph" w:customStyle="1" w:styleId="StyleStyle000">
    <w:name w:val="Style Style 000"/>
    <w:aliases w:val="standaard + Arial + 12 pt"/>
    <w:basedOn w:val="Style000"/>
    <w:rsid w:val="00431517"/>
  </w:style>
  <w:style w:type="paragraph" w:customStyle="1" w:styleId="Style504">
    <w:name w:val="Style 504"/>
    <w:aliases w:val="5 cijferregel h + Arial"/>
    <w:basedOn w:val="504"/>
    <w:link w:val="Style504Char"/>
    <w:rsid w:val="00431517"/>
    <w:rPr>
      <w:rFonts w:ascii="Arial" w:hAnsi="Arial"/>
      <w:sz w:val="20"/>
    </w:rPr>
  </w:style>
  <w:style w:type="character" w:customStyle="1" w:styleId="504Char">
    <w:name w:val="504 Char"/>
    <w:aliases w:val="5 cijferregel h Char"/>
    <w:basedOn w:val="DefaultParagraphFont"/>
    <w:link w:val="504"/>
    <w:rsid w:val="00431517"/>
    <w:rPr>
      <w:sz w:val="24"/>
      <w:lang w:val="en-GB" w:eastAsia="en-US" w:bidi="ar-SA"/>
    </w:rPr>
  </w:style>
  <w:style w:type="character" w:customStyle="1" w:styleId="Style504Char">
    <w:name w:val="Style 504 Char"/>
    <w:aliases w:val="5 cijferregel h + Arial Char"/>
    <w:basedOn w:val="504Char"/>
    <w:link w:val="Style504"/>
    <w:rsid w:val="00431517"/>
    <w:rPr>
      <w:rFonts w:ascii="Arial" w:hAnsi="Arial"/>
    </w:rPr>
  </w:style>
  <w:style w:type="paragraph" w:customStyle="1" w:styleId="Style500">
    <w:name w:val="Style 500"/>
    <w:aliases w:val="5 kop h + Arial"/>
    <w:basedOn w:val="500"/>
    <w:rsid w:val="00431517"/>
    <w:rPr>
      <w:rFonts w:ascii="Arial" w:hAnsi="Arial"/>
      <w:sz w:val="20"/>
    </w:rPr>
  </w:style>
  <w:style w:type="paragraph" w:customStyle="1" w:styleId="Style204">
    <w:name w:val="Style 204"/>
    <w:aliases w:val="2 cijferregel h + Arial"/>
    <w:basedOn w:val="204"/>
    <w:rsid w:val="00431517"/>
    <w:rPr>
      <w:rFonts w:ascii="Arial" w:hAnsi="Arial"/>
      <w:sz w:val="20"/>
    </w:rPr>
  </w:style>
  <w:style w:type="paragraph" w:customStyle="1" w:styleId="Style404">
    <w:name w:val="Style 404"/>
    <w:aliases w:val="4 cijferregel h + Arial"/>
    <w:basedOn w:val="404"/>
    <w:link w:val="Style404Char"/>
    <w:rsid w:val="00431517"/>
    <w:rPr>
      <w:rFonts w:ascii="Arial" w:hAnsi="Arial"/>
      <w:sz w:val="20"/>
    </w:rPr>
  </w:style>
  <w:style w:type="character" w:customStyle="1" w:styleId="404Char">
    <w:name w:val="404 Char"/>
    <w:aliases w:val="4 cijferregel h Char"/>
    <w:basedOn w:val="DefaultParagraphFont"/>
    <w:link w:val="404"/>
    <w:rsid w:val="00431517"/>
    <w:rPr>
      <w:sz w:val="24"/>
      <w:lang w:val="en-GB" w:eastAsia="en-US" w:bidi="ar-SA"/>
    </w:rPr>
  </w:style>
  <w:style w:type="character" w:customStyle="1" w:styleId="Style404Char">
    <w:name w:val="Style 404 Char"/>
    <w:aliases w:val="4 cijferregel h + Arial Char"/>
    <w:basedOn w:val="404Char"/>
    <w:link w:val="Style404"/>
    <w:rsid w:val="00431517"/>
    <w:rPr>
      <w:rFonts w:ascii="Arial" w:hAnsi="Arial"/>
    </w:rPr>
  </w:style>
  <w:style w:type="paragraph" w:customStyle="1" w:styleId="Style403">
    <w:name w:val="Style 403"/>
    <w:aliases w:val="kop boven 1/4 h + Arial"/>
    <w:basedOn w:val="403"/>
    <w:link w:val="Style403Char"/>
    <w:rsid w:val="00431517"/>
  </w:style>
  <w:style w:type="character" w:customStyle="1" w:styleId="403Char">
    <w:name w:val="403 Char"/>
    <w:aliases w:val="kop boven 1/4 h Char"/>
    <w:basedOn w:val="DefaultParagraphFont"/>
    <w:link w:val="403"/>
    <w:rsid w:val="00431517"/>
    <w:rPr>
      <w:rFonts w:ascii="Arial" w:hAnsi="Arial"/>
      <w:lang w:val="en-GB" w:eastAsia="en-US" w:bidi="ar-SA"/>
    </w:rPr>
  </w:style>
  <w:style w:type="character" w:customStyle="1" w:styleId="Style403Char">
    <w:name w:val="Style 403 Char"/>
    <w:aliases w:val="kop boven 1/4 h + Arial Char"/>
    <w:basedOn w:val="403Char"/>
    <w:link w:val="Style403"/>
    <w:rsid w:val="00431517"/>
    <w:rPr>
      <w:rFonts w:ascii="Arial" w:hAnsi="Arial"/>
    </w:rPr>
  </w:style>
  <w:style w:type="paragraph" w:customStyle="1" w:styleId="Style104">
    <w:name w:val="Style 104"/>
    <w:aliases w:val="1 cijferregel h + Arial"/>
    <w:basedOn w:val="104"/>
    <w:link w:val="Style104Char"/>
    <w:rsid w:val="00431517"/>
    <w:rPr>
      <w:rFonts w:ascii="Arial" w:hAnsi="Arial"/>
      <w:sz w:val="20"/>
    </w:rPr>
  </w:style>
  <w:style w:type="character" w:customStyle="1" w:styleId="104Char">
    <w:name w:val="104 Char"/>
    <w:aliases w:val="1 cijferregel h Char"/>
    <w:basedOn w:val="DefaultParagraphFont"/>
    <w:link w:val="104"/>
    <w:rsid w:val="00431517"/>
    <w:rPr>
      <w:sz w:val="24"/>
      <w:lang w:val="en-GB" w:eastAsia="en-US" w:bidi="ar-SA"/>
    </w:rPr>
  </w:style>
  <w:style w:type="character" w:customStyle="1" w:styleId="Style104Char">
    <w:name w:val="Style 104 Char"/>
    <w:aliases w:val="1 cijferregel h + Arial Char"/>
    <w:basedOn w:val="104Char"/>
    <w:link w:val="Style104"/>
    <w:rsid w:val="00431517"/>
    <w:rPr>
      <w:rFonts w:ascii="Arial" w:hAnsi="Arial"/>
    </w:rPr>
  </w:style>
  <w:style w:type="paragraph" w:customStyle="1" w:styleId="Style100">
    <w:name w:val="Style 100"/>
    <w:aliases w:val="1 kop h + Arial"/>
    <w:basedOn w:val="100"/>
    <w:rsid w:val="00431517"/>
    <w:rPr>
      <w:rFonts w:ascii="Arial" w:hAnsi="Arial"/>
      <w:sz w:val="20"/>
    </w:rPr>
  </w:style>
  <w:style w:type="character" w:customStyle="1" w:styleId="alChar">
    <w:name w:val="al Char"/>
    <w:basedOn w:val="DefaultParagraphFont"/>
    <w:link w:val="al"/>
    <w:rsid w:val="00E152E1"/>
    <w:rPr>
      <w:rFonts w:ascii="Arial" w:hAnsi="Arial"/>
      <w:color w:val="000000"/>
      <w:lang w:val="en-GB" w:eastAsia="en-US" w:bidi="ar-SA"/>
    </w:rPr>
  </w:style>
  <w:style w:type="paragraph" w:customStyle="1" w:styleId="ea">
    <w:name w:val="ea"/>
    <w:basedOn w:val="Normal"/>
    <w:next w:val="al"/>
    <w:rsid w:val="00D349DD"/>
    <w:pPr>
      <w:overflowPunct/>
      <w:autoSpaceDE/>
      <w:autoSpaceDN/>
      <w:adjustRightInd/>
      <w:spacing w:line="240" w:lineRule="exact"/>
      <w:textAlignment w:val="auto"/>
    </w:pPr>
    <w:rPr>
      <w:rFonts w:ascii="L Univers 45 Light" w:hAnsi="L Univers 45 Light"/>
      <w:color w:val="000000"/>
      <w:sz w:val="20"/>
    </w:rPr>
  </w:style>
  <w:style w:type="paragraph" w:customStyle="1" w:styleId="tr">
    <w:name w:val="tr"/>
    <w:basedOn w:val="Normal"/>
    <w:rsid w:val="00D349DD"/>
    <w:pPr>
      <w:overflowPunct/>
      <w:autoSpaceDE/>
      <w:autoSpaceDN/>
      <w:adjustRightInd/>
      <w:spacing w:line="240" w:lineRule="exact"/>
      <w:ind w:left="220"/>
      <w:jc w:val="right"/>
      <w:textAlignment w:val="auto"/>
    </w:pPr>
    <w:rPr>
      <w:rFonts w:ascii="L Univers 45 Light" w:hAnsi="L Univers 45 Light"/>
      <w:color w:val="000000"/>
      <w:sz w:val="20"/>
    </w:rPr>
  </w:style>
  <w:style w:type="paragraph" w:customStyle="1" w:styleId="to">
    <w:name w:val="to"/>
    <w:basedOn w:val="tr"/>
    <w:rsid w:val="00D349DD"/>
    <w:pPr>
      <w:pBdr>
        <w:top w:val="single" w:sz="2" w:space="0" w:color="auto"/>
        <w:bottom w:val="single" w:sz="6" w:space="0" w:color="auto"/>
      </w:pBdr>
    </w:pPr>
    <w:rPr>
      <w:rFonts w:ascii="B Univers 65 Bold" w:hAnsi="B Univers 65 Bold"/>
    </w:rPr>
  </w:style>
  <w:style w:type="paragraph" w:customStyle="1" w:styleId="vl">
    <w:name w:val="vl"/>
    <w:basedOn w:val="tl"/>
    <w:rsid w:val="00D349DD"/>
    <w:rPr>
      <w:rFonts w:ascii="LO Univers 45 LightOblique" w:hAnsi="LO Univers 45 LightOblique"/>
      <w:sz w:val="16"/>
    </w:rPr>
  </w:style>
  <w:style w:type="paragraph" w:customStyle="1" w:styleId="tl">
    <w:name w:val="tl"/>
    <w:basedOn w:val="Normal"/>
    <w:rsid w:val="00D349DD"/>
    <w:pPr>
      <w:overflowPunct/>
      <w:autoSpaceDE/>
      <w:autoSpaceDN/>
      <w:adjustRightInd/>
      <w:spacing w:line="240" w:lineRule="exact"/>
      <w:textAlignment w:val="auto"/>
    </w:pPr>
    <w:rPr>
      <w:rFonts w:ascii="Arial" w:hAnsi="Arial"/>
      <w:color w:val="000000"/>
      <w:sz w:val="20"/>
    </w:rPr>
  </w:style>
  <w:style w:type="paragraph" w:customStyle="1" w:styleId="Style1">
    <w:name w:val="Style1"/>
    <w:basedOn w:val="404"/>
    <w:rsid w:val="00D756D3"/>
    <w:rPr>
      <w:rFonts w:ascii="Arial" w:hAnsi="Arial"/>
      <w:sz w:val="20"/>
    </w:rPr>
  </w:style>
  <w:style w:type="paragraph" w:customStyle="1" w:styleId="Style2">
    <w:name w:val="Style2"/>
    <w:basedOn w:val="404"/>
    <w:rsid w:val="00D756D3"/>
    <w:rPr>
      <w:rFonts w:ascii="Arial" w:hAnsi="Arial"/>
      <w:sz w:val="20"/>
    </w:rPr>
  </w:style>
  <w:style w:type="paragraph" w:customStyle="1" w:styleId="Style3">
    <w:name w:val="Style3"/>
    <w:basedOn w:val="404"/>
    <w:rsid w:val="00D756D3"/>
    <w:rPr>
      <w:rFonts w:ascii="Arial" w:hAnsi="Arial"/>
      <w:sz w:val="20"/>
    </w:rPr>
  </w:style>
  <w:style w:type="paragraph" w:customStyle="1" w:styleId="Style4">
    <w:name w:val="Style4"/>
    <w:basedOn w:val="080"/>
    <w:rsid w:val="00D756D3"/>
    <w:rPr>
      <w:rFonts w:cs="Arial"/>
      <w:bCs/>
    </w:rPr>
  </w:style>
  <w:style w:type="paragraph" w:customStyle="1" w:styleId="Style5">
    <w:name w:val="Style5"/>
    <w:basedOn w:val="404"/>
    <w:autoRedefine/>
    <w:rsid w:val="00D756D3"/>
    <w:rPr>
      <w:rFonts w:ascii="Arial" w:hAnsi="Arial"/>
      <w:sz w:val="20"/>
    </w:rPr>
  </w:style>
  <w:style w:type="paragraph" w:styleId="NormalWeb">
    <w:name w:val="Normal (Web)"/>
    <w:basedOn w:val="Normal"/>
    <w:rsid w:val="00A964BF"/>
    <w:pPr>
      <w:overflowPunct/>
      <w:autoSpaceDE/>
      <w:autoSpaceDN/>
      <w:adjustRightInd/>
      <w:spacing w:before="100" w:beforeAutospacing="1" w:after="100" w:afterAutospacing="1" w:line="240" w:lineRule="auto"/>
      <w:textAlignment w:val="auto"/>
    </w:pPr>
    <w:rPr>
      <w:rFonts w:eastAsia="SimSun"/>
      <w:szCs w:val="24"/>
      <w:lang w:val="nl-NL" w:eastAsia="zh-CN"/>
    </w:rPr>
  </w:style>
  <w:style w:type="paragraph" w:styleId="BodyTextIndent">
    <w:name w:val="Body Text Indent"/>
    <w:basedOn w:val="Normal"/>
    <w:rsid w:val="00A31866"/>
    <w:pPr>
      <w:widowControl w:val="0"/>
      <w:tabs>
        <w:tab w:val="right" w:pos="9072"/>
      </w:tabs>
      <w:spacing w:line="240" w:lineRule="auto"/>
      <w:ind w:left="1134"/>
      <w:jc w:val="both"/>
    </w:pPr>
    <w:rPr>
      <w:rFonts w:ascii="Arial" w:hAnsi="Arial"/>
      <w:sz w:val="20"/>
      <w:lang w:val="en-US"/>
    </w:rPr>
  </w:style>
  <w:style w:type="character" w:styleId="CommentReference">
    <w:name w:val="annotation reference"/>
    <w:basedOn w:val="DefaultParagraphFont"/>
    <w:rsid w:val="004206AF"/>
    <w:rPr>
      <w:sz w:val="16"/>
      <w:szCs w:val="16"/>
    </w:rPr>
  </w:style>
  <w:style w:type="paragraph" w:styleId="CommentText">
    <w:name w:val="annotation text"/>
    <w:basedOn w:val="Normal"/>
    <w:link w:val="CommentTextChar"/>
    <w:rsid w:val="004206AF"/>
    <w:rPr>
      <w:sz w:val="20"/>
    </w:rPr>
  </w:style>
  <w:style w:type="character" w:customStyle="1" w:styleId="CommentTextChar">
    <w:name w:val="Comment Text Char"/>
    <w:basedOn w:val="DefaultParagraphFont"/>
    <w:link w:val="CommentText"/>
    <w:rsid w:val="004206AF"/>
    <w:rPr>
      <w:lang w:val="en-GB"/>
    </w:rPr>
  </w:style>
  <w:style w:type="paragraph" w:styleId="CommentSubject">
    <w:name w:val="annotation subject"/>
    <w:basedOn w:val="CommentText"/>
    <w:next w:val="CommentText"/>
    <w:link w:val="CommentSubjectChar"/>
    <w:rsid w:val="004206AF"/>
    <w:rPr>
      <w:b/>
      <w:bCs/>
    </w:rPr>
  </w:style>
  <w:style w:type="character" w:customStyle="1" w:styleId="CommentSubjectChar">
    <w:name w:val="Comment Subject Char"/>
    <w:basedOn w:val="CommentTextChar"/>
    <w:link w:val="CommentSubject"/>
    <w:rsid w:val="004206AF"/>
    <w:rPr>
      <w:b/>
      <w:bCs/>
    </w:rPr>
  </w:style>
  <w:style w:type="character" w:styleId="Hyperlink">
    <w:name w:val="Hyperlink"/>
    <w:basedOn w:val="DefaultParagraphFont"/>
    <w:rsid w:val="00B75FCC"/>
    <w:rPr>
      <w:color w:val="0000FF"/>
      <w:u w:val="single"/>
    </w:rPr>
  </w:style>
  <w:style w:type="character" w:customStyle="1" w:styleId="FooterChar">
    <w:name w:val="Footer Char"/>
    <w:basedOn w:val="DefaultParagraphFont"/>
    <w:link w:val="Footer"/>
    <w:uiPriority w:val="99"/>
    <w:rsid w:val="00911C0E"/>
    <w:rPr>
      <w:rFonts w:ascii="Arial" w:hAnsi="Arial"/>
      <w:lang w:val="en-GB"/>
    </w:rPr>
  </w:style>
  <w:style w:type="character" w:customStyle="1" w:styleId="HeaderChar">
    <w:name w:val="Header Char"/>
    <w:basedOn w:val="DefaultParagraphFont"/>
    <w:link w:val="Header"/>
    <w:uiPriority w:val="99"/>
    <w:rsid w:val="00911C0E"/>
    <w:rPr>
      <w:rFonts w:ascii="Arial" w:hAnsi="Arial"/>
      <w:lang w:val="en-GB"/>
    </w:rPr>
  </w:style>
</w:styles>
</file>

<file path=word/webSettings.xml><?xml version="1.0" encoding="utf-8"?>
<w:webSettings xmlns:r="http://schemas.openxmlformats.org/officeDocument/2006/relationships" xmlns:w="http://schemas.openxmlformats.org/wordprocessingml/2006/main">
  <w:divs>
    <w:div w:id="98918487">
      <w:bodyDiv w:val="1"/>
      <w:marLeft w:val="0"/>
      <w:marRight w:val="0"/>
      <w:marTop w:val="0"/>
      <w:marBottom w:val="0"/>
      <w:divBdr>
        <w:top w:val="none" w:sz="0" w:space="0" w:color="auto"/>
        <w:left w:val="none" w:sz="0" w:space="0" w:color="auto"/>
        <w:bottom w:val="none" w:sz="0" w:space="0" w:color="auto"/>
        <w:right w:val="none" w:sz="0" w:space="0" w:color="auto"/>
      </w:divBdr>
    </w:div>
    <w:div w:id="162553823">
      <w:bodyDiv w:val="1"/>
      <w:marLeft w:val="0"/>
      <w:marRight w:val="0"/>
      <w:marTop w:val="0"/>
      <w:marBottom w:val="0"/>
      <w:divBdr>
        <w:top w:val="none" w:sz="0" w:space="0" w:color="auto"/>
        <w:left w:val="none" w:sz="0" w:space="0" w:color="auto"/>
        <w:bottom w:val="none" w:sz="0" w:space="0" w:color="auto"/>
        <w:right w:val="none" w:sz="0" w:space="0" w:color="auto"/>
      </w:divBdr>
    </w:div>
    <w:div w:id="246349851">
      <w:bodyDiv w:val="1"/>
      <w:marLeft w:val="0"/>
      <w:marRight w:val="0"/>
      <w:marTop w:val="0"/>
      <w:marBottom w:val="0"/>
      <w:divBdr>
        <w:top w:val="none" w:sz="0" w:space="0" w:color="auto"/>
        <w:left w:val="none" w:sz="0" w:space="0" w:color="auto"/>
        <w:bottom w:val="none" w:sz="0" w:space="0" w:color="auto"/>
        <w:right w:val="none" w:sz="0" w:space="0" w:color="auto"/>
      </w:divBdr>
    </w:div>
    <w:div w:id="469786609">
      <w:bodyDiv w:val="1"/>
      <w:marLeft w:val="0"/>
      <w:marRight w:val="0"/>
      <w:marTop w:val="0"/>
      <w:marBottom w:val="0"/>
      <w:divBdr>
        <w:top w:val="none" w:sz="0" w:space="0" w:color="auto"/>
        <w:left w:val="none" w:sz="0" w:space="0" w:color="auto"/>
        <w:bottom w:val="none" w:sz="0" w:space="0" w:color="auto"/>
        <w:right w:val="none" w:sz="0" w:space="0" w:color="auto"/>
      </w:divBdr>
    </w:div>
    <w:div w:id="533613322">
      <w:bodyDiv w:val="1"/>
      <w:marLeft w:val="0"/>
      <w:marRight w:val="0"/>
      <w:marTop w:val="0"/>
      <w:marBottom w:val="0"/>
      <w:divBdr>
        <w:top w:val="none" w:sz="0" w:space="0" w:color="auto"/>
        <w:left w:val="none" w:sz="0" w:space="0" w:color="auto"/>
        <w:bottom w:val="none" w:sz="0" w:space="0" w:color="auto"/>
        <w:right w:val="none" w:sz="0" w:space="0" w:color="auto"/>
      </w:divBdr>
    </w:div>
    <w:div w:id="545996271">
      <w:bodyDiv w:val="1"/>
      <w:marLeft w:val="0"/>
      <w:marRight w:val="0"/>
      <w:marTop w:val="0"/>
      <w:marBottom w:val="0"/>
      <w:divBdr>
        <w:top w:val="none" w:sz="0" w:space="0" w:color="auto"/>
        <w:left w:val="none" w:sz="0" w:space="0" w:color="auto"/>
        <w:bottom w:val="none" w:sz="0" w:space="0" w:color="auto"/>
        <w:right w:val="none" w:sz="0" w:space="0" w:color="auto"/>
      </w:divBdr>
    </w:div>
    <w:div w:id="677200206">
      <w:bodyDiv w:val="1"/>
      <w:marLeft w:val="0"/>
      <w:marRight w:val="0"/>
      <w:marTop w:val="0"/>
      <w:marBottom w:val="0"/>
      <w:divBdr>
        <w:top w:val="none" w:sz="0" w:space="0" w:color="auto"/>
        <w:left w:val="none" w:sz="0" w:space="0" w:color="auto"/>
        <w:bottom w:val="none" w:sz="0" w:space="0" w:color="auto"/>
        <w:right w:val="none" w:sz="0" w:space="0" w:color="auto"/>
      </w:divBdr>
    </w:div>
    <w:div w:id="708074118">
      <w:bodyDiv w:val="1"/>
      <w:marLeft w:val="0"/>
      <w:marRight w:val="0"/>
      <w:marTop w:val="0"/>
      <w:marBottom w:val="0"/>
      <w:divBdr>
        <w:top w:val="none" w:sz="0" w:space="0" w:color="auto"/>
        <w:left w:val="none" w:sz="0" w:space="0" w:color="auto"/>
        <w:bottom w:val="none" w:sz="0" w:space="0" w:color="auto"/>
        <w:right w:val="none" w:sz="0" w:space="0" w:color="auto"/>
      </w:divBdr>
    </w:div>
    <w:div w:id="755442478">
      <w:bodyDiv w:val="1"/>
      <w:marLeft w:val="0"/>
      <w:marRight w:val="0"/>
      <w:marTop w:val="0"/>
      <w:marBottom w:val="0"/>
      <w:divBdr>
        <w:top w:val="none" w:sz="0" w:space="0" w:color="auto"/>
        <w:left w:val="none" w:sz="0" w:space="0" w:color="auto"/>
        <w:bottom w:val="none" w:sz="0" w:space="0" w:color="auto"/>
        <w:right w:val="none" w:sz="0" w:space="0" w:color="auto"/>
      </w:divBdr>
    </w:div>
    <w:div w:id="782504268">
      <w:bodyDiv w:val="1"/>
      <w:marLeft w:val="0"/>
      <w:marRight w:val="0"/>
      <w:marTop w:val="0"/>
      <w:marBottom w:val="0"/>
      <w:divBdr>
        <w:top w:val="none" w:sz="0" w:space="0" w:color="auto"/>
        <w:left w:val="none" w:sz="0" w:space="0" w:color="auto"/>
        <w:bottom w:val="none" w:sz="0" w:space="0" w:color="auto"/>
        <w:right w:val="none" w:sz="0" w:space="0" w:color="auto"/>
      </w:divBdr>
    </w:div>
    <w:div w:id="827743915">
      <w:bodyDiv w:val="1"/>
      <w:marLeft w:val="0"/>
      <w:marRight w:val="0"/>
      <w:marTop w:val="0"/>
      <w:marBottom w:val="0"/>
      <w:divBdr>
        <w:top w:val="none" w:sz="0" w:space="0" w:color="auto"/>
        <w:left w:val="none" w:sz="0" w:space="0" w:color="auto"/>
        <w:bottom w:val="none" w:sz="0" w:space="0" w:color="auto"/>
        <w:right w:val="none" w:sz="0" w:space="0" w:color="auto"/>
      </w:divBdr>
    </w:div>
    <w:div w:id="848637581">
      <w:bodyDiv w:val="1"/>
      <w:marLeft w:val="0"/>
      <w:marRight w:val="0"/>
      <w:marTop w:val="0"/>
      <w:marBottom w:val="0"/>
      <w:divBdr>
        <w:top w:val="none" w:sz="0" w:space="0" w:color="auto"/>
        <w:left w:val="none" w:sz="0" w:space="0" w:color="auto"/>
        <w:bottom w:val="none" w:sz="0" w:space="0" w:color="auto"/>
        <w:right w:val="none" w:sz="0" w:space="0" w:color="auto"/>
      </w:divBdr>
    </w:div>
    <w:div w:id="970329648">
      <w:bodyDiv w:val="1"/>
      <w:marLeft w:val="0"/>
      <w:marRight w:val="0"/>
      <w:marTop w:val="0"/>
      <w:marBottom w:val="0"/>
      <w:divBdr>
        <w:top w:val="none" w:sz="0" w:space="0" w:color="auto"/>
        <w:left w:val="none" w:sz="0" w:space="0" w:color="auto"/>
        <w:bottom w:val="none" w:sz="0" w:space="0" w:color="auto"/>
        <w:right w:val="none" w:sz="0" w:space="0" w:color="auto"/>
      </w:divBdr>
    </w:div>
    <w:div w:id="1029525719">
      <w:bodyDiv w:val="1"/>
      <w:marLeft w:val="0"/>
      <w:marRight w:val="0"/>
      <w:marTop w:val="0"/>
      <w:marBottom w:val="0"/>
      <w:divBdr>
        <w:top w:val="none" w:sz="0" w:space="0" w:color="auto"/>
        <w:left w:val="none" w:sz="0" w:space="0" w:color="auto"/>
        <w:bottom w:val="none" w:sz="0" w:space="0" w:color="auto"/>
        <w:right w:val="none" w:sz="0" w:space="0" w:color="auto"/>
      </w:divBdr>
    </w:div>
    <w:div w:id="1126657020">
      <w:bodyDiv w:val="1"/>
      <w:marLeft w:val="0"/>
      <w:marRight w:val="0"/>
      <w:marTop w:val="0"/>
      <w:marBottom w:val="0"/>
      <w:divBdr>
        <w:top w:val="none" w:sz="0" w:space="0" w:color="auto"/>
        <w:left w:val="none" w:sz="0" w:space="0" w:color="auto"/>
        <w:bottom w:val="none" w:sz="0" w:space="0" w:color="auto"/>
        <w:right w:val="none" w:sz="0" w:space="0" w:color="auto"/>
      </w:divBdr>
    </w:div>
    <w:div w:id="1187137011">
      <w:bodyDiv w:val="1"/>
      <w:marLeft w:val="0"/>
      <w:marRight w:val="0"/>
      <w:marTop w:val="0"/>
      <w:marBottom w:val="0"/>
      <w:divBdr>
        <w:top w:val="none" w:sz="0" w:space="0" w:color="auto"/>
        <w:left w:val="none" w:sz="0" w:space="0" w:color="auto"/>
        <w:bottom w:val="none" w:sz="0" w:space="0" w:color="auto"/>
        <w:right w:val="none" w:sz="0" w:space="0" w:color="auto"/>
      </w:divBdr>
    </w:div>
    <w:div w:id="1207719660">
      <w:bodyDiv w:val="1"/>
      <w:marLeft w:val="0"/>
      <w:marRight w:val="0"/>
      <w:marTop w:val="0"/>
      <w:marBottom w:val="0"/>
      <w:divBdr>
        <w:top w:val="none" w:sz="0" w:space="0" w:color="auto"/>
        <w:left w:val="none" w:sz="0" w:space="0" w:color="auto"/>
        <w:bottom w:val="none" w:sz="0" w:space="0" w:color="auto"/>
        <w:right w:val="none" w:sz="0" w:space="0" w:color="auto"/>
      </w:divBdr>
    </w:div>
    <w:div w:id="1401294002">
      <w:bodyDiv w:val="1"/>
      <w:marLeft w:val="0"/>
      <w:marRight w:val="0"/>
      <w:marTop w:val="0"/>
      <w:marBottom w:val="0"/>
      <w:divBdr>
        <w:top w:val="none" w:sz="0" w:space="0" w:color="auto"/>
        <w:left w:val="none" w:sz="0" w:space="0" w:color="auto"/>
        <w:bottom w:val="none" w:sz="0" w:space="0" w:color="auto"/>
        <w:right w:val="none" w:sz="0" w:space="0" w:color="auto"/>
      </w:divBdr>
    </w:div>
    <w:div w:id="1414669426">
      <w:bodyDiv w:val="1"/>
      <w:marLeft w:val="0"/>
      <w:marRight w:val="0"/>
      <w:marTop w:val="0"/>
      <w:marBottom w:val="0"/>
      <w:divBdr>
        <w:top w:val="none" w:sz="0" w:space="0" w:color="auto"/>
        <w:left w:val="none" w:sz="0" w:space="0" w:color="auto"/>
        <w:bottom w:val="none" w:sz="0" w:space="0" w:color="auto"/>
        <w:right w:val="none" w:sz="0" w:space="0" w:color="auto"/>
      </w:divBdr>
    </w:div>
    <w:div w:id="1424909077">
      <w:bodyDiv w:val="1"/>
      <w:marLeft w:val="0"/>
      <w:marRight w:val="0"/>
      <w:marTop w:val="0"/>
      <w:marBottom w:val="0"/>
      <w:divBdr>
        <w:top w:val="none" w:sz="0" w:space="0" w:color="auto"/>
        <w:left w:val="none" w:sz="0" w:space="0" w:color="auto"/>
        <w:bottom w:val="none" w:sz="0" w:space="0" w:color="auto"/>
        <w:right w:val="none" w:sz="0" w:space="0" w:color="auto"/>
      </w:divBdr>
    </w:div>
    <w:div w:id="1451777205">
      <w:bodyDiv w:val="1"/>
      <w:marLeft w:val="0"/>
      <w:marRight w:val="0"/>
      <w:marTop w:val="0"/>
      <w:marBottom w:val="0"/>
      <w:divBdr>
        <w:top w:val="none" w:sz="0" w:space="0" w:color="auto"/>
        <w:left w:val="none" w:sz="0" w:space="0" w:color="auto"/>
        <w:bottom w:val="none" w:sz="0" w:space="0" w:color="auto"/>
        <w:right w:val="none" w:sz="0" w:space="0" w:color="auto"/>
      </w:divBdr>
    </w:div>
    <w:div w:id="1524173118">
      <w:bodyDiv w:val="1"/>
      <w:marLeft w:val="0"/>
      <w:marRight w:val="0"/>
      <w:marTop w:val="0"/>
      <w:marBottom w:val="0"/>
      <w:divBdr>
        <w:top w:val="none" w:sz="0" w:space="0" w:color="auto"/>
        <w:left w:val="none" w:sz="0" w:space="0" w:color="auto"/>
        <w:bottom w:val="none" w:sz="0" w:space="0" w:color="auto"/>
        <w:right w:val="none" w:sz="0" w:space="0" w:color="auto"/>
      </w:divBdr>
    </w:div>
    <w:div w:id="1590499619">
      <w:bodyDiv w:val="1"/>
      <w:marLeft w:val="0"/>
      <w:marRight w:val="0"/>
      <w:marTop w:val="0"/>
      <w:marBottom w:val="0"/>
      <w:divBdr>
        <w:top w:val="none" w:sz="0" w:space="0" w:color="auto"/>
        <w:left w:val="none" w:sz="0" w:space="0" w:color="auto"/>
        <w:bottom w:val="none" w:sz="0" w:space="0" w:color="auto"/>
        <w:right w:val="none" w:sz="0" w:space="0" w:color="auto"/>
      </w:divBdr>
    </w:div>
    <w:div w:id="1737049746">
      <w:bodyDiv w:val="1"/>
      <w:marLeft w:val="0"/>
      <w:marRight w:val="0"/>
      <w:marTop w:val="0"/>
      <w:marBottom w:val="0"/>
      <w:divBdr>
        <w:top w:val="none" w:sz="0" w:space="0" w:color="auto"/>
        <w:left w:val="none" w:sz="0" w:space="0" w:color="auto"/>
        <w:bottom w:val="none" w:sz="0" w:space="0" w:color="auto"/>
        <w:right w:val="none" w:sz="0" w:space="0" w:color="auto"/>
      </w:divBdr>
    </w:div>
    <w:div w:id="1746411738">
      <w:bodyDiv w:val="1"/>
      <w:marLeft w:val="0"/>
      <w:marRight w:val="0"/>
      <w:marTop w:val="0"/>
      <w:marBottom w:val="0"/>
      <w:divBdr>
        <w:top w:val="none" w:sz="0" w:space="0" w:color="auto"/>
        <w:left w:val="none" w:sz="0" w:space="0" w:color="auto"/>
        <w:bottom w:val="none" w:sz="0" w:space="0" w:color="auto"/>
        <w:right w:val="none" w:sz="0" w:space="0" w:color="auto"/>
      </w:divBdr>
    </w:div>
    <w:div w:id="1865941520">
      <w:bodyDiv w:val="1"/>
      <w:marLeft w:val="0"/>
      <w:marRight w:val="0"/>
      <w:marTop w:val="0"/>
      <w:marBottom w:val="0"/>
      <w:divBdr>
        <w:top w:val="none" w:sz="0" w:space="0" w:color="auto"/>
        <w:left w:val="none" w:sz="0" w:space="0" w:color="auto"/>
        <w:bottom w:val="none" w:sz="0" w:space="0" w:color="auto"/>
        <w:right w:val="none" w:sz="0" w:space="0" w:color="auto"/>
      </w:divBdr>
    </w:div>
    <w:div w:id="1886483545">
      <w:bodyDiv w:val="1"/>
      <w:marLeft w:val="0"/>
      <w:marRight w:val="0"/>
      <w:marTop w:val="0"/>
      <w:marBottom w:val="0"/>
      <w:divBdr>
        <w:top w:val="none" w:sz="0" w:space="0" w:color="auto"/>
        <w:left w:val="none" w:sz="0" w:space="0" w:color="auto"/>
        <w:bottom w:val="none" w:sz="0" w:space="0" w:color="auto"/>
        <w:right w:val="none" w:sz="0" w:space="0" w:color="auto"/>
      </w:divBdr>
    </w:div>
    <w:div w:id="1994018388">
      <w:bodyDiv w:val="1"/>
      <w:marLeft w:val="0"/>
      <w:marRight w:val="0"/>
      <w:marTop w:val="0"/>
      <w:marBottom w:val="0"/>
      <w:divBdr>
        <w:top w:val="none" w:sz="0" w:space="0" w:color="auto"/>
        <w:left w:val="none" w:sz="0" w:space="0" w:color="auto"/>
        <w:bottom w:val="none" w:sz="0" w:space="0" w:color="auto"/>
        <w:right w:val="none" w:sz="0" w:space="0" w:color="auto"/>
      </w:divBdr>
    </w:div>
    <w:div w:id="1998531010">
      <w:bodyDiv w:val="1"/>
      <w:marLeft w:val="0"/>
      <w:marRight w:val="0"/>
      <w:marTop w:val="0"/>
      <w:marBottom w:val="0"/>
      <w:divBdr>
        <w:top w:val="none" w:sz="0" w:space="0" w:color="auto"/>
        <w:left w:val="none" w:sz="0" w:space="0" w:color="auto"/>
        <w:bottom w:val="none" w:sz="0" w:space="0" w:color="auto"/>
        <w:right w:val="none" w:sz="0" w:space="0" w:color="auto"/>
      </w:divBdr>
      <w:divsChild>
        <w:div w:id="684597487">
          <w:marLeft w:val="0"/>
          <w:marRight w:val="0"/>
          <w:marTop w:val="0"/>
          <w:marBottom w:val="0"/>
          <w:divBdr>
            <w:top w:val="none" w:sz="0" w:space="0" w:color="auto"/>
            <w:left w:val="none" w:sz="0" w:space="0" w:color="auto"/>
            <w:bottom w:val="none" w:sz="0" w:space="0" w:color="auto"/>
            <w:right w:val="none" w:sz="0" w:space="0" w:color="auto"/>
          </w:divBdr>
        </w:div>
      </w:divsChild>
    </w:div>
    <w:div w:id="206975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9CB1A-70C0-492B-BA8C-9901CCFB5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4340</Words>
  <Characters>23871</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RAPPORT</vt:lpstr>
    </vt:vector>
  </TitlesOfParts>
  <Company>Ernst &amp; Young</Company>
  <LinksUpToDate>false</LinksUpToDate>
  <CharactersWithSpaces>28155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dc:title>
  <dc:subject/>
  <dc:creator>nlverdo2</dc:creator>
  <cp:keywords/>
  <cp:lastModifiedBy>lurvink</cp:lastModifiedBy>
  <cp:revision>2</cp:revision>
  <cp:lastPrinted>2011-04-07T07:40:00Z</cp:lastPrinted>
  <dcterms:created xsi:type="dcterms:W3CDTF">2012-04-27T13:25:00Z</dcterms:created>
  <dcterms:modified xsi:type="dcterms:W3CDTF">2012-04-27T13:25:00Z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yLopendePeriode">
    <vt:lpwstr>2006</vt:lpwstr>
  </property>
  <property fmtid="{D5CDD505-2E9C-101B-9397-08002B2CF9AE}" pid="3" name="eyVoorgaandePeriode">
    <vt:lpwstr>2005</vt:lpwstr>
  </property>
  <property fmtid="{D5CDD505-2E9C-101B-9397-08002B2CF9AE}" pid="4" name="eyAltLopendePeriode">
    <vt:lpwstr>2006</vt:lpwstr>
  </property>
  <property fmtid="{D5CDD505-2E9C-101B-9397-08002B2CF9AE}" pid="5" name="eyAltVoorgaandePeriode">
    <vt:lpwstr>2005</vt:lpwstr>
  </property>
  <property fmtid="{D5CDD505-2E9C-101B-9397-08002B2CF9AE}" pid="6" name="Versie">
    <vt:lpwstr>4.0</vt:lpwstr>
  </property>
  <property fmtid="{D5CDD505-2E9C-101B-9397-08002B2CF9AE}" pid="7" name="eyJaartal">
    <vt:lpwstr>2006</vt:lpwstr>
  </property>
  <property fmtid="{D5CDD505-2E9C-101B-9397-08002B2CF9AE}" pid="8" name="eyTaal">
    <vt:lpwstr>2</vt:lpwstr>
  </property>
  <property fmtid="{D5CDD505-2E9C-101B-9397-08002B2CF9AE}" pid="9" name="eyAan">
    <vt:lpwstr>the Board of Management and Supervisory Board</vt:lpwstr>
  </property>
  <property fmtid="{D5CDD505-2E9C-101B-9397-08002B2CF9AE}" pid="10" name="eyPlaatsRapport">
    <vt:lpwstr>Utrecht</vt:lpwstr>
  </property>
  <property fmtid="{D5CDD505-2E9C-101B-9397-08002B2CF9AE}" pid="11" name="eyNaam">
    <vt:lpwstr>Example Groot B.V.</vt:lpwstr>
  </property>
  <property fmtid="{D5CDD505-2E9C-101B-9397-08002B2CF9AE}" pid="12" name="eyReferentie">
    <vt:lpwstr>cliëntnr./ref.typiste</vt:lpwstr>
  </property>
  <property fmtid="{D5CDD505-2E9C-101B-9397-08002B2CF9AE}" pid="13" name="eyNaamOndertekenaar1">
    <vt:lpwstr>P. Artner</vt:lpwstr>
  </property>
  <property fmtid="{D5CDD505-2E9C-101B-9397-08002B2CF9AE}" pid="14" name="eyNaamOndertekenaar2">
    <vt:lpwstr> </vt:lpwstr>
  </property>
  <property fmtid="{D5CDD505-2E9C-101B-9397-08002B2CF9AE}" pid="15" name="eyWoonplaats">
    <vt:lpwstr>Utrecht</vt:lpwstr>
  </property>
  <property fmtid="{D5CDD505-2E9C-101B-9397-08002B2CF9AE}" pid="16" name="eyDatumUitgifte">
    <vt:lpwstr>date</vt:lpwstr>
  </property>
  <property fmtid="{D5CDD505-2E9C-101B-9397-08002B2CF9AE}" pid="17" name="eyArcering">
    <vt:lpwstr>2</vt:lpwstr>
  </property>
  <property fmtid="{D5CDD505-2E9C-101B-9397-08002B2CF9AE}" pid="18" name="eyControle">
    <vt:lpwstr/>
  </property>
  <property fmtid="{D5CDD505-2E9C-101B-9397-08002B2CF9AE}" pid="19" name="eyWatermerkDwars">
    <vt:bool>false</vt:bool>
  </property>
  <property fmtid="{D5CDD505-2E9C-101B-9397-08002B2CF9AE}" pid="20" name="eyWatermerkTekst">
    <vt:lpwstr>Draft</vt:lpwstr>
  </property>
  <property fmtid="{D5CDD505-2E9C-101B-9397-08002B2CF9AE}" pid="21" name="eyWatermerkFooter">
    <vt:bool>false</vt:bool>
  </property>
  <property fmtid="{D5CDD505-2E9C-101B-9397-08002B2CF9AE}" pid="22" name="eyTemplate">
    <vt:lpwstr>ONBEKEND</vt:lpwstr>
  </property>
</Properties>
</file>