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2A" w:rsidRPr="009721F0" w:rsidRDefault="00E8582A" w:rsidP="009721F0">
      <w:pPr>
        <w:spacing w:after="0"/>
        <w:rPr>
          <w:rFonts w:ascii="Gill Sans MT" w:hAnsi="Gill Sans MT"/>
          <w:b/>
          <w:sz w:val="16"/>
          <w:szCs w:val="16"/>
        </w:rPr>
      </w:pPr>
    </w:p>
    <w:p w:rsidR="00E8582A" w:rsidRDefault="00E8582A" w:rsidP="00EB57F9">
      <w:pPr>
        <w:spacing w:after="120"/>
        <w:rPr>
          <w:rFonts w:ascii="Gill Sans MT" w:hAnsi="Gill Sans MT"/>
          <w:b/>
        </w:rPr>
      </w:pPr>
      <w:r>
        <w:rPr>
          <w:rFonts w:ascii="Gill Sans MT" w:hAnsi="Gill Sans MT"/>
          <w:b/>
        </w:rPr>
        <w:t>April 26, 2012</w:t>
      </w:r>
    </w:p>
    <w:p w:rsidR="00E8582A" w:rsidRDefault="00E8582A" w:rsidP="00EB57F9">
      <w:pPr>
        <w:spacing w:after="0"/>
        <w:rPr>
          <w:rFonts w:ascii="Gill Sans MT" w:hAnsi="Gill Sans MT"/>
        </w:rPr>
      </w:pPr>
      <w:r w:rsidRPr="003E0928">
        <w:rPr>
          <w:rFonts w:ascii="Gill Sans MT" w:hAnsi="Gill Sans MT"/>
        </w:rPr>
        <w:t xml:space="preserve">Tetragon Financial Group Limited (TFG) is a Guernsey closed-ended investment company traded on NYSE Euronext </w:t>
      </w:r>
      <w:r>
        <w:rPr>
          <w:rFonts w:ascii="Gill Sans MT" w:hAnsi="Gill Sans MT"/>
        </w:rPr>
        <w:t xml:space="preserve">in Amsterdam </w:t>
      </w:r>
      <w:r w:rsidRPr="003E0928">
        <w:rPr>
          <w:rFonts w:ascii="Gill Sans MT" w:hAnsi="Gill Sans MT"/>
        </w:rPr>
        <w:t>und</w:t>
      </w:r>
      <w:bookmarkStart w:id="0" w:name="_GoBack"/>
      <w:bookmarkEnd w:id="0"/>
      <w:r w:rsidRPr="003E0928">
        <w:rPr>
          <w:rFonts w:ascii="Gill Sans MT" w:hAnsi="Gill Sans MT"/>
        </w:rPr>
        <w:t>er the ticker symbol “TFG.”</w:t>
      </w:r>
      <w:r>
        <w:rPr>
          <w:rFonts w:ascii="Gill Sans MT" w:hAnsi="Gill Sans MT"/>
        </w:rPr>
        <w:t xml:space="preserve"> </w:t>
      </w:r>
      <w:r w:rsidRPr="0050411C">
        <w:rPr>
          <w:rFonts w:ascii="Gill Sans MT" w:hAnsi="Gill Sans MT"/>
          <w:vertAlign w:val="superscript"/>
        </w:rPr>
        <w:t>(</w:t>
      </w:r>
      <w:r w:rsidRPr="0050411C">
        <w:rPr>
          <w:rFonts w:ascii="Gill Sans MT" w:hAnsi="Gill Sans MT"/>
          <w:vertAlign w:val="superscript"/>
        </w:rPr>
        <w:endnoteReference w:id="1"/>
      </w:r>
      <w:r w:rsidRPr="0050411C">
        <w:rPr>
          <w:rFonts w:ascii="Gill Sans MT" w:hAnsi="Gill Sans MT"/>
          <w:vertAlign w:val="superscript"/>
        </w:rPr>
        <w:t xml:space="preserve">) </w:t>
      </w:r>
      <w:r w:rsidRPr="003E0928">
        <w:rPr>
          <w:rFonts w:ascii="Gill Sans MT" w:hAnsi="Gill Sans MT"/>
        </w:rPr>
        <w:t xml:space="preserve">In this report we provide an update on TFG’s results of operations for the period ending </w:t>
      </w:r>
      <w:r>
        <w:rPr>
          <w:rFonts w:ascii="Gill Sans MT" w:hAnsi="Gill Sans MT"/>
        </w:rPr>
        <w:t>March</w:t>
      </w:r>
      <w:r w:rsidRPr="003E0928">
        <w:rPr>
          <w:rFonts w:ascii="Gill Sans MT" w:hAnsi="Gill Sans MT"/>
        </w:rPr>
        <w:t xml:space="preserve"> 31</w:t>
      </w:r>
      <w:r>
        <w:rPr>
          <w:rFonts w:ascii="Gill Sans MT" w:hAnsi="Gill Sans MT"/>
        </w:rPr>
        <w:t>, 2012</w:t>
      </w:r>
      <w:r w:rsidRPr="003E0928">
        <w:rPr>
          <w:rFonts w:ascii="Gill Sans MT" w:hAnsi="Gill Sans MT"/>
        </w:rPr>
        <w:t xml:space="preserve">. </w:t>
      </w:r>
    </w:p>
    <w:p w:rsidR="00E8582A" w:rsidRPr="006E5D36" w:rsidRDefault="00E8582A" w:rsidP="00CB6E4F">
      <w:pPr>
        <w:spacing w:after="0"/>
        <w:rPr>
          <w:rFonts w:ascii="Gill Sans MT" w:hAnsi="Gill Sans MT"/>
          <w:color w:val="333333"/>
          <w:sz w:val="16"/>
          <w:szCs w:val="16"/>
        </w:rPr>
      </w:pPr>
    </w:p>
    <w:p w:rsidR="00E8582A" w:rsidRPr="000E7B77" w:rsidRDefault="00E8582A" w:rsidP="000E7B77">
      <w:pPr>
        <w:pStyle w:val="ListParagraph"/>
        <w:numPr>
          <w:ilvl w:val="0"/>
          <w:numId w:val="43"/>
        </w:numPr>
        <w:spacing w:after="0"/>
        <w:ind w:left="450" w:hanging="450"/>
        <w:rPr>
          <w:rFonts w:ascii="Gill Sans MT" w:hAnsi="Gill Sans MT"/>
          <w:color w:val="333333"/>
        </w:rPr>
      </w:pPr>
      <w:r w:rsidRPr="000E7B77">
        <w:rPr>
          <w:rFonts w:ascii="Gill Sans MT" w:hAnsi="Gill Sans MT"/>
          <w:b/>
          <w:u w:val="single"/>
        </w:rPr>
        <w:t>Executive Summary</w:t>
      </w:r>
      <w:r w:rsidRPr="000E7B77">
        <w:rPr>
          <w:rFonts w:ascii="Gill Sans MT" w:hAnsi="Gill Sans MT"/>
          <w:color w:val="333333"/>
        </w:rPr>
        <w:t>:</w:t>
      </w:r>
    </w:p>
    <w:p w:rsidR="00E8582A" w:rsidRPr="006E5D36" w:rsidRDefault="00E8582A" w:rsidP="00B16C4D">
      <w:pPr>
        <w:spacing w:after="0"/>
        <w:rPr>
          <w:rFonts w:ascii="Gill Sans MT" w:hAnsi="Gill Sans MT"/>
          <w:color w:val="333333"/>
          <w:sz w:val="16"/>
          <w:szCs w:val="16"/>
        </w:rPr>
      </w:pPr>
    </w:p>
    <w:p w:rsidR="00E8582A" w:rsidRPr="00672C49" w:rsidRDefault="00E8582A" w:rsidP="00B16C4D">
      <w:pPr>
        <w:spacing w:after="120"/>
        <w:rPr>
          <w:rFonts w:ascii="Gill Sans MT" w:hAnsi="Gill Sans MT"/>
          <w:b/>
          <w:color w:val="2D6145"/>
        </w:rPr>
      </w:pPr>
      <w:r w:rsidRPr="00672C49">
        <w:rPr>
          <w:rFonts w:ascii="Gill Sans MT" w:hAnsi="Gill Sans MT"/>
          <w:b/>
          <w:color w:val="2D6145"/>
        </w:rPr>
        <w:t>TFG posted another strong quarter</w:t>
      </w:r>
      <w:r>
        <w:rPr>
          <w:rFonts w:ascii="Gill Sans MT" w:hAnsi="Gill Sans MT"/>
          <w:b/>
          <w:color w:val="2D6145"/>
        </w:rPr>
        <w:t xml:space="preserve"> of</w:t>
      </w:r>
      <w:r w:rsidRPr="00672C49">
        <w:rPr>
          <w:rFonts w:ascii="Gill Sans MT" w:hAnsi="Gill Sans MT"/>
          <w:b/>
          <w:color w:val="2D6145"/>
        </w:rPr>
        <w:t xml:space="preserve"> results, although as expected the pace of growth has slowed compared to the dramatic recovery period of early 2011</w:t>
      </w:r>
      <w:r>
        <w:rPr>
          <w:rFonts w:ascii="Gill Sans MT" w:hAnsi="Gill Sans MT"/>
          <w:b/>
          <w:color w:val="2D6145"/>
        </w:rPr>
        <w:t>.</w:t>
      </w:r>
    </w:p>
    <w:p w:rsidR="00E8582A" w:rsidRPr="00751288" w:rsidRDefault="00E8582A" w:rsidP="00B16C4D">
      <w:pPr>
        <w:spacing w:after="120"/>
        <w:rPr>
          <w:rFonts w:ascii="GillSansMT" w:hAnsi="GillSansMT"/>
          <w:b/>
          <w:color w:val="2F6B6A"/>
          <w:sz w:val="20"/>
          <w:szCs w:val="20"/>
        </w:rPr>
      </w:pPr>
    </w:p>
    <w:tbl>
      <w:tblPr>
        <w:tblW w:w="0" w:type="auto"/>
        <w:tblLook w:val="00A0"/>
      </w:tblPr>
      <w:tblGrid>
        <w:gridCol w:w="3438"/>
        <w:gridCol w:w="3690"/>
        <w:gridCol w:w="3747"/>
      </w:tblGrid>
      <w:tr w:rsidR="00E8582A" w:rsidRPr="008E2CFF" w:rsidTr="00C43573">
        <w:tc>
          <w:tcPr>
            <w:tcW w:w="3438" w:type="dxa"/>
          </w:tcPr>
          <w:p w:rsidR="00E8582A" w:rsidRPr="00F26676" w:rsidRDefault="00E8582A" w:rsidP="00F26676">
            <w:pPr>
              <w:pStyle w:val="ListParagraph"/>
              <w:numPr>
                <w:ilvl w:val="0"/>
                <w:numId w:val="41"/>
              </w:numPr>
              <w:spacing w:after="0"/>
              <w:ind w:left="274" w:hanging="274"/>
              <w:rPr>
                <w:rFonts w:ascii="GillSansMT" w:hAnsi="GillSansMT"/>
                <w:b/>
                <w:color w:val="548DD4"/>
              </w:rPr>
            </w:pPr>
            <w:r w:rsidRPr="00F26676">
              <w:rPr>
                <w:rFonts w:ascii="Gill Sans MT" w:hAnsi="Gill Sans MT"/>
                <w:b/>
                <w:color w:val="41918F"/>
              </w:rPr>
              <w:t>Earnings per Share:</w:t>
            </w:r>
            <w:r w:rsidRPr="00F26676">
              <w:rPr>
                <w:rFonts w:ascii="Gill Sans MT" w:hAnsi="Gill Sans MT"/>
              </w:rPr>
              <w:t xml:space="preserve"> TFG generated EPS of $0.46 during Q1 2012 (Q4 2011: $0.69).</w:t>
            </w:r>
            <w:r w:rsidRPr="00F26676">
              <w:rPr>
                <w:rFonts w:ascii="GillSansMT" w:hAnsi="GillSansMT"/>
              </w:rPr>
              <w:t xml:space="preserve"> </w:t>
            </w:r>
          </w:p>
        </w:tc>
        <w:tc>
          <w:tcPr>
            <w:tcW w:w="3690" w:type="dxa"/>
          </w:tcPr>
          <w:p w:rsidR="00E8582A" w:rsidRPr="00C43573" w:rsidRDefault="00E8582A" w:rsidP="00357EA6">
            <w:pPr>
              <w:pStyle w:val="ListParagraph"/>
              <w:numPr>
                <w:ilvl w:val="0"/>
                <w:numId w:val="42"/>
              </w:numPr>
              <w:spacing w:after="0"/>
              <w:ind w:left="245" w:hanging="274"/>
              <w:rPr>
                <w:rFonts w:ascii="GillSansMT" w:hAnsi="GillSansMT"/>
                <w:b/>
                <w:color w:val="548DD4"/>
                <w:sz w:val="20"/>
                <w:szCs w:val="20"/>
              </w:rPr>
            </w:pPr>
            <w:r w:rsidRPr="00C43573">
              <w:rPr>
                <w:rFonts w:ascii="Gill Sans MT" w:hAnsi="Gill Sans MT"/>
                <w:b/>
                <w:color w:val="41918F"/>
              </w:rPr>
              <w:t>Distributions:</w:t>
            </w:r>
            <w:r w:rsidRPr="00C43573">
              <w:rPr>
                <w:rFonts w:ascii="Gill Sans MT" w:hAnsi="Gill Sans MT"/>
              </w:rPr>
              <w:t xml:space="preserve">  TFG declared a Q1 2012 dividend of $0.105 per share, unchanged from Q4 2011. The company also used over $9.1 million to buy back shares below NAV during the quarter.</w:t>
            </w:r>
          </w:p>
        </w:tc>
        <w:tc>
          <w:tcPr>
            <w:tcW w:w="3747" w:type="dxa"/>
          </w:tcPr>
          <w:p w:rsidR="00E8582A" w:rsidRPr="00C43573" w:rsidRDefault="00E8582A" w:rsidP="00C43573">
            <w:pPr>
              <w:numPr>
                <w:ilvl w:val="0"/>
                <w:numId w:val="36"/>
              </w:numPr>
              <w:spacing w:after="0"/>
              <w:ind w:left="342" w:right="23" w:hanging="342"/>
              <w:rPr>
                <w:rFonts w:ascii="GillSansMT" w:hAnsi="GillSansMT"/>
                <w:sz w:val="20"/>
                <w:szCs w:val="20"/>
              </w:rPr>
            </w:pPr>
            <w:r w:rsidRPr="00C43573">
              <w:rPr>
                <w:rFonts w:ascii="Gill Sans MT" w:hAnsi="Gill Sans MT"/>
                <w:b/>
                <w:color w:val="41918F"/>
              </w:rPr>
              <w:t>Net Asset Value (“NAV”):</w:t>
            </w:r>
            <w:r w:rsidRPr="00C43573">
              <w:rPr>
                <w:rFonts w:ascii="GillSansMT" w:hAnsi="GillSansMT"/>
                <w:color w:val="41918F"/>
                <w:sz w:val="20"/>
                <w:szCs w:val="20"/>
              </w:rPr>
              <w:t xml:space="preserve">  </w:t>
            </w:r>
            <w:r w:rsidRPr="00C43573">
              <w:rPr>
                <w:rFonts w:ascii="Gill Sans MT" w:hAnsi="Gill Sans MT"/>
              </w:rPr>
              <w:t>Rose to $1,510.1 million or $13.12 per share at Q1 2012, the highest level to date, and an increase of 3</w:t>
            </w:r>
            <w:r>
              <w:rPr>
                <w:rFonts w:ascii="Gill Sans MT" w:hAnsi="Gill Sans MT"/>
              </w:rPr>
              <w:t>.2</w:t>
            </w:r>
            <w:r w:rsidRPr="00C43573">
              <w:rPr>
                <w:rFonts w:ascii="Gill Sans MT" w:hAnsi="Gill Sans MT"/>
              </w:rPr>
              <w:t>%</w:t>
            </w:r>
            <w:r>
              <w:rPr>
                <w:rFonts w:ascii="Gill Sans MT" w:hAnsi="Gill Sans MT"/>
              </w:rPr>
              <w:t>, on a per share basis,</w:t>
            </w:r>
            <w:r w:rsidRPr="00C43573">
              <w:rPr>
                <w:rFonts w:ascii="Gill Sans MT" w:hAnsi="Gill Sans MT"/>
              </w:rPr>
              <w:t xml:space="preserve"> from Q4 2011.</w:t>
            </w:r>
          </w:p>
        </w:tc>
      </w:tr>
    </w:tbl>
    <w:p w:rsidR="00E8582A" w:rsidRDefault="00E8582A" w:rsidP="003E20B2">
      <w:pPr>
        <w:spacing w:after="120"/>
        <w:rPr>
          <w:rFonts w:ascii="Gill Sans MT" w:hAnsi="Gill Sans MT"/>
          <w:b/>
          <w:color w:val="333333"/>
        </w:rPr>
      </w:pPr>
      <w:r w:rsidRPr="006E5D36">
        <w:rPr>
          <w:rFonts w:ascii="Gill Sans MT" w:hAnsi="Gill Sans MT"/>
          <w:b/>
          <w:color w:val="333333"/>
        </w:rPr>
        <w:t xml:space="preserve"> </w:t>
      </w:r>
    </w:p>
    <w:p w:rsidR="00E8582A" w:rsidRPr="00751938" w:rsidRDefault="00E8582A" w:rsidP="00F26676">
      <w:pPr>
        <w:spacing w:after="0"/>
        <w:rPr>
          <w:rFonts w:ascii="Gill Sans MT" w:hAnsi="Gill Sans MT"/>
          <w:color w:val="333333"/>
        </w:rPr>
      </w:pPr>
      <w:r w:rsidRPr="00751938">
        <w:rPr>
          <w:rFonts w:ascii="Gill Sans MT" w:hAnsi="Gill Sans MT"/>
          <w:i/>
        </w:rPr>
        <w:t>Figure 1</w:t>
      </w:r>
      <w:r>
        <w:rPr>
          <w:rFonts w:ascii="Gill Sans MT" w:hAnsi="Gill Sans MT"/>
        </w:rPr>
        <w:t xml:space="preserve"> below shows an historical summary of TFG’s Net Assets, NAV per share and share price.</w:t>
      </w:r>
    </w:p>
    <w:p w:rsidR="00E8582A" w:rsidRPr="008F4FE0" w:rsidRDefault="00E8582A" w:rsidP="006107E5">
      <w:pPr>
        <w:pStyle w:val="ListParagraph"/>
        <w:tabs>
          <w:tab w:val="left" w:pos="630"/>
        </w:tabs>
        <w:spacing w:after="120"/>
        <w:rPr>
          <w:rFonts w:ascii="Gill Sans MT" w:hAnsi="Gill Sans MT"/>
          <w:b/>
          <w:color w:val="333333"/>
          <w:sz w:val="8"/>
          <w:szCs w:val="8"/>
        </w:rPr>
      </w:pPr>
    </w:p>
    <w:p w:rsidR="00E8582A" w:rsidRDefault="00E8582A" w:rsidP="00877A7B">
      <w:pPr>
        <w:pStyle w:val="ListParagraph"/>
        <w:tabs>
          <w:tab w:val="left" w:pos="630"/>
        </w:tabs>
        <w:spacing w:after="120"/>
        <w:ind w:left="0"/>
        <w:jc w:val="center"/>
        <w:rPr>
          <w:rFonts w:ascii="Gill Sans MT" w:hAnsi="Gill Sans MT"/>
          <w:b/>
          <w:color w:val="333333"/>
        </w:rPr>
      </w:pPr>
      <w:r w:rsidRPr="00DD2F2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32.5pt;height:195pt;visibility:visible">
            <v:imagedata r:id="rId7" o:title=""/>
          </v:shape>
        </w:pict>
      </w:r>
    </w:p>
    <w:p w:rsidR="00E8582A" w:rsidRPr="007523B6" w:rsidRDefault="00E8582A" w:rsidP="007523B6">
      <w:pPr>
        <w:pStyle w:val="ListParagraph"/>
        <w:tabs>
          <w:tab w:val="left" w:pos="270"/>
        </w:tabs>
        <w:spacing w:before="240"/>
        <w:ind w:left="547"/>
        <w:jc w:val="left"/>
        <w:outlineLvl w:val="0"/>
        <w:rPr>
          <w:rFonts w:ascii="Gill Sans MT" w:hAnsi="Gill Sans MT"/>
          <w:sz w:val="4"/>
          <w:szCs w:val="4"/>
        </w:rPr>
      </w:pPr>
    </w:p>
    <w:p w:rsidR="00E8582A" w:rsidRDefault="00E8582A">
      <w:pPr>
        <w:pStyle w:val="ListParagraph"/>
        <w:numPr>
          <w:ilvl w:val="0"/>
          <w:numId w:val="8"/>
        </w:numPr>
        <w:tabs>
          <w:tab w:val="left" w:pos="90"/>
        </w:tabs>
        <w:spacing w:before="240"/>
        <w:ind w:left="180" w:hanging="180"/>
        <w:outlineLvl w:val="0"/>
        <w:rPr>
          <w:rFonts w:ascii="Gill Sans MT" w:hAnsi="Gill Sans MT"/>
          <w:color w:val="2D6145"/>
          <w:sz w:val="16"/>
          <w:szCs w:val="16"/>
        </w:rPr>
      </w:pPr>
      <w:r w:rsidRPr="005217BB">
        <w:rPr>
          <w:rFonts w:ascii="Gill Sans MT" w:hAnsi="Gill Sans MT"/>
          <w:sz w:val="16"/>
          <w:szCs w:val="16"/>
        </w:rPr>
        <w:t>Source:</w:t>
      </w:r>
      <w:r>
        <w:rPr>
          <w:rFonts w:ascii="Gill Sans MT" w:hAnsi="Gill Sans MT"/>
          <w:sz w:val="16"/>
          <w:szCs w:val="16"/>
        </w:rPr>
        <w:t xml:space="preserve">  NAV per share based on TFG’s financial statements as of the relevant quarter-end date; TFG’s </w:t>
      </w:r>
      <w:r w:rsidRPr="005C6C9F">
        <w:rPr>
          <w:rFonts w:ascii="Gill Sans MT" w:hAnsi="Gill Sans MT"/>
          <w:sz w:val="16"/>
          <w:szCs w:val="16"/>
        </w:rPr>
        <w:t>closing share price data as per Bloomberg</w:t>
      </w:r>
      <w:r>
        <w:rPr>
          <w:rFonts w:ascii="Gill Sans MT" w:hAnsi="Gill Sans MT"/>
          <w:sz w:val="16"/>
          <w:szCs w:val="16"/>
        </w:rPr>
        <w:t xml:space="preserve"> as of the last trading day of each quarter</w:t>
      </w:r>
      <w:r w:rsidRPr="005C6C9F">
        <w:rPr>
          <w:rFonts w:ascii="Gill Sans MT" w:hAnsi="Gill Sans MT"/>
          <w:sz w:val="16"/>
          <w:szCs w:val="16"/>
        </w:rPr>
        <w:t>.</w:t>
      </w:r>
      <w:r>
        <w:rPr>
          <w:rFonts w:ascii="Gill Sans MT" w:hAnsi="Gill Sans MT"/>
          <w:sz w:val="16"/>
          <w:szCs w:val="16"/>
        </w:rPr>
        <w:t xml:space="preserve"> </w:t>
      </w:r>
      <w:r w:rsidRPr="008516FF">
        <w:rPr>
          <w:rFonts w:ascii="Gill Sans MT" w:hAnsi="Gill Sans MT"/>
          <w:sz w:val="16"/>
          <w:szCs w:val="16"/>
        </w:rPr>
        <w:t>Please note that the NAV per share reported as of each quarter-end date excludes any shares held in treasury as of that date.</w:t>
      </w:r>
    </w:p>
    <w:p w:rsidR="00E8582A" w:rsidRDefault="00E8582A" w:rsidP="00CB6E4F">
      <w:pPr>
        <w:pStyle w:val="ListParagraph"/>
        <w:tabs>
          <w:tab w:val="left" w:pos="540"/>
        </w:tabs>
        <w:spacing w:after="0"/>
        <w:ind w:left="360"/>
        <w:rPr>
          <w:rFonts w:ascii="Gill Sans MT" w:hAnsi="Gill Sans MT"/>
          <w:color w:val="2D6145"/>
          <w:sz w:val="16"/>
          <w:szCs w:val="16"/>
        </w:rPr>
      </w:pPr>
    </w:p>
    <w:p w:rsidR="00E8582A" w:rsidRPr="00927B66" w:rsidRDefault="00E8582A" w:rsidP="00B16C4D">
      <w:pPr>
        <w:spacing w:after="0"/>
        <w:rPr>
          <w:rFonts w:ascii="Gill Sans MT" w:hAnsi="Gill Sans MT"/>
          <w:color w:val="333333"/>
          <w:sz w:val="16"/>
          <w:szCs w:val="16"/>
        </w:rPr>
      </w:pPr>
    </w:p>
    <w:p w:rsidR="00E8582A" w:rsidRPr="00C43573" w:rsidRDefault="00E8582A" w:rsidP="00C43573">
      <w:pPr>
        <w:pStyle w:val="ListParagraph"/>
        <w:numPr>
          <w:ilvl w:val="0"/>
          <w:numId w:val="47"/>
        </w:numPr>
        <w:spacing w:after="0"/>
        <w:ind w:left="360" w:hanging="270"/>
        <w:rPr>
          <w:rFonts w:ascii="Gill Sans MT" w:hAnsi="Gill Sans MT"/>
          <w:color w:val="333333"/>
        </w:rPr>
      </w:pPr>
      <w:r w:rsidRPr="00C43573">
        <w:rPr>
          <w:rFonts w:ascii="Gill Sans MT" w:hAnsi="Gill Sans MT"/>
          <w:b/>
          <w:color w:val="333333"/>
          <w:u w:val="single"/>
        </w:rPr>
        <w:t>Net Income</w:t>
      </w:r>
      <w:r w:rsidRPr="00C43573">
        <w:rPr>
          <w:rFonts w:ascii="Gill Sans MT" w:hAnsi="Gill Sans MT"/>
          <w:b/>
          <w:color w:val="333333"/>
        </w:rPr>
        <w:t xml:space="preserve">: </w:t>
      </w:r>
      <w:r>
        <w:rPr>
          <w:rFonts w:ascii="Gill Sans MT" w:hAnsi="Gill Sans MT"/>
          <w:b/>
          <w:color w:val="333333"/>
        </w:rPr>
        <w:t xml:space="preserve"> </w:t>
      </w:r>
      <w:r w:rsidRPr="00C43573">
        <w:rPr>
          <w:rFonts w:ascii="Gill Sans MT" w:hAnsi="Gill Sans MT"/>
          <w:color w:val="333333"/>
        </w:rPr>
        <w:t>Consolidated net income of $53.4 million for Q1 2012 (Q4 2011: consolidated net income of $80.3 million).</w:t>
      </w:r>
    </w:p>
    <w:p w:rsidR="00E8582A" w:rsidRDefault="00E8582A" w:rsidP="00C43573">
      <w:pPr>
        <w:spacing w:after="0"/>
        <w:ind w:hanging="270"/>
        <w:rPr>
          <w:rFonts w:ascii="Gill Sans MT" w:hAnsi="Gill Sans MT"/>
          <w:color w:val="333333"/>
          <w:sz w:val="16"/>
          <w:szCs w:val="16"/>
        </w:rPr>
      </w:pPr>
    </w:p>
    <w:p w:rsidR="00E8582A" w:rsidRDefault="00E8582A" w:rsidP="00495231">
      <w:pPr>
        <w:pStyle w:val="FootnoteText"/>
        <w:spacing w:after="120" w:line="180" w:lineRule="exact"/>
        <w:rPr>
          <w:rFonts w:ascii="Gill Sans MT" w:hAnsi="Gill Sans MT"/>
          <w:sz w:val="15"/>
          <w:szCs w:val="15"/>
        </w:rPr>
      </w:pPr>
      <w:r w:rsidRPr="008B50F5">
        <w:rPr>
          <w:rFonts w:ascii="Gill Sans MT" w:hAnsi="Gill Sans MT"/>
          <w:sz w:val="15"/>
          <w:szCs w:val="15"/>
        </w:rPr>
        <w:t>This Performance Report constitutes TFG’s interim management statement as required pursuant to Section 5:25e of the Netherlands Financial Markets Supervision Act (</w:t>
      </w:r>
      <w:r w:rsidRPr="008B50F5">
        <w:rPr>
          <w:rFonts w:ascii="Gill Sans MT" w:hAnsi="Gill Sans MT"/>
          <w:i/>
          <w:sz w:val="15"/>
          <w:szCs w:val="15"/>
        </w:rPr>
        <w:t>Wet op het financieel toezicht</w:t>
      </w:r>
      <w:r w:rsidRPr="008B50F5">
        <w:rPr>
          <w:rFonts w:ascii="Gill Sans MT" w:hAnsi="Gill Sans MT"/>
          <w:sz w:val="15"/>
          <w:szCs w:val="15"/>
        </w:rPr>
        <w:t>, “FMSA”). Pursuant to Section 5:25e and 5:25m of the FMSA, this report is made public by means of a press release and has been filed with the Netherlands Authority for the Financial Markets (</w:t>
      </w:r>
      <w:r w:rsidRPr="008B50F5">
        <w:rPr>
          <w:rFonts w:ascii="Gill Sans MT" w:hAnsi="Gill Sans MT"/>
          <w:i/>
          <w:sz w:val="15"/>
          <w:szCs w:val="15"/>
        </w:rPr>
        <w:t>Autoriteit Financiele Marketen</w:t>
      </w:r>
      <w:r w:rsidRPr="008B50F5">
        <w:rPr>
          <w:rFonts w:ascii="Gill Sans MT" w:hAnsi="Gill Sans MT"/>
          <w:sz w:val="15"/>
          <w:szCs w:val="15"/>
        </w:rPr>
        <w:t>) and also made available to the public by way of publication on the TFG website (</w:t>
      </w:r>
      <w:hyperlink r:id="rId8" w:history="1">
        <w:r w:rsidRPr="008B50F5">
          <w:rPr>
            <w:rStyle w:val="Hyperlink"/>
            <w:rFonts w:ascii="Gill Sans MT" w:hAnsi="Gill Sans MT"/>
            <w:color w:val="336600"/>
            <w:sz w:val="15"/>
            <w:szCs w:val="15"/>
          </w:rPr>
          <w:t>www.tetragoninv.com</w:t>
        </w:r>
      </w:hyperlink>
      <w:r w:rsidRPr="008B50F5">
        <w:rPr>
          <w:rFonts w:ascii="Gill Sans MT" w:hAnsi="Gill Sans MT"/>
          <w:sz w:val="15"/>
          <w:szCs w:val="15"/>
        </w:rPr>
        <w:t>).</w:t>
      </w:r>
    </w:p>
    <w:p w:rsidR="00E8582A" w:rsidRDefault="00E8582A" w:rsidP="00495231">
      <w:pPr>
        <w:pStyle w:val="FootnoteText"/>
        <w:spacing w:after="120" w:line="180" w:lineRule="exact"/>
        <w:rPr>
          <w:rFonts w:ascii="Gill Sans MT" w:hAnsi="Gill Sans MT"/>
          <w:sz w:val="15"/>
          <w:szCs w:val="15"/>
        </w:rPr>
      </w:pPr>
    </w:p>
    <w:p w:rsidR="00E8582A" w:rsidRPr="000E7B77" w:rsidRDefault="00E8582A" w:rsidP="000E7B77">
      <w:pPr>
        <w:pStyle w:val="ListParagraph"/>
        <w:numPr>
          <w:ilvl w:val="0"/>
          <w:numId w:val="43"/>
        </w:numPr>
        <w:tabs>
          <w:tab w:val="left" w:pos="360"/>
        </w:tabs>
        <w:spacing w:after="0"/>
        <w:ind w:hanging="720"/>
        <w:rPr>
          <w:rFonts w:ascii="Gill Sans MT" w:hAnsi="Gill Sans MT"/>
          <w:color w:val="333333"/>
        </w:rPr>
      </w:pPr>
      <w:r w:rsidRPr="000E7B77">
        <w:rPr>
          <w:rFonts w:ascii="Gill Sans MT" w:hAnsi="Gill Sans MT"/>
          <w:b/>
          <w:u w:val="single"/>
        </w:rPr>
        <w:t>Executive Summary (continued)</w:t>
      </w:r>
      <w:r w:rsidRPr="000E7B77">
        <w:rPr>
          <w:rFonts w:ascii="Gill Sans MT" w:hAnsi="Gill Sans MT"/>
          <w:color w:val="333333"/>
        </w:rPr>
        <w:t>:</w:t>
      </w:r>
    </w:p>
    <w:p w:rsidR="00E8582A" w:rsidRPr="007E304D" w:rsidRDefault="00E8582A" w:rsidP="00B16C4D">
      <w:pPr>
        <w:spacing w:after="0"/>
        <w:rPr>
          <w:rFonts w:ascii="Gill Sans MT" w:hAnsi="Gill Sans MT"/>
          <w:color w:val="333333"/>
          <w:sz w:val="16"/>
          <w:szCs w:val="16"/>
        </w:rPr>
      </w:pPr>
    </w:p>
    <w:p w:rsidR="00E8582A" w:rsidRPr="00D17BC9" w:rsidRDefault="00E8582A" w:rsidP="00BD13A3">
      <w:pPr>
        <w:pStyle w:val="ListParagraph"/>
        <w:numPr>
          <w:ilvl w:val="0"/>
          <w:numId w:val="11"/>
        </w:numPr>
        <w:tabs>
          <w:tab w:val="left" w:pos="630"/>
        </w:tabs>
        <w:spacing w:after="120"/>
        <w:rPr>
          <w:rFonts w:ascii="Gill Sans MT" w:hAnsi="Gill Sans MT"/>
          <w:b/>
          <w:color w:val="333333"/>
        </w:rPr>
      </w:pPr>
      <w:r w:rsidRPr="00A47493">
        <w:rPr>
          <w:rFonts w:ascii="Gill Sans MT" w:hAnsi="Gill Sans MT"/>
          <w:b/>
          <w:u w:val="single"/>
        </w:rPr>
        <w:t>Asset Breakdown</w:t>
      </w:r>
      <w:r w:rsidRPr="00A47493">
        <w:rPr>
          <w:rFonts w:ascii="Gill Sans MT" w:hAnsi="Gill Sans MT"/>
          <w:b/>
        </w:rPr>
        <w:t>:</w:t>
      </w:r>
      <w:r>
        <w:rPr>
          <w:rFonts w:ascii="Gill Sans MT" w:hAnsi="Gill Sans MT"/>
        </w:rPr>
        <w:t xml:space="preserve"> The figures below illustrate </w:t>
      </w:r>
      <w:r w:rsidRPr="00A30A89">
        <w:rPr>
          <w:rFonts w:ascii="Gill Sans MT" w:hAnsi="Gill Sans MT"/>
        </w:rPr>
        <w:t xml:space="preserve">the split of net assets by asset class at the end of </w:t>
      </w:r>
      <w:r>
        <w:rPr>
          <w:rFonts w:ascii="Gill Sans MT" w:hAnsi="Gill Sans MT"/>
        </w:rPr>
        <w:t xml:space="preserve">Q1 2012 </w:t>
      </w:r>
      <w:r w:rsidRPr="00A30A89">
        <w:rPr>
          <w:rFonts w:ascii="Gill Sans MT" w:hAnsi="Gill Sans MT"/>
        </w:rPr>
        <w:t>($1,</w:t>
      </w:r>
      <w:r>
        <w:rPr>
          <w:rFonts w:ascii="Gill Sans MT" w:hAnsi="Gill Sans MT"/>
        </w:rPr>
        <w:t>510,100,263</w:t>
      </w:r>
      <w:r w:rsidRPr="00A30A89">
        <w:rPr>
          <w:rFonts w:ascii="Gill Sans MT" w:hAnsi="Gill Sans MT"/>
        </w:rPr>
        <w:t>) and</w:t>
      </w:r>
      <w:r>
        <w:rPr>
          <w:rFonts w:ascii="Gill Sans MT" w:hAnsi="Gill Sans MT"/>
        </w:rPr>
        <w:t xml:space="preserve"> Q4 2011 (</w:t>
      </w:r>
      <w:r w:rsidRPr="00A30A89">
        <w:rPr>
          <w:rFonts w:ascii="Gill Sans MT" w:hAnsi="Gill Sans MT"/>
        </w:rPr>
        <w:t>$1,474,355,249), respectively.</w:t>
      </w:r>
    </w:p>
    <w:p w:rsidR="00E8582A" w:rsidRPr="006107E5" w:rsidRDefault="00E8582A" w:rsidP="00D17BC9">
      <w:pPr>
        <w:pStyle w:val="ListParagraph"/>
        <w:tabs>
          <w:tab w:val="left" w:pos="630"/>
        </w:tabs>
        <w:spacing w:after="120"/>
        <w:ind w:left="360"/>
        <w:rPr>
          <w:rFonts w:ascii="Gill Sans MT" w:hAnsi="Gill Sans MT"/>
          <w:b/>
          <w:color w:val="333333"/>
        </w:rPr>
      </w:pPr>
    </w:p>
    <w:p w:rsidR="00E8582A" w:rsidRPr="00A30A89" w:rsidRDefault="00E8582A" w:rsidP="0015723D">
      <w:pPr>
        <w:spacing w:after="0"/>
        <w:jc w:val="center"/>
        <w:rPr>
          <w:rFonts w:ascii="Gill Sans MT" w:hAnsi="Gill Sans MT"/>
          <w:color w:val="333333"/>
        </w:rPr>
      </w:pPr>
      <w:r w:rsidRPr="00DD2F28">
        <w:rPr>
          <w:noProof/>
          <w:lang w:val="en-GB" w:eastAsia="en-GB"/>
        </w:rPr>
        <w:pict>
          <v:shape id="Picture 1" o:spid="_x0000_i1026" type="#_x0000_t75" style="width:532.5pt;height:237.75pt;visibility:visible">
            <v:imagedata r:id="rId9" o:title=""/>
          </v:shape>
        </w:pict>
      </w:r>
    </w:p>
    <w:p w:rsidR="00E8582A" w:rsidRPr="005F7851" w:rsidRDefault="00E8582A" w:rsidP="00C44A9F">
      <w:pPr>
        <w:pStyle w:val="ListParagraph"/>
        <w:spacing w:after="0"/>
        <w:ind w:left="360"/>
        <w:rPr>
          <w:rFonts w:ascii="Gill Sans MT" w:hAnsi="Gill Sans MT"/>
          <w:b/>
          <w:color w:val="333333"/>
          <w:sz w:val="16"/>
          <w:szCs w:val="16"/>
          <w:u w:val="single"/>
        </w:rPr>
      </w:pPr>
    </w:p>
    <w:p w:rsidR="00E8582A" w:rsidRDefault="00E8582A" w:rsidP="002D2329">
      <w:pPr>
        <w:spacing w:after="0"/>
        <w:rPr>
          <w:rFonts w:ascii="Gill Sans MT" w:hAnsi="Gill Sans MT"/>
          <w:b/>
          <w:color w:val="2D6145"/>
        </w:rPr>
      </w:pPr>
    </w:p>
    <w:p w:rsidR="00E8582A" w:rsidRDefault="00E8582A" w:rsidP="002D2329">
      <w:pPr>
        <w:spacing w:after="0"/>
        <w:rPr>
          <w:rFonts w:ascii="Gill Sans MT" w:hAnsi="Gill Sans MT"/>
          <w:b/>
          <w:color w:val="333333"/>
        </w:rPr>
      </w:pPr>
      <w:r w:rsidRPr="006E5D36">
        <w:rPr>
          <w:rFonts w:ascii="Gill Sans MT" w:hAnsi="Gill Sans MT"/>
          <w:b/>
          <w:color w:val="2D6145"/>
        </w:rPr>
        <w:t xml:space="preserve">Investment Portfolio Performance </w:t>
      </w:r>
      <w:r>
        <w:rPr>
          <w:rFonts w:ascii="Gill Sans MT" w:hAnsi="Gill Sans MT"/>
          <w:b/>
          <w:color w:val="2D6145"/>
        </w:rPr>
        <w:t>Highlights</w:t>
      </w:r>
      <w:r w:rsidRPr="006E5D36">
        <w:rPr>
          <w:rFonts w:ascii="Gill Sans MT" w:hAnsi="Gill Sans MT"/>
          <w:b/>
          <w:color w:val="333333"/>
        </w:rPr>
        <w:t xml:space="preserve"> </w:t>
      </w:r>
    </w:p>
    <w:p w:rsidR="00E8582A" w:rsidRDefault="00E8582A" w:rsidP="00B16C4D">
      <w:pPr>
        <w:ind w:right="23"/>
        <w:rPr>
          <w:rFonts w:ascii="Gill Sans MT" w:hAnsi="Gill Sans MT"/>
          <w:b/>
          <w:color w:val="2D6145"/>
          <w:sz w:val="16"/>
          <w:szCs w:val="16"/>
        </w:rPr>
      </w:pPr>
    </w:p>
    <w:p w:rsidR="00E8582A" w:rsidRPr="00E23D48" w:rsidRDefault="00E8582A" w:rsidP="00B16C4D">
      <w:pPr>
        <w:ind w:right="23"/>
        <w:rPr>
          <w:rFonts w:ascii="Gill Sans MT" w:hAnsi="Gill Sans MT"/>
          <w:b/>
          <w:color w:val="2D6145"/>
        </w:rPr>
      </w:pPr>
      <w:r w:rsidRPr="00E23D48">
        <w:rPr>
          <w:rFonts w:ascii="Gill Sans MT" w:hAnsi="Gill Sans MT"/>
          <w:b/>
          <w:color w:val="2D6145"/>
        </w:rPr>
        <w:t xml:space="preserve">TFG’s U.S. CLO and direct loan portfolios continued to perform strongly in Q1 2012, although the </w:t>
      </w:r>
      <w:r>
        <w:rPr>
          <w:rFonts w:ascii="Gill Sans MT" w:hAnsi="Gill Sans MT"/>
          <w:b/>
          <w:color w:val="2D6145"/>
        </w:rPr>
        <w:t xml:space="preserve">comparatively </w:t>
      </w:r>
      <w:r w:rsidRPr="00E23D48">
        <w:rPr>
          <w:rFonts w:ascii="Gill Sans MT" w:hAnsi="Gill Sans MT"/>
          <w:b/>
          <w:color w:val="2D6145"/>
        </w:rPr>
        <w:t>small European CLO portfolio continue</w:t>
      </w:r>
      <w:r>
        <w:rPr>
          <w:rFonts w:ascii="Gill Sans MT" w:hAnsi="Gill Sans MT"/>
          <w:b/>
          <w:color w:val="2D6145"/>
        </w:rPr>
        <w:t>d</w:t>
      </w:r>
      <w:r w:rsidRPr="00E23D48">
        <w:rPr>
          <w:rFonts w:ascii="Gill Sans MT" w:hAnsi="Gill Sans MT"/>
          <w:b/>
          <w:color w:val="2D6145"/>
        </w:rPr>
        <w:t xml:space="preserve"> to underperform.</w:t>
      </w:r>
    </w:p>
    <w:p w:rsidR="00E8582A" w:rsidRDefault="00E8582A" w:rsidP="00B16C4D">
      <w:pPr>
        <w:ind w:right="23"/>
        <w:rPr>
          <w:rFonts w:ascii="GillSansMT" w:hAnsi="GillSansMT"/>
          <w:b/>
          <w:color w:val="2F6B6A"/>
          <w:sz w:val="16"/>
          <w:szCs w:val="16"/>
        </w:rPr>
      </w:pPr>
    </w:p>
    <w:p w:rsidR="00E8582A" w:rsidRPr="000C1334" w:rsidRDefault="00E8582A" w:rsidP="00B16C4D">
      <w:pPr>
        <w:ind w:right="23"/>
        <w:rPr>
          <w:rFonts w:ascii="GillSansMT" w:hAnsi="GillSansMT"/>
          <w:b/>
          <w:color w:val="2F6B6A"/>
          <w:sz w:val="16"/>
          <w:szCs w:val="16"/>
        </w:rPr>
      </w:pPr>
    </w:p>
    <w:tbl>
      <w:tblPr>
        <w:tblW w:w="10875" w:type="dxa"/>
        <w:tblLook w:val="00A0"/>
      </w:tblPr>
      <w:tblGrid>
        <w:gridCol w:w="3625"/>
        <w:gridCol w:w="3625"/>
        <w:gridCol w:w="3625"/>
      </w:tblGrid>
      <w:tr w:rsidR="00E8582A" w:rsidRPr="008E2CFF" w:rsidTr="0043418B">
        <w:tc>
          <w:tcPr>
            <w:tcW w:w="3625" w:type="dxa"/>
          </w:tcPr>
          <w:p w:rsidR="00E8582A" w:rsidRDefault="00E8582A" w:rsidP="0072556E">
            <w:pPr>
              <w:numPr>
                <w:ilvl w:val="0"/>
                <w:numId w:val="37"/>
              </w:numPr>
              <w:spacing w:after="0"/>
              <w:ind w:left="270" w:right="23" w:hanging="270"/>
              <w:rPr>
                <w:rFonts w:ascii="GillSansMT" w:hAnsi="GillSansMT"/>
                <w:sz w:val="20"/>
                <w:szCs w:val="20"/>
              </w:rPr>
            </w:pPr>
            <w:r w:rsidRPr="0043418B">
              <w:rPr>
                <w:rFonts w:ascii="Gill Sans MT" w:hAnsi="Gill Sans MT"/>
                <w:b/>
                <w:color w:val="41918F"/>
              </w:rPr>
              <w:t>Cash Flows:</w:t>
            </w:r>
            <w:r w:rsidRPr="008E2CFF">
              <w:rPr>
                <w:rFonts w:ascii="GillSansMT" w:hAnsi="GillSansMT"/>
                <w:b/>
              </w:rPr>
              <w:t xml:space="preserve"> </w:t>
            </w:r>
            <w:r w:rsidRPr="0043418B">
              <w:rPr>
                <w:rFonts w:ascii="Gill Sans MT" w:hAnsi="Gill Sans MT"/>
              </w:rPr>
              <w:t xml:space="preserve">TFG generated $102.6 million of cash flows from its CLO equity </w:t>
            </w:r>
            <w:r>
              <w:rPr>
                <w:rFonts w:ascii="Gill Sans MT" w:hAnsi="Gill Sans MT"/>
              </w:rPr>
              <w:t>investment portfolio</w:t>
            </w:r>
            <w:r w:rsidRPr="0043418B">
              <w:rPr>
                <w:rFonts w:ascii="Gill Sans MT" w:hAnsi="Gill Sans MT"/>
              </w:rPr>
              <w:t xml:space="preserve"> in Q1 2012 (Q4</w:t>
            </w:r>
            <w:r>
              <w:rPr>
                <w:rFonts w:ascii="Gill Sans MT" w:hAnsi="Gill Sans MT"/>
              </w:rPr>
              <w:t xml:space="preserve"> 2011: $113.2 million)</w:t>
            </w:r>
            <w:r w:rsidRPr="0043418B">
              <w:rPr>
                <w:rFonts w:ascii="Gill Sans MT" w:hAnsi="Gill Sans MT"/>
              </w:rPr>
              <w:t>.</w:t>
            </w:r>
            <w:r>
              <w:rPr>
                <w:rFonts w:ascii="GillSansMT" w:hAnsi="GillSansMT"/>
                <w:sz w:val="20"/>
                <w:szCs w:val="20"/>
              </w:rPr>
              <w:t xml:space="preserve"> </w:t>
            </w:r>
          </w:p>
        </w:tc>
        <w:tc>
          <w:tcPr>
            <w:tcW w:w="3625" w:type="dxa"/>
          </w:tcPr>
          <w:p w:rsidR="00E8582A" w:rsidRDefault="00E8582A" w:rsidP="0043418B">
            <w:pPr>
              <w:numPr>
                <w:ilvl w:val="0"/>
                <w:numId w:val="37"/>
              </w:numPr>
              <w:spacing w:after="0"/>
              <w:ind w:left="335" w:right="23" w:hanging="335"/>
              <w:rPr>
                <w:rFonts w:ascii="Gill Sans MT" w:hAnsi="Gill Sans MT"/>
              </w:rPr>
            </w:pPr>
            <w:r w:rsidRPr="0043418B">
              <w:rPr>
                <w:rFonts w:ascii="Gill Sans MT" w:hAnsi="Gill Sans MT"/>
                <w:b/>
                <w:color w:val="41918F"/>
              </w:rPr>
              <w:t>Collateral Performance:</w:t>
            </w:r>
            <w:r w:rsidRPr="008E2CFF">
              <w:rPr>
                <w:rFonts w:ascii="GillSansMT" w:hAnsi="GillSansMT"/>
                <w:sz w:val="20"/>
                <w:szCs w:val="20"/>
              </w:rPr>
              <w:t xml:space="preserve"> </w:t>
            </w:r>
            <w:r w:rsidRPr="0043418B">
              <w:rPr>
                <w:rFonts w:ascii="Gill Sans MT" w:hAnsi="Gill Sans MT"/>
              </w:rPr>
              <w:t>TFG’s average CLO portfolio statistics performed well during Q1 2012 with low default and CCC-asset holding levels. This was driven by continued improvements in the credit quality of TFG’s U.S. CLOs, which offset the credit deterioration experienced by TFG’s European CLOs.</w:t>
            </w:r>
          </w:p>
          <w:p w:rsidR="00E8582A" w:rsidRDefault="00E8582A" w:rsidP="00B27342">
            <w:pPr>
              <w:spacing w:after="0"/>
              <w:ind w:left="335" w:right="23"/>
              <w:rPr>
                <w:rFonts w:ascii="Gill Sans MT" w:hAnsi="Gill Sans MT"/>
              </w:rPr>
            </w:pPr>
          </w:p>
          <w:p w:rsidR="00E8582A" w:rsidRDefault="00E8582A" w:rsidP="00B27342">
            <w:pPr>
              <w:spacing w:after="0"/>
              <w:ind w:left="335" w:right="23"/>
              <w:rPr>
                <w:rFonts w:ascii="Gill Sans MT" w:hAnsi="Gill Sans MT"/>
              </w:rPr>
            </w:pPr>
          </w:p>
          <w:p w:rsidR="00E8582A" w:rsidRPr="000B3BAA" w:rsidRDefault="00E8582A" w:rsidP="00357EA6">
            <w:pPr>
              <w:spacing w:after="0"/>
              <w:ind w:right="23"/>
              <w:rPr>
                <w:rFonts w:ascii="GillSansMT" w:hAnsi="GillSansMT"/>
                <w:sz w:val="20"/>
                <w:szCs w:val="20"/>
              </w:rPr>
            </w:pPr>
          </w:p>
        </w:tc>
        <w:tc>
          <w:tcPr>
            <w:tcW w:w="3625" w:type="dxa"/>
          </w:tcPr>
          <w:p w:rsidR="00E8582A" w:rsidRPr="0043418B" w:rsidRDefault="00E8582A" w:rsidP="0043418B">
            <w:pPr>
              <w:numPr>
                <w:ilvl w:val="0"/>
                <w:numId w:val="37"/>
              </w:numPr>
              <w:spacing w:after="0"/>
              <w:ind w:left="310" w:right="23" w:hanging="310"/>
              <w:rPr>
                <w:rFonts w:ascii="Gill Sans MT" w:hAnsi="Gill Sans MT"/>
              </w:rPr>
            </w:pPr>
            <w:r w:rsidRPr="0043418B">
              <w:rPr>
                <w:rFonts w:ascii="Gill Sans MT" w:hAnsi="Gill Sans MT"/>
                <w:b/>
                <w:color w:val="41918F"/>
              </w:rPr>
              <w:t>CLO Returns:</w:t>
            </w:r>
            <w:r w:rsidRPr="0043418B">
              <w:rPr>
                <w:rFonts w:ascii="Gill Sans MT" w:hAnsi="Gill Sans MT"/>
              </w:rPr>
              <w:t xml:space="preserve"> Weighted-average IRRs on CLO equity investments </w:t>
            </w:r>
            <w:r>
              <w:rPr>
                <w:rFonts w:ascii="Gill Sans MT" w:hAnsi="Gill Sans MT"/>
              </w:rPr>
              <w:t>remained</w:t>
            </w:r>
            <w:r w:rsidRPr="0043418B">
              <w:rPr>
                <w:rFonts w:ascii="Gill Sans MT" w:hAnsi="Gill Sans MT"/>
              </w:rPr>
              <w:t xml:space="preserve"> broadly unchanged at 17.5% (Q4 2011: 17.6%) with U.S. average IRRs increasing to 19.7% while the average IRR of TFG’s European CLOs declined to below 8.0%.</w:t>
            </w:r>
          </w:p>
          <w:p w:rsidR="00E8582A" w:rsidRPr="0043418B" w:rsidRDefault="00E8582A" w:rsidP="00B16C4D">
            <w:pPr>
              <w:spacing w:after="0"/>
              <w:ind w:left="720" w:right="23"/>
              <w:rPr>
                <w:rFonts w:ascii="Gill Sans MT" w:hAnsi="Gill Sans MT"/>
              </w:rPr>
            </w:pPr>
          </w:p>
        </w:tc>
      </w:tr>
    </w:tbl>
    <w:p w:rsidR="00E8582A" w:rsidRPr="000E7B77" w:rsidRDefault="00E8582A" w:rsidP="000E7B77">
      <w:pPr>
        <w:pStyle w:val="ListParagraph"/>
        <w:numPr>
          <w:ilvl w:val="0"/>
          <w:numId w:val="43"/>
        </w:numPr>
        <w:spacing w:after="0"/>
        <w:ind w:left="450" w:hanging="450"/>
        <w:jc w:val="left"/>
        <w:rPr>
          <w:rFonts w:ascii="Gill Sans MT" w:hAnsi="Gill Sans MT"/>
          <w:color w:val="333333"/>
        </w:rPr>
      </w:pPr>
      <w:r w:rsidRPr="000E7B77">
        <w:rPr>
          <w:rFonts w:ascii="Gill Sans MT" w:hAnsi="Gill Sans MT"/>
          <w:b/>
          <w:u w:val="single"/>
        </w:rPr>
        <w:t>Executive Summary (continued)</w:t>
      </w:r>
      <w:r w:rsidRPr="000E7B77">
        <w:rPr>
          <w:rFonts w:ascii="Gill Sans MT" w:hAnsi="Gill Sans MT"/>
          <w:color w:val="333333"/>
        </w:rPr>
        <w:t>:</w:t>
      </w:r>
    </w:p>
    <w:p w:rsidR="00E8582A" w:rsidRPr="00A80D4D" w:rsidRDefault="00E8582A" w:rsidP="003B2FDA">
      <w:pPr>
        <w:pStyle w:val="ListParagraph"/>
        <w:spacing w:after="0"/>
        <w:ind w:left="360"/>
        <w:rPr>
          <w:rFonts w:ascii="Gill Sans MT" w:hAnsi="Gill Sans MT"/>
          <w:color w:val="333333"/>
          <w:sz w:val="16"/>
          <w:szCs w:val="16"/>
        </w:rPr>
      </w:pPr>
    </w:p>
    <w:p w:rsidR="00E8582A" w:rsidRDefault="00E8582A" w:rsidP="003B2FDA">
      <w:pPr>
        <w:spacing w:after="0"/>
        <w:rPr>
          <w:rFonts w:ascii="Gill Sans MT" w:hAnsi="Gill Sans MT"/>
          <w:b/>
          <w:color w:val="2D6145"/>
        </w:rPr>
      </w:pPr>
      <w:r w:rsidRPr="009A32D0">
        <w:rPr>
          <w:rFonts w:ascii="Gill Sans MT" w:hAnsi="Gill Sans MT"/>
          <w:b/>
          <w:color w:val="2D6145"/>
        </w:rPr>
        <w:t>Investment Portfolio Performance Highlights (continued):</w:t>
      </w:r>
    </w:p>
    <w:p w:rsidR="00E8582A" w:rsidRPr="004D587A" w:rsidRDefault="00E8582A" w:rsidP="003B2FDA">
      <w:pPr>
        <w:spacing w:after="0"/>
        <w:rPr>
          <w:rFonts w:ascii="Gill Sans MT" w:hAnsi="Gill Sans MT"/>
          <w:b/>
          <w:color w:val="2D6145"/>
          <w:sz w:val="16"/>
          <w:szCs w:val="16"/>
        </w:rPr>
      </w:pPr>
    </w:p>
    <w:p w:rsidR="00E8582A" w:rsidRPr="00AF2233" w:rsidRDefault="00E8582A" w:rsidP="00C62D9C">
      <w:pPr>
        <w:pStyle w:val="ListParagraph"/>
        <w:spacing w:after="0"/>
        <w:ind w:left="90"/>
        <w:rPr>
          <w:rFonts w:ascii="Gill Sans MT" w:hAnsi="Gill Sans MT"/>
          <w:color w:val="333333"/>
        </w:rPr>
      </w:pPr>
      <w:r w:rsidRPr="00751938">
        <w:rPr>
          <w:rFonts w:ascii="Gill Sans MT" w:hAnsi="Gill Sans MT"/>
          <w:i/>
        </w:rPr>
        <w:t xml:space="preserve">Figure </w:t>
      </w:r>
      <w:r>
        <w:rPr>
          <w:rFonts w:ascii="Gill Sans MT" w:hAnsi="Gill Sans MT"/>
          <w:i/>
        </w:rPr>
        <w:t>3</w:t>
      </w:r>
      <w:r>
        <w:rPr>
          <w:rFonts w:ascii="Gill Sans MT" w:hAnsi="Gill Sans MT"/>
        </w:rPr>
        <w:t xml:space="preserve"> below shows an historical summary of the weighted-average IRR on TFG’s CLO equity investments.</w:t>
      </w:r>
    </w:p>
    <w:p w:rsidR="00E8582A" w:rsidRPr="003A4EAC" w:rsidRDefault="00E8582A" w:rsidP="009A32D0">
      <w:pPr>
        <w:spacing w:after="0"/>
        <w:rPr>
          <w:rFonts w:ascii="Gill Sans MT" w:hAnsi="Gill Sans MT"/>
          <w:b/>
          <w:color w:val="333333"/>
          <w:sz w:val="16"/>
          <w:szCs w:val="16"/>
        </w:rPr>
      </w:pPr>
    </w:p>
    <w:p w:rsidR="00E8582A" w:rsidRDefault="00E8582A" w:rsidP="007523B6">
      <w:pPr>
        <w:ind w:left="90"/>
        <w:outlineLvl w:val="0"/>
        <w:rPr>
          <w:rFonts w:ascii="Gill Sans MT" w:hAnsi="Gill Sans MT"/>
          <w:sz w:val="16"/>
          <w:szCs w:val="16"/>
        </w:rPr>
      </w:pPr>
      <w:r w:rsidRPr="00DD2F28">
        <w:rPr>
          <w:noProof/>
          <w:szCs w:val="16"/>
          <w:lang w:val="en-GB" w:eastAsia="en-GB"/>
        </w:rPr>
        <w:pict>
          <v:shape id="Picture 2" o:spid="_x0000_i1027" type="#_x0000_t75" style="width:532.5pt;height:210.75pt;visibility:visible">
            <v:imagedata r:id="rId10" o:title=""/>
          </v:shape>
        </w:pict>
      </w:r>
    </w:p>
    <w:p w:rsidR="00E8582A" w:rsidRPr="00F10F76" w:rsidRDefault="00E8582A" w:rsidP="001D783E">
      <w:pPr>
        <w:pStyle w:val="ListParagraph"/>
        <w:numPr>
          <w:ilvl w:val="0"/>
          <w:numId w:val="16"/>
        </w:numPr>
        <w:ind w:left="360" w:hanging="180"/>
        <w:outlineLvl w:val="0"/>
        <w:rPr>
          <w:rFonts w:ascii="Gill Sans MT" w:hAnsi="Gill Sans MT"/>
          <w:sz w:val="16"/>
          <w:szCs w:val="16"/>
        </w:rPr>
      </w:pPr>
      <w:r w:rsidRPr="00F10F76">
        <w:rPr>
          <w:rFonts w:ascii="Gill Sans MT" w:hAnsi="Gill Sans MT"/>
          <w:sz w:val="16"/>
          <w:szCs w:val="16"/>
        </w:rPr>
        <w:t>Source: TFG as of the outlined quarter-end date.</w:t>
      </w:r>
      <w:r>
        <w:rPr>
          <w:rFonts w:ascii="Gill Sans MT" w:hAnsi="Gill Sans MT"/>
          <w:sz w:val="16"/>
          <w:szCs w:val="16"/>
        </w:rPr>
        <w:t xml:space="preserve"> </w:t>
      </w:r>
    </w:p>
    <w:p w:rsidR="00E8582A" w:rsidRPr="00A80D4D" w:rsidRDefault="00E8582A" w:rsidP="005C2109">
      <w:pPr>
        <w:pStyle w:val="ListParagraph"/>
        <w:spacing w:after="0"/>
        <w:ind w:left="634"/>
        <w:rPr>
          <w:rFonts w:ascii="Gill Sans MT" w:hAnsi="Gill Sans MT"/>
          <w:sz w:val="16"/>
          <w:szCs w:val="16"/>
          <w:u w:val="single"/>
        </w:rPr>
      </w:pPr>
    </w:p>
    <w:p w:rsidR="00E8582A" w:rsidRDefault="00E8582A" w:rsidP="00B16C4D">
      <w:pPr>
        <w:pStyle w:val="ListParagraph"/>
        <w:numPr>
          <w:ilvl w:val="0"/>
          <w:numId w:val="6"/>
        </w:numPr>
        <w:spacing w:after="0"/>
        <w:ind w:left="634"/>
        <w:rPr>
          <w:rFonts w:ascii="Gill Sans MT" w:hAnsi="Gill Sans MT"/>
        </w:rPr>
      </w:pPr>
      <w:r w:rsidRPr="00C43573">
        <w:rPr>
          <w:rFonts w:ascii="Gill Sans MT" w:hAnsi="Gill Sans MT"/>
          <w:b/>
          <w:u w:val="single"/>
        </w:rPr>
        <w:t>New CLO Equity Investments</w:t>
      </w:r>
      <w:r w:rsidRPr="00C43573">
        <w:rPr>
          <w:rFonts w:ascii="Gill Sans MT" w:hAnsi="Gill Sans MT"/>
          <w:b/>
        </w:rPr>
        <w:t>:</w:t>
      </w:r>
      <w:r>
        <w:rPr>
          <w:rFonts w:ascii="Gill Sans MT" w:hAnsi="Gill Sans MT"/>
        </w:rPr>
        <w:t xml:space="preserve"> During Q1 2012 we continued to be active in the primary CLO market, investing $42.3 million into two new CLO equity positions, including a $19.4 million majority position in the equity tranche of a new issue CLO managed by LCM, LCM X.  During the course of Q1 2012, we also sold a small U.S. CLO equity position, totaling approximately $0.2 million, at a price which generated a 50.2% realized IRR (including interim cash flows).</w:t>
      </w:r>
    </w:p>
    <w:p w:rsidR="00E8582A" w:rsidRPr="00B16C4D" w:rsidRDefault="00E8582A" w:rsidP="00B16C4D">
      <w:pPr>
        <w:spacing w:after="0"/>
        <w:ind w:left="274"/>
        <w:rPr>
          <w:rFonts w:ascii="Gill Sans MT" w:hAnsi="Gill Sans MT"/>
        </w:rPr>
      </w:pPr>
    </w:p>
    <w:p w:rsidR="00E8582A" w:rsidRDefault="00E8582A" w:rsidP="00AF2233">
      <w:pPr>
        <w:pStyle w:val="ListParagraph"/>
        <w:numPr>
          <w:ilvl w:val="0"/>
          <w:numId w:val="6"/>
        </w:numPr>
        <w:spacing w:after="0"/>
        <w:ind w:left="634"/>
        <w:rPr>
          <w:rFonts w:ascii="Gill Sans MT" w:hAnsi="Gill Sans MT"/>
        </w:rPr>
      </w:pPr>
      <w:r w:rsidRPr="00C43573">
        <w:rPr>
          <w:rFonts w:ascii="Gill Sans MT" w:hAnsi="Gill Sans MT"/>
          <w:b/>
          <w:u w:val="single"/>
        </w:rPr>
        <w:t>New CLO Mezzanine Debt Investments</w:t>
      </w:r>
      <w:r w:rsidRPr="00C43573">
        <w:rPr>
          <w:rFonts w:ascii="Gill Sans MT" w:hAnsi="Gill Sans MT"/>
          <w:b/>
        </w:rPr>
        <w:t>:</w:t>
      </w:r>
      <w:r w:rsidRPr="00E92790">
        <w:rPr>
          <w:rFonts w:ascii="Gill Sans MT" w:hAnsi="Gill Sans MT"/>
        </w:rPr>
        <w:t xml:space="preserve">  </w:t>
      </w:r>
      <w:r>
        <w:rPr>
          <w:rFonts w:ascii="Gill Sans MT" w:hAnsi="Gill Sans MT"/>
        </w:rPr>
        <w:t>As mentioned in previous reports, early in Q1</w:t>
      </w:r>
      <w:r w:rsidRPr="00E92790">
        <w:rPr>
          <w:rFonts w:ascii="Gill Sans MT" w:hAnsi="Gill Sans MT"/>
        </w:rPr>
        <w:t xml:space="preserve"> 201</w:t>
      </w:r>
      <w:r>
        <w:rPr>
          <w:rFonts w:ascii="Gill Sans MT" w:hAnsi="Gill Sans MT"/>
        </w:rPr>
        <w:t xml:space="preserve">2 </w:t>
      </w:r>
      <w:r w:rsidRPr="00E92790">
        <w:rPr>
          <w:rFonts w:ascii="Gill Sans MT" w:hAnsi="Gill Sans MT"/>
        </w:rPr>
        <w:t>we invested approximately $1.1 million in a mezzanine debt tranche of a U.S. CLO already represented within TFG’s CLO equity portfolio</w:t>
      </w:r>
      <w:r>
        <w:rPr>
          <w:rFonts w:ascii="Gill Sans MT" w:hAnsi="Gill Sans MT"/>
        </w:rPr>
        <w:t>. The investment continues to perform as expected and is current on all interest payments.</w:t>
      </w:r>
      <w:r w:rsidRPr="009C74E6">
        <w:rPr>
          <w:rFonts w:ascii="Gill Sans MT" w:hAnsi="Gill Sans MT"/>
          <w:vertAlign w:val="superscript"/>
        </w:rPr>
        <w:t>(</w:t>
      </w:r>
      <w:r w:rsidRPr="009C74E6">
        <w:rPr>
          <w:rStyle w:val="EndnoteReference"/>
          <w:rFonts w:ascii="Gill Sans MT" w:hAnsi="Gill Sans MT"/>
        </w:rPr>
        <w:endnoteReference w:id="2"/>
      </w:r>
      <w:r w:rsidRPr="009C74E6">
        <w:rPr>
          <w:rFonts w:ascii="Gill Sans MT" w:hAnsi="Gill Sans MT"/>
          <w:vertAlign w:val="superscript"/>
        </w:rPr>
        <w:t>)</w:t>
      </w:r>
      <w:r w:rsidRPr="00E92790">
        <w:rPr>
          <w:rFonts w:ascii="Gill Sans MT" w:hAnsi="Gill Sans MT"/>
          <w:vertAlign w:val="superscript"/>
        </w:rPr>
        <w:t xml:space="preserve"> </w:t>
      </w:r>
      <w:r w:rsidRPr="00E92790">
        <w:rPr>
          <w:rFonts w:ascii="Gill Sans MT" w:hAnsi="Gill Sans MT"/>
        </w:rPr>
        <w:t xml:space="preserve"> </w:t>
      </w:r>
    </w:p>
    <w:p w:rsidR="00E8582A" w:rsidRPr="000D62E8" w:rsidRDefault="00E8582A" w:rsidP="000D62E8">
      <w:pPr>
        <w:rPr>
          <w:rFonts w:ascii="Gill Sans MT" w:hAnsi="Gill Sans MT"/>
          <w:sz w:val="16"/>
          <w:szCs w:val="16"/>
        </w:rPr>
      </w:pPr>
    </w:p>
    <w:p w:rsidR="00E8582A" w:rsidRDefault="00E8582A" w:rsidP="00AF2233">
      <w:pPr>
        <w:pStyle w:val="ListParagraph"/>
        <w:numPr>
          <w:ilvl w:val="0"/>
          <w:numId w:val="6"/>
        </w:numPr>
        <w:spacing w:after="0"/>
        <w:ind w:left="634"/>
        <w:rPr>
          <w:rFonts w:ascii="Gill Sans MT" w:hAnsi="Gill Sans MT"/>
        </w:rPr>
      </w:pPr>
      <w:r w:rsidRPr="00C43573">
        <w:rPr>
          <w:rFonts w:ascii="Gill Sans MT" w:hAnsi="Gill Sans MT"/>
          <w:b/>
          <w:u w:val="single"/>
        </w:rPr>
        <w:t>Direct Loans:</w:t>
      </w:r>
      <w:r w:rsidRPr="00B57E37">
        <w:rPr>
          <w:rFonts w:ascii="Gill Sans MT" w:hAnsi="Gill Sans MT"/>
        </w:rPr>
        <w:t xml:space="preserve"> TFG held direct loans with a fair value of $</w:t>
      </w:r>
      <w:r>
        <w:rPr>
          <w:rFonts w:ascii="Gill Sans MT" w:hAnsi="Gill Sans MT"/>
        </w:rPr>
        <w:t>120.3</w:t>
      </w:r>
      <w:r w:rsidRPr="00B57E37">
        <w:rPr>
          <w:rFonts w:ascii="Gill Sans MT" w:hAnsi="Gill Sans MT"/>
        </w:rPr>
        <w:t xml:space="preserve"> million at the end of Q</w:t>
      </w:r>
      <w:r>
        <w:rPr>
          <w:rFonts w:ascii="Gill Sans MT" w:hAnsi="Gill Sans MT"/>
        </w:rPr>
        <w:t>1 2012</w:t>
      </w:r>
      <w:r w:rsidRPr="00B57E37">
        <w:rPr>
          <w:rFonts w:ascii="Gill Sans MT" w:hAnsi="Gill Sans MT"/>
        </w:rPr>
        <w:t xml:space="preserve">, </w:t>
      </w:r>
      <w:r>
        <w:rPr>
          <w:rFonts w:ascii="Gill Sans MT" w:hAnsi="Gill Sans MT"/>
        </w:rPr>
        <w:t xml:space="preserve">up </w:t>
      </w:r>
      <w:r w:rsidRPr="00B57E37">
        <w:rPr>
          <w:rFonts w:ascii="Gill Sans MT" w:hAnsi="Gill Sans MT"/>
        </w:rPr>
        <w:t>from $</w:t>
      </w:r>
      <w:r>
        <w:rPr>
          <w:rFonts w:ascii="Gill Sans MT" w:hAnsi="Gill Sans MT"/>
        </w:rPr>
        <w:t>1</w:t>
      </w:r>
      <w:r w:rsidRPr="00B57E37">
        <w:rPr>
          <w:rFonts w:ascii="Gill Sans MT" w:hAnsi="Gill Sans MT"/>
        </w:rPr>
        <w:t>0</w:t>
      </w:r>
      <w:r>
        <w:rPr>
          <w:rFonts w:ascii="Gill Sans MT" w:hAnsi="Gill Sans MT"/>
        </w:rPr>
        <w:t>7.1</w:t>
      </w:r>
      <w:r w:rsidRPr="00B57E37">
        <w:rPr>
          <w:rFonts w:ascii="Gill Sans MT" w:hAnsi="Gill Sans MT"/>
        </w:rPr>
        <w:t xml:space="preserve"> million as of the end of</w:t>
      </w:r>
      <w:r>
        <w:rPr>
          <w:rFonts w:ascii="Gill Sans MT" w:hAnsi="Gill Sans MT"/>
        </w:rPr>
        <w:t xml:space="preserve"> Q4 2011</w:t>
      </w:r>
      <w:r w:rsidRPr="00B57E37">
        <w:rPr>
          <w:rFonts w:ascii="Gill Sans MT" w:hAnsi="Gill Sans MT"/>
        </w:rPr>
        <w:t xml:space="preserve">. The direct loan portfolio performed well during this period, experiencing no defaults and benefiting from market value gains. </w:t>
      </w:r>
    </w:p>
    <w:p w:rsidR="00E8582A" w:rsidRPr="003A4EAC" w:rsidRDefault="00E8582A" w:rsidP="00AF2233">
      <w:pPr>
        <w:pStyle w:val="ListParagraph"/>
        <w:rPr>
          <w:rFonts w:ascii="Gill Sans MT" w:hAnsi="Gill Sans MT"/>
        </w:rPr>
      </w:pPr>
    </w:p>
    <w:p w:rsidR="00E8582A" w:rsidRDefault="00E8582A" w:rsidP="00AF2233">
      <w:pPr>
        <w:pStyle w:val="ListParagraph"/>
        <w:numPr>
          <w:ilvl w:val="0"/>
          <w:numId w:val="6"/>
        </w:numPr>
        <w:spacing w:after="0"/>
        <w:ind w:left="634"/>
        <w:rPr>
          <w:rFonts w:ascii="Gill Sans MT" w:hAnsi="Gill Sans MT"/>
        </w:rPr>
      </w:pPr>
      <w:r w:rsidRPr="00C43573">
        <w:rPr>
          <w:rFonts w:ascii="Gill Sans MT" w:hAnsi="Gill Sans MT"/>
          <w:b/>
          <w:u w:val="single"/>
        </w:rPr>
        <w:t>Real Estate Investments</w:t>
      </w:r>
      <w:r w:rsidRPr="00C43573">
        <w:rPr>
          <w:rFonts w:ascii="Gill Sans MT" w:hAnsi="Gill Sans MT"/>
          <w:b/>
        </w:rPr>
        <w:t>:</w:t>
      </w:r>
      <w:r>
        <w:rPr>
          <w:rFonts w:ascii="Gill Sans MT" w:hAnsi="Gill Sans MT"/>
          <w:b/>
        </w:rPr>
        <w:t xml:space="preserve"> </w:t>
      </w:r>
      <w:r>
        <w:rPr>
          <w:rFonts w:ascii="Gill Sans MT" w:hAnsi="Gill Sans MT"/>
        </w:rPr>
        <w:t xml:space="preserve"> During Q1 2012 TFG </w:t>
      </w:r>
      <w:r w:rsidRPr="007E2ED1">
        <w:rPr>
          <w:rFonts w:ascii="Gill Sans MT" w:hAnsi="Gill Sans MT"/>
        </w:rPr>
        <w:t>invested a further $5.1</w:t>
      </w:r>
      <w:r>
        <w:rPr>
          <w:rFonts w:ascii="Gill Sans MT" w:hAnsi="Gill Sans MT"/>
        </w:rPr>
        <w:t xml:space="preserve"> million into GreenOak-managed real estate. </w:t>
      </w:r>
    </w:p>
    <w:p w:rsidR="00E8582A" w:rsidRDefault="00E8582A" w:rsidP="00AF2233">
      <w:pPr>
        <w:spacing w:after="0"/>
        <w:jc w:val="left"/>
        <w:rPr>
          <w:rFonts w:ascii="Gill Sans MT" w:hAnsi="Gill Sans MT"/>
          <w:b/>
          <w:color w:val="2D6145"/>
          <w:sz w:val="16"/>
          <w:szCs w:val="16"/>
        </w:rPr>
      </w:pPr>
    </w:p>
    <w:p w:rsidR="00E8582A" w:rsidRPr="00672C49" w:rsidRDefault="00E8582A" w:rsidP="00AF2233">
      <w:pPr>
        <w:ind w:right="23"/>
        <w:rPr>
          <w:rFonts w:ascii="Gill Sans MT" w:hAnsi="Gill Sans MT"/>
        </w:rPr>
      </w:pPr>
      <w:r w:rsidRPr="00672C49">
        <w:rPr>
          <w:rFonts w:ascii="Gill Sans MT" w:hAnsi="Gill Sans MT"/>
        </w:rPr>
        <w:t>We continue to seek to diversify the investment portfolio across asset classes and types, industries, geographies and investment duration.</w:t>
      </w:r>
    </w:p>
    <w:p w:rsidR="00E8582A" w:rsidRDefault="00E8582A">
      <w:pPr>
        <w:spacing w:after="0"/>
        <w:jc w:val="left"/>
        <w:rPr>
          <w:rFonts w:ascii="Gill Sans MT" w:hAnsi="Gill Sans MT"/>
          <w:b/>
          <w:u w:val="single"/>
        </w:rPr>
      </w:pPr>
      <w:r>
        <w:rPr>
          <w:rFonts w:ascii="Gill Sans MT" w:hAnsi="Gill Sans MT"/>
          <w:b/>
          <w:u w:val="single"/>
        </w:rPr>
        <w:br w:type="page"/>
      </w:r>
    </w:p>
    <w:p w:rsidR="00E8582A" w:rsidRPr="000E7B77" w:rsidRDefault="00E8582A" w:rsidP="000E7B77">
      <w:pPr>
        <w:pStyle w:val="ListParagraph"/>
        <w:numPr>
          <w:ilvl w:val="0"/>
          <w:numId w:val="44"/>
        </w:numPr>
        <w:spacing w:after="160"/>
        <w:ind w:left="450" w:hanging="450"/>
        <w:rPr>
          <w:rFonts w:ascii="Gill Sans MT" w:hAnsi="Gill Sans MT"/>
          <w:color w:val="333333"/>
        </w:rPr>
      </w:pPr>
      <w:r w:rsidRPr="000E7B77">
        <w:rPr>
          <w:rFonts w:ascii="Gill Sans MT" w:hAnsi="Gill Sans MT"/>
          <w:b/>
          <w:u w:val="single"/>
        </w:rPr>
        <w:t>Executive Summary (continued)</w:t>
      </w:r>
      <w:r w:rsidRPr="000E7B77">
        <w:rPr>
          <w:rFonts w:ascii="Gill Sans MT" w:hAnsi="Gill Sans MT"/>
          <w:color w:val="333333"/>
        </w:rPr>
        <w:t>:</w:t>
      </w:r>
    </w:p>
    <w:p w:rsidR="00E8582A" w:rsidRPr="00B7640D" w:rsidRDefault="00E8582A" w:rsidP="00B7640D">
      <w:pPr>
        <w:spacing w:after="0"/>
        <w:rPr>
          <w:rFonts w:ascii="Gill Sans MT" w:hAnsi="Gill Sans MT"/>
          <w:b/>
          <w:color w:val="2D6145"/>
        </w:rPr>
      </w:pPr>
      <w:r w:rsidRPr="00B7640D">
        <w:rPr>
          <w:rFonts w:ascii="Gill Sans MT" w:hAnsi="Gill Sans MT"/>
          <w:b/>
          <w:color w:val="2D6145"/>
        </w:rPr>
        <w:t xml:space="preserve">Asset Management Segment: </w:t>
      </w:r>
      <w:r>
        <w:rPr>
          <w:rFonts w:ascii="Gill Sans MT" w:hAnsi="Gill Sans MT"/>
          <w:b/>
          <w:color w:val="2D6145"/>
        </w:rPr>
        <w:t xml:space="preserve">Q1 2012 saw continued growth in both asset management businesses. </w:t>
      </w:r>
    </w:p>
    <w:p w:rsidR="00E8582A" w:rsidRPr="006540F5" w:rsidRDefault="00E8582A" w:rsidP="00B7640D">
      <w:pPr>
        <w:ind w:right="23"/>
        <w:rPr>
          <w:rFonts w:ascii="GillSansMT" w:hAnsi="GillSansMT"/>
          <w:sz w:val="20"/>
          <w:szCs w:val="20"/>
        </w:rPr>
      </w:pPr>
    </w:p>
    <w:p w:rsidR="00E8582A" w:rsidRPr="00B7640D" w:rsidRDefault="00E8582A" w:rsidP="00B7640D">
      <w:pPr>
        <w:ind w:right="23"/>
        <w:rPr>
          <w:rFonts w:ascii="Gill Sans MT" w:hAnsi="Gill Sans MT"/>
        </w:rPr>
      </w:pPr>
      <w:r w:rsidRPr="00B7640D">
        <w:rPr>
          <w:rFonts w:ascii="Gill Sans MT" w:hAnsi="Gill Sans MT"/>
        </w:rPr>
        <w:t>We believe that TFG owning or having stakes in asset management businesses may provide repeatable income streams and reduced fees paid to third-party managers.</w:t>
      </w:r>
    </w:p>
    <w:p w:rsidR="00E8582A" w:rsidRPr="006540F5" w:rsidRDefault="00E8582A" w:rsidP="00B7640D">
      <w:pPr>
        <w:ind w:right="23"/>
        <w:rPr>
          <w:rFonts w:ascii="GillSansMT" w:hAnsi="GillSansMT"/>
          <w:sz w:val="20"/>
          <w:szCs w:val="20"/>
        </w:rPr>
      </w:pPr>
    </w:p>
    <w:tbl>
      <w:tblPr>
        <w:tblW w:w="0" w:type="auto"/>
        <w:tblLayout w:type="fixed"/>
        <w:tblLook w:val="00A0"/>
      </w:tblPr>
      <w:tblGrid>
        <w:gridCol w:w="4361"/>
        <w:gridCol w:w="6514"/>
      </w:tblGrid>
      <w:tr w:rsidR="00E8582A" w:rsidRPr="006540F5" w:rsidTr="009C2A52">
        <w:tc>
          <w:tcPr>
            <w:tcW w:w="4361" w:type="dxa"/>
          </w:tcPr>
          <w:p w:rsidR="00E8582A" w:rsidRPr="006540F5" w:rsidRDefault="00E8582A" w:rsidP="009A1AA0">
            <w:pPr>
              <w:ind w:right="23"/>
              <w:rPr>
                <w:rFonts w:ascii="GillSansMT" w:hAnsi="GillSansMT"/>
                <w:sz w:val="20"/>
                <w:szCs w:val="20"/>
              </w:rPr>
            </w:pPr>
            <w:r w:rsidRPr="0043418B">
              <w:rPr>
                <w:rFonts w:ascii="Gill Sans MT" w:hAnsi="Gill Sans MT"/>
                <w:b/>
                <w:u w:val="single"/>
              </w:rPr>
              <w:t>LCM</w:t>
            </w:r>
            <w:r w:rsidRPr="0043418B">
              <w:rPr>
                <w:rFonts w:ascii="Gill Sans MT" w:hAnsi="Gill Sans MT"/>
                <w:b/>
              </w:rPr>
              <w:t>:</w:t>
            </w:r>
            <w:r>
              <w:rPr>
                <w:rFonts w:ascii="Gill Sans MT" w:hAnsi="Gill Sans MT"/>
              </w:rPr>
              <w:t xml:space="preserve"> </w:t>
            </w:r>
            <w:r w:rsidRPr="003C2CA2">
              <w:rPr>
                <w:rFonts w:ascii="Gill Sans MT" w:hAnsi="Gill Sans MT"/>
              </w:rPr>
              <w:t>LCM continued to perform well during Q</w:t>
            </w:r>
            <w:r>
              <w:rPr>
                <w:rFonts w:ascii="Gill Sans MT" w:hAnsi="Gill Sans MT"/>
              </w:rPr>
              <w:t>1</w:t>
            </w:r>
            <w:r w:rsidRPr="003C2CA2">
              <w:rPr>
                <w:rFonts w:ascii="Gill Sans MT" w:hAnsi="Gill Sans MT"/>
              </w:rPr>
              <w:t xml:space="preserve"> 201</w:t>
            </w:r>
            <w:r>
              <w:rPr>
                <w:rFonts w:ascii="Gill Sans MT" w:hAnsi="Gill Sans MT"/>
              </w:rPr>
              <w:t>2</w:t>
            </w:r>
            <w:r w:rsidRPr="003C2CA2">
              <w:rPr>
                <w:rFonts w:ascii="Gill Sans MT" w:hAnsi="Gill Sans MT"/>
              </w:rPr>
              <w:t>, with all of LCM Cash Flow CLOs</w:t>
            </w:r>
            <w:r>
              <w:rPr>
                <w:rFonts w:ascii="Gill Sans MT" w:hAnsi="Gill Sans MT"/>
              </w:rPr>
              <w:t xml:space="preserve"> </w:t>
            </w:r>
            <w:r w:rsidRPr="003C2CA2">
              <w:rPr>
                <w:rFonts w:ascii="Gill Sans MT" w:hAnsi="Gill Sans MT"/>
                <w:vertAlign w:val="superscript"/>
              </w:rPr>
              <w:t>(</w:t>
            </w:r>
            <w:r w:rsidRPr="00DA76C2">
              <w:rPr>
                <w:rStyle w:val="EndnoteReference"/>
                <w:rFonts w:ascii="Gill Sans MT" w:hAnsi="Gill Sans MT"/>
              </w:rPr>
              <w:endnoteReference w:id="3"/>
            </w:r>
            <w:r w:rsidRPr="003C2CA2">
              <w:rPr>
                <w:rFonts w:ascii="Gill Sans MT" w:hAnsi="Gill Sans MT"/>
                <w:vertAlign w:val="superscript"/>
              </w:rPr>
              <w:t xml:space="preserve">) </w:t>
            </w:r>
            <w:r>
              <w:rPr>
                <w:rFonts w:ascii="Gill Sans MT" w:hAnsi="Gill Sans MT"/>
              </w:rPr>
              <w:t xml:space="preserve">that were still within their reinvestment periods </w:t>
            </w:r>
            <w:r w:rsidRPr="00FE1CEA">
              <w:rPr>
                <w:rFonts w:ascii="Gill Sans MT" w:hAnsi="Gill Sans MT"/>
                <w:vertAlign w:val="superscript"/>
              </w:rPr>
              <w:t>(</w:t>
            </w:r>
            <w:r>
              <w:rPr>
                <w:rStyle w:val="EndnoteReference"/>
                <w:rFonts w:ascii="Gill Sans MT" w:hAnsi="Gill Sans MT"/>
              </w:rPr>
              <w:endnoteReference w:id="4"/>
            </w:r>
            <w:r w:rsidRPr="00FE1CEA">
              <w:rPr>
                <w:rFonts w:ascii="Gill Sans MT" w:hAnsi="Gill Sans MT"/>
                <w:vertAlign w:val="superscript"/>
              </w:rPr>
              <w:t>)</w:t>
            </w:r>
            <w:r>
              <w:rPr>
                <w:rFonts w:ascii="Gill Sans MT" w:hAnsi="Gill Sans MT"/>
              </w:rPr>
              <w:t xml:space="preserve"> </w:t>
            </w:r>
            <w:r w:rsidRPr="003C2CA2">
              <w:rPr>
                <w:rFonts w:ascii="Gill Sans MT" w:hAnsi="Gill Sans MT"/>
              </w:rPr>
              <w:t>continuing to pay senior and subordinated management fees.</w:t>
            </w:r>
            <w:r>
              <w:rPr>
                <w:rFonts w:ascii="Gill Sans MT" w:hAnsi="Gill Sans MT"/>
              </w:rPr>
              <w:t xml:space="preserve"> With the addition of LCM X, LCM’s </w:t>
            </w:r>
            <w:r w:rsidRPr="003C2CA2">
              <w:rPr>
                <w:rFonts w:ascii="Gill Sans MT" w:hAnsi="Gill Sans MT"/>
              </w:rPr>
              <w:t xml:space="preserve">total loan assets under management </w:t>
            </w:r>
            <w:r>
              <w:rPr>
                <w:rFonts w:ascii="Gill Sans MT" w:hAnsi="Gill Sans MT"/>
              </w:rPr>
              <w:t>rose to over</w:t>
            </w:r>
            <w:r w:rsidRPr="007E2ED1">
              <w:rPr>
                <w:rFonts w:ascii="Gill Sans MT" w:hAnsi="Gill Sans MT"/>
              </w:rPr>
              <w:t xml:space="preserve"> $3.7</w:t>
            </w:r>
            <w:r>
              <w:rPr>
                <w:rFonts w:ascii="Gill Sans MT" w:hAnsi="Gill Sans MT"/>
              </w:rPr>
              <w:t xml:space="preserve"> </w:t>
            </w:r>
            <w:r w:rsidRPr="003C2CA2">
              <w:rPr>
                <w:rFonts w:ascii="Gill Sans MT" w:hAnsi="Gill Sans MT"/>
              </w:rPr>
              <w:t>bil</w:t>
            </w:r>
            <w:r>
              <w:rPr>
                <w:rFonts w:ascii="Gill Sans MT" w:hAnsi="Gill Sans MT"/>
              </w:rPr>
              <w:t>lion</w:t>
            </w:r>
            <w:r w:rsidRPr="003C2CA2">
              <w:rPr>
                <w:rFonts w:ascii="Gill Sans MT" w:hAnsi="Gill Sans MT"/>
              </w:rPr>
              <w:t xml:space="preserve"> </w:t>
            </w:r>
            <w:r>
              <w:rPr>
                <w:rFonts w:ascii="Gill Sans MT" w:hAnsi="Gill Sans MT"/>
              </w:rPr>
              <w:t>(Q4 2011: $3.4 billion)</w:t>
            </w:r>
            <w:r w:rsidRPr="003C2CA2">
              <w:rPr>
                <w:rFonts w:ascii="Gill Sans MT" w:hAnsi="Gill Sans MT"/>
              </w:rPr>
              <w:t xml:space="preserve">. </w:t>
            </w:r>
          </w:p>
        </w:tc>
        <w:tc>
          <w:tcPr>
            <w:tcW w:w="6514" w:type="dxa"/>
            <w:tcBorders>
              <w:left w:val="nil"/>
            </w:tcBorders>
          </w:tcPr>
          <w:p w:rsidR="00E8582A" w:rsidRPr="006540F5" w:rsidRDefault="00E8582A" w:rsidP="00B34A40">
            <w:pPr>
              <w:ind w:left="49" w:right="23"/>
              <w:rPr>
                <w:rFonts w:ascii="GillSansMT" w:hAnsi="GillSansMT"/>
                <w:sz w:val="20"/>
                <w:szCs w:val="20"/>
              </w:rPr>
            </w:pPr>
            <w:r w:rsidRPr="00DD2F28">
              <w:rPr>
                <w:rFonts w:ascii="GillSansMT" w:hAnsi="GillSansMT"/>
                <w:noProof/>
                <w:sz w:val="20"/>
                <w:szCs w:val="20"/>
                <w:lang w:val="en-GB" w:eastAsia="en-GB"/>
              </w:rPr>
              <w:pict>
                <v:shape id="Picture 7" o:spid="_x0000_i1028" type="#_x0000_t75" style="width:312.75pt;height:193.5pt;visibility:visible">
                  <v:imagedata r:id="rId11" o:title=""/>
                </v:shape>
              </w:pict>
            </w:r>
          </w:p>
        </w:tc>
      </w:tr>
    </w:tbl>
    <w:p w:rsidR="00E8582A" w:rsidRPr="006540F5" w:rsidRDefault="00E8582A" w:rsidP="00B7640D">
      <w:pPr>
        <w:ind w:right="23"/>
        <w:rPr>
          <w:rFonts w:ascii="GillSansMT" w:hAnsi="GillSansMT"/>
          <w:b/>
          <w:color w:val="548DD4"/>
          <w:sz w:val="20"/>
          <w:szCs w:val="20"/>
        </w:rPr>
      </w:pPr>
    </w:p>
    <w:p w:rsidR="00E8582A" w:rsidRDefault="00E8582A" w:rsidP="00B7640D">
      <w:pPr>
        <w:ind w:right="23"/>
        <w:rPr>
          <w:rFonts w:ascii="GillSansMT" w:hAnsi="GillSansMT"/>
          <w:sz w:val="20"/>
          <w:szCs w:val="20"/>
        </w:rPr>
      </w:pPr>
    </w:p>
    <w:p w:rsidR="00E8582A" w:rsidRPr="006540F5" w:rsidRDefault="00E8582A" w:rsidP="00B7640D">
      <w:pPr>
        <w:ind w:right="23"/>
        <w:rPr>
          <w:rFonts w:ascii="GillSansMT" w:hAnsi="GillSansMT"/>
          <w:sz w:val="20"/>
          <w:szCs w:val="20"/>
        </w:rPr>
      </w:pPr>
    </w:p>
    <w:tbl>
      <w:tblPr>
        <w:tblW w:w="0" w:type="auto"/>
        <w:tblLayout w:type="fixed"/>
        <w:tblLook w:val="00A0"/>
      </w:tblPr>
      <w:tblGrid>
        <w:gridCol w:w="4338"/>
        <w:gridCol w:w="6606"/>
      </w:tblGrid>
      <w:tr w:rsidR="00E8582A" w:rsidRPr="006540F5" w:rsidTr="009C2A52">
        <w:trPr>
          <w:trHeight w:val="4014"/>
        </w:trPr>
        <w:tc>
          <w:tcPr>
            <w:tcW w:w="4338" w:type="dxa"/>
          </w:tcPr>
          <w:p w:rsidR="00E8582A" w:rsidRPr="00B7640D" w:rsidRDefault="00E8582A" w:rsidP="00B7640D">
            <w:pPr>
              <w:tabs>
                <w:tab w:val="left" w:pos="0"/>
              </w:tabs>
              <w:spacing w:after="0"/>
              <w:rPr>
                <w:rFonts w:ascii="Gill Sans MT" w:hAnsi="Gill Sans MT"/>
              </w:rPr>
            </w:pPr>
            <w:r w:rsidRPr="0043418B">
              <w:rPr>
                <w:rFonts w:ascii="Gill Sans MT" w:hAnsi="Gill Sans MT"/>
                <w:b/>
                <w:u w:val="single"/>
              </w:rPr>
              <w:t>GreenOak:</w:t>
            </w:r>
            <w:r w:rsidRPr="000A5B77">
              <w:rPr>
                <w:rFonts w:ascii="Gill Sans MT" w:hAnsi="Gill Sans MT"/>
              </w:rPr>
              <w:t xml:space="preserve"> </w:t>
            </w:r>
            <w:r>
              <w:rPr>
                <w:rFonts w:ascii="Gill Sans MT" w:hAnsi="Gill Sans MT"/>
              </w:rPr>
              <w:t xml:space="preserve">In </w:t>
            </w:r>
            <w:r w:rsidRPr="00B7640D">
              <w:rPr>
                <w:rFonts w:ascii="Gill Sans MT" w:hAnsi="Gill Sans MT"/>
              </w:rPr>
              <w:t>Q1 2012</w:t>
            </w:r>
            <w:r>
              <w:rPr>
                <w:rFonts w:ascii="Gill Sans MT" w:hAnsi="Gill Sans MT"/>
              </w:rPr>
              <w:t xml:space="preserve"> GreenOak achieved dramatic growth of its assets under management</w:t>
            </w:r>
            <w:r w:rsidRPr="00B7640D">
              <w:rPr>
                <w:rFonts w:ascii="Gill Sans MT" w:hAnsi="Gill Sans MT"/>
              </w:rPr>
              <w:t>, with closings for its U</w:t>
            </w:r>
            <w:r>
              <w:rPr>
                <w:rFonts w:ascii="Gill Sans MT" w:hAnsi="Gill Sans MT"/>
              </w:rPr>
              <w:t>.</w:t>
            </w:r>
            <w:r w:rsidRPr="00B7640D">
              <w:rPr>
                <w:rFonts w:ascii="Gill Sans MT" w:hAnsi="Gill Sans MT"/>
              </w:rPr>
              <w:t>S</w:t>
            </w:r>
            <w:r>
              <w:rPr>
                <w:rFonts w:ascii="Gill Sans MT" w:hAnsi="Gill Sans MT"/>
              </w:rPr>
              <w:t>.</w:t>
            </w:r>
            <w:r w:rsidRPr="00B7640D">
              <w:rPr>
                <w:rFonts w:ascii="Gill Sans MT" w:hAnsi="Gill Sans MT"/>
              </w:rPr>
              <w:t xml:space="preserve"> and Japan</w:t>
            </w:r>
            <w:r>
              <w:rPr>
                <w:rFonts w:ascii="Gill Sans MT" w:hAnsi="Gill Sans MT"/>
              </w:rPr>
              <w:t>ese</w:t>
            </w:r>
            <w:r w:rsidRPr="00B7640D">
              <w:rPr>
                <w:rFonts w:ascii="Gill Sans MT" w:hAnsi="Gill Sans MT"/>
              </w:rPr>
              <w:t xml:space="preserve"> funds and the </w:t>
            </w:r>
            <w:r>
              <w:rPr>
                <w:rFonts w:ascii="Gill Sans MT" w:hAnsi="Gill Sans MT"/>
              </w:rPr>
              <w:t xml:space="preserve">winning </w:t>
            </w:r>
            <w:r w:rsidRPr="00B7640D">
              <w:rPr>
                <w:rFonts w:ascii="Gill Sans MT" w:hAnsi="Gill Sans MT"/>
              </w:rPr>
              <w:t>of an investment mandate over a significant portfolio of European real estate</w:t>
            </w:r>
            <w:r>
              <w:rPr>
                <w:rFonts w:ascii="Gill Sans MT" w:hAnsi="Gill Sans MT"/>
              </w:rPr>
              <w:t xml:space="preserve"> related securities</w:t>
            </w:r>
            <w:r w:rsidRPr="00B7640D">
              <w:rPr>
                <w:rFonts w:ascii="Gill Sans MT" w:hAnsi="Gill Sans MT"/>
              </w:rPr>
              <w:t>.</w:t>
            </w:r>
          </w:p>
          <w:p w:rsidR="00E8582A" w:rsidRPr="00B7640D" w:rsidRDefault="00E8582A" w:rsidP="00B7640D">
            <w:pPr>
              <w:tabs>
                <w:tab w:val="left" w:pos="0"/>
              </w:tabs>
              <w:spacing w:after="0"/>
              <w:rPr>
                <w:rFonts w:ascii="Gill Sans MT" w:hAnsi="Gill Sans MT"/>
              </w:rPr>
            </w:pPr>
          </w:p>
          <w:p w:rsidR="00E8582A" w:rsidRPr="00B7640D" w:rsidRDefault="00E8582A" w:rsidP="00B7640D">
            <w:pPr>
              <w:pStyle w:val="ListParagraph"/>
              <w:tabs>
                <w:tab w:val="left" w:pos="0"/>
                <w:tab w:val="left" w:pos="450"/>
              </w:tabs>
              <w:autoSpaceDE w:val="0"/>
              <w:autoSpaceDN w:val="0"/>
              <w:spacing w:before="120" w:after="120"/>
              <w:ind w:left="0"/>
              <w:contextualSpacing w:val="0"/>
              <w:rPr>
                <w:rFonts w:ascii="Gill Sans MT" w:hAnsi="Gill Sans MT"/>
              </w:rPr>
            </w:pPr>
          </w:p>
        </w:tc>
        <w:tc>
          <w:tcPr>
            <w:tcW w:w="6606" w:type="dxa"/>
            <w:tcBorders>
              <w:left w:val="nil"/>
            </w:tcBorders>
          </w:tcPr>
          <w:p w:rsidR="00E8582A" w:rsidRPr="006540F5" w:rsidRDefault="00E8582A" w:rsidP="009C2A52">
            <w:pPr>
              <w:ind w:left="72" w:right="-51" w:hanging="27"/>
              <w:rPr>
                <w:rFonts w:ascii="GillSansMT" w:hAnsi="GillSansMT"/>
                <w:b/>
                <w:noProof/>
                <w:sz w:val="20"/>
                <w:szCs w:val="20"/>
              </w:rPr>
            </w:pPr>
            <w:r w:rsidRPr="00DD2F28">
              <w:rPr>
                <w:rFonts w:ascii="GillSansMT" w:hAnsi="GillSansMT"/>
                <w:b/>
                <w:noProof/>
                <w:sz w:val="20"/>
                <w:szCs w:val="20"/>
                <w:lang w:val="en-GB" w:eastAsia="en-GB"/>
              </w:rPr>
              <w:pict>
                <v:shape id="_x0000_i1029" type="#_x0000_t75" style="width:315.75pt;height:195.75pt;visibility:visible">
                  <v:imagedata r:id="rId12" o:title=""/>
                </v:shape>
              </w:pict>
            </w:r>
          </w:p>
          <w:p w:rsidR="00E8582A" w:rsidRPr="00FE1CEA" w:rsidRDefault="00E8582A" w:rsidP="009C2A52">
            <w:pPr>
              <w:ind w:left="72" w:right="-51"/>
              <w:rPr>
                <w:rFonts w:ascii="Gill Sans MT" w:hAnsi="Gill Sans MT" w:cs="Arial"/>
                <w:sz w:val="16"/>
                <w:szCs w:val="16"/>
              </w:rPr>
            </w:pPr>
          </w:p>
        </w:tc>
      </w:tr>
    </w:tbl>
    <w:p w:rsidR="00E8582A" w:rsidRDefault="00E8582A" w:rsidP="000A5B77">
      <w:pPr>
        <w:tabs>
          <w:tab w:val="left" w:pos="630"/>
        </w:tabs>
        <w:spacing w:after="120"/>
        <w:rPr>
          <w:rFonts w:ascii="Wingdings" w:hAnsi="Wingdings"/>
          <w:highlight w:val="lightGray"/>
        </w:rPr>
      </w:pPr>
    </w:p>
    <w:p w:rsidR="00E8582A" w:rsidRDefault="00E8582A">
      <w:pPr>
        <w:spacing w:after="0"/>
        <w:jc w:val="left"/>
        <w:rPr>
          <w:rFonts w:ascii="Wingdings" w:hAnsi="Wingdings"/>
          <w:highlight w:val="lightGray"/>
        </w:rPr>
      </w:pPr>
      <w:r>
        <w:rPr>
          <w:rFonts w:ascii="Wingdings" w:hAnsi="Wingdings"/>
          <w:highlight w:val="lightGray"/>
        </w:rPr>
        <w:br w:type="page"/>
      </w:r>
    </w:p>
    <w:p w:rsidR="00E8582A" w:rsidRPr="000E7B77" w:rsidRDefault="00E8582A" w:rsidP="000E7B77">
      <w:pPr>
        <w:pStyle w:val="ListParagraph"/>
        <w:numPr>
          <w:ilvl w:val="0"/>
          <w:numId w:val="44"/>
        </w:numPr>
        <w:tabs>
          <w:tab w:val="left" w:pos="630"/>
        </w:tabs>
        <w:spacing w:after="120"/>
        <w:ind w:left="450" w:hanging="450"/>
        <w:rPr>
          <w:rFonts w:ascii="Gill Sans MT" w:hAnsi="Gill Sans MT"/>
          <w:b/>
          <w:u w:val="single"/>
        </w:rPr>
      </w:pPr>
      <w:r w:rsidRPr="000E7B77">
        <w:rPr>
          <w:rFonts w:ascii="Gill Sans MT" w:hAnsi="Gill Sans MT"/>
          <w:b/>
          <w:u w:val="single"/>
        </w:rPr>
        <w:t>Corporate-Level Performance Details</w:t>
      </w:r>
      <w:r w:rsidRPr="000E7B77">
        <w:rPr>
          <w:rFonts w:ascii="Gill Sans MT" w:hAnsi="Gill Sans MT"/>
          <w:b/>
        </w:rPr>
        <w:t>:</w:t>
      </w:r>
    </w:p>
    <w:p w:rsidR="00E8582A" w:rsidRPr="009E34C1" w:rsidRDefault="00E8582A" w:rsidP="009E34C1">
      <w:pPr>
        <w:pStyle w:val="ListParagraph"/>
        <w:tabs>
          <w:tab w:val="left" w:pos="630"/>
        </w:tabs>
        <w:spacing w:after="120"/>
        <w:ind w:left="360"/>
        <w:rPr>
          <w:rFonts w:ascii="Gill Sans MT" w:hAnsi="Gill Sans MT"/>
          <w:b/>
          <w:sz w:val="16"/>
          <w:szCs w:val="16"/>
          <w:u w:val="single"/>
        </w:rPr>
      </w:pPr>
    </w:p>
    <w:p w:rsidR="00E8582A" w:rsidRPr="009A1AA0" w:rsidRDefault="00E8582A" w:rsidP="00B81BB0">
      <w:pPr>
        <w:pStyle w:val="ListParagraph"/>
        <w:numPr>
          <w:ilvl w:val="0"/>
          <w:numId w:val="6"/>
        </w:numPr>
        <w:spacing w:after="0"/>
        <w:ind w:left="634"/>
        <w:rPr>
          <w:rFonts w:ascii="Gill Sans MT" w:hAnsi="Gill Sans MT"/>
          <w:b/>
          <w:u w:val="single"/>
        </w:rPr>
      </w:pPr>
      <w:r w:rsidRPr="00BD5F8E">
        <w:rPr>
          <w:rFonts w:ascii="Gill Sans MT" w:hAnsi="Gill Sans MT"/>
          <w:b/>
        </w:rPr>
        <w:t>Capital Distributions</w:t>
      </w:r>
      <w:r w:rsidRPr="009E34C1">
        <w:rPr>
          <w:rFonts w:ascii="Gill Sans MT" w:hAnsi="Gill Sans MT"/>
        </w:rPr>
        <w:t xml:space="preserve">:  </w:t>
      </w:r>
      <w:r w:rsidRPr="00BD5F8E">
        <w:rPr>
          <w:rFonts w:ascii="Gill Sans MT" w:hAnsi="Gill Sans MT"/>
        </w:rPr>
        <w:t>TFG’s Board approved a</w:t>
      </w:r>
      <w:r>
        <w:rPr>
          <w:rFonts w:ascii="Gill Sans MT" w:hAnsi="Gill Sans MT"/>
        </w:rPr>
        <w:t xml:space="preserve"> </w:t>
      </w:r>
      <w:r w:rsidRPr="00C43573">
        <w:rPr>
          <w:rFonts w:ascii="Gill Sans MT" w:hAnsi="Gill Sans MT"/>
        </w:rPr>
        <w:t>dividend of $0.105 per share with respect to Q1 2012, unchanged from the</w:t>
      </w:r>
      <w:r>
        <w:rPr>
          <w:rFonts w:ascii="Gill Sans MT" w:hAnsi="Gill Sans MT"/>
        </w:rPr>
        <w:t xml:space="preserve"> prior quarter</w:t>
      </w:r>
      <w:r w:rsidRPr="00BD5F8E">
        <w:rPr>
          <w:rFonts w:ascii="Gill Sans MT" w:hAnsi="Gill Sans MT"/>
        </w:rPr>
        <w:t xml:space="preserve">. </w:t>
      </w:r>
      <w:r>
        <w:rPr>
          <w:rFonts w:ascii="Gill Sans MT" w:hAnsi="Gill Sans MT"/>
        </w:rPr>
        <w:t xml:space="preserve"> </w:t>
      </w:r>
      <w:r w:rsidRPr="00412236">
        <w:rPr>
          <w:rFonts w:ascii="Gill Sans MT" w:hAnsi="Gill Sans MT"/>
        </w:rPr>
        <w:t>As of March 31, 2012, inclusive of the dividend declared with respect to Q1 2012, the rolling 12-month dividend growth rate</w:t>
      </w:r>
      <w:r>
        <w:rPr>
          <w:rFonts w:ascii="Gill Sans MT" w:hAnsi="Gill Sans MT"/>
        </w:rPr>
        <w:t xml:space="preserve"> (</w:t>
      </w:r>
      <w:r w:rsidRPr="00412236">
        <w:rPr>
          <w:rFonts w:ascii="Gill Sans MT" w:hAnsi="Gill Sans MT"/>
        </w:rPr>
        <w:t>year-on-year</w:t>
      </w:r>
      <w:r>
        <w:rPr>
          <w:rFonts w:ascii="Gill Sans MT" w:hAnsi="Gill Sans MT"/>
        </w:rPr>
        <w:t>)</w:t>
      </w:r>
      <w:r w:rsidRPr="00412236">
        <w:rPr>
          <w:rFonts w:ascii="Gill Sans MT" w:hAnsi="Gill Sans MT"/>
        </w:rPr>
        <w:t xml:space="preserve"> was 20.6%.</w:t>
      </w:r>
      <w:r w:rsidRPr="00412236">
        <w:rPr>
          <w:rFonts w:ascii="Gill Sans MT" w:hAnsi="Gill Sans MT"/>
          <w:color w:val="FF0000"/>
        </w:rPr>
        <w:t xml:space="preserve"> </w:t>
      </w:r>
      <w:r w:rsidRPr="00412236">
        <w:rPr>
          <w:rFonts w:ascii="Gill Sans MT" w:hAnsi="Gill Sans MT"/>
          <w:vertAlign w:val="superscript"/>
        </w:rPr>
        <w:t>(</w:t>
      </w:r>
      <w:r w:rsidRPr="00412236">
        <w:rPr>
          <w:rStyle w:val="EndnoteReference"/>
          <w:rFonts w:ascii="Gill Sans MT" w:hAnsi="Gill Sans MT"/>
        </w:rPr>
        <w:endnoteReference w:id="5"/>
      </w:r>
      <w:r w:rsidRPr="00412236">
        <w:rPr>
          <w:rFonts w:ascii="Gill Sans MT" w:hAnsi="Gill Sans MT"/>
          <w:vertAlign w:val="superscript"/>
        </w:rPr>
        <w:t xml:space="preserve">) </w:t>
      </w:r>
    </w:p>
    <w:p w:rsidR="00E8582A" w:rsidRPr="009A1AA0" w:rsidRDefault="00E8582A" w:rsidP="009A1AA0">
      <w:pPr>
        <w:pStyle w:val="ListParagraph"/>
        <w:spacing w:after="0"/>
        <w:ind w:left="634"/>
        <w:rPr>
          <w:rFonts w:ascii="Gill Sans MT" w:hAnsi="Gill Sans MT"/>
          <w:b/>
          <w:sz w:val="16"/>
          <w:szCs w:val="16"/>
          <w:u w:val="single"/>
        </w:rPr>
      </w:pPr>
    </w:p>
    <w:p w:rsidR="00E8582A" w:rsidRPr="00B81BB0" w:rsidRDefault="00E8582A" w:rsidP="009A1AA0">
      <w:pPr>
        <w:pStyle w:val="ListParagraph"/>
        <w:spacing w:after="0"/>
        <w:ind w:left="634"/>
        <w:rPr>
          <w:rFonts w:ascii="Gill Sans MT" w:hAnsi="Gill Sans MT"/>
          <w:b/>
          <w:u w:val="single"/>
        </w:rPr>
      </w:pPr>
      <w:r w:rsidRPr="00BD5F8E">
        <w:rPr>
          <w:rFonts w:ascii="Gill Sans MT" w:hAnsi="Gill Sans MT"/>
        </w:rPr>
        <w:t>Since its public listing, TFG has distributed</w:t>
      </w:r>
      <w:r>
        <w:rPr>
          <w:rFonts w:ascii="Gill Sans MT" w:hAnsi="Gill Sans MT"/>
        </w:rPr>
        <w:t xml:space="preserve"> or declared</w:t>
      </w:r>
      <w:r w:rsidRPr="00BD5F8E">
        <w:rPr>
          <w:rFonts w:ascii="Gill Sans MT" w:hAnsi="Gill Sans MT"/>
        </w:rPr>
        <w:t xml:space="preserve"> </w:t>
      </w:r>
      <w:r>
        <w:rPr>
          <w:rFonts w:ascii="Gill Sans MT" w:hAnsi="Gill Sans MT"/>
        </w:rPr>
        <w:t xml:space="preserve">a cumulative amount of </w:t>
      </w:r>
      <w:r w:rsidRPr="00BD5F8E">
        <w:rPr>
          <w:rFonts w:ascii="Gill Sans MT" w:hAnsi="Gill Sans MT"/>
        </w:rPr>
        <w:t xml:space="preserve">approximately </w:t>
      </w:r>
      <w:r w:rsidRPr="00C43573">
        <w:rPr>
          <w:rFonts w:ascii="Gill Sans MT" w:hAnsi="Gill Sans MT"/>
        </w:rPr>
        <w:t>$1.89</w:t>
      </w:r>
      <w:r w:rsidRPr="00B81BB0">
        <w:rPr>
          <w:rFonts w:ascii="Gill Sans MT" w:hAnsi="Gill Sans MT"/>
        </w:rPr>
        <w:t xml:space="preserve"> per share via quarterly dividends. In addition, TFG’s NAV per share, as reported each quarter, among other things, reflects value created for shareholders via the repurchase of shares below NAV. </w:t>
      </w:r>
      <w:r>
        <w:rPr>
          <w:rFonts w:ascii="Gill Sans MT" w:hAnsi="Gill Sans MT"/>
        </w:rPr>
        <w:t xml:space="preserve">During Q1 </w:t>
      </w:r>
      <w:r w:rsidRPr="00B81BB0">
        <w:rPr>
          <w:rFonts w:ascii="Gill Sans MT" w:hAnsi="Gill Sans MT"/>
        </w:rPr>
        <w:t xml:space="preserve">2012, </w:t>
      </w:r>
      <w:r>
        <w:rPr>
          <w:rFonts w:ascii="Gill Sans MT" w:hAnsi="Gill Sans MT"/>
        </w:rPr>
        <w:t>TFG repurchased a total of 1,357,627</w:t>
      </w:r>
      <w:r w:rsidRPr="00B81BB0">
        <w:rPr>
          <w:rFonts w:ascii="Gill Sans MT" w:hAnsi="Gill Sans MT"/>
        </w:rPr>
        <w:t xml:space="preserve"> shares at an aggregate cost of approximately $</w:t>
      </w:r>
      <w:r>
        <w:rPr>
          <w:rFonts w:ascii="Gill Sans MT" w:hAnsi="Gill Sans MT"/>
        </w:rPr>
        <w:t>9.1</w:t>
      </w:r>
      <w:r w:rsidRPr="00B81BB0">
        <w:rPr>
          <w:rFonts w:ascii="Gill Sans MT" w:hAnsi="Gill Sans MT"/>
        </w:rPr>
        <w:t xml:space="preserve"> million,</w:t>
      </w:r>
      <w:r>
        <w:rPr>
          <w:rFonts w:ascii="Gill Sans MT" w:hAnsi="Gill Sans MT"/>
        </w:rPr>
        <w:t xml:space="preserve"> at an average price of $6.73</w:t>
      </w:r>
      <w:r w:rsidRPr="00B81BB0">
        <w:rPr>
          <w:rFonts w:ascii="Gill Sans MT" w:hAnsi="Gill Sans MT"/>
        </w:rPr>
        <w:t xml:space="preserve"> per share. Since</w:t>
      </w:r>
      <w:r>
        <w:rPr>
          <w:rFonts w:ascii="Gill Sans MT" w:hAnsi="Gill Sans MT"/>
        </w:rPr>
        <w:t xml:space="preserve"> the</w:t>
      </w:r>
      <w:r w:rsidRPr="00B81BB0">
        <w:rPr>
          <w:rFonts w:ascii="Gill Sans MT" w:hAnsi="Gill Sans MT"/>
        </w:rPr>
        <w:t xml:space="preserve"> inception of the buy-back program</w:t>
      </w:r>
      <w:r>
        <w:rPr>
          <w:rFonts w:ascii="Gill Sans MT" w:hAnsi="Gill Sans MT"/>
        </w:rPr>
        <w:t xml:space="preserve"> in 2008</w:t>
      </w:r>
      <w:r w:rsidRPr="00B81BB0">
        <w:rPr>
          <w:rFonts w:ascii="Gill Sans MT" w:hAnsi="Gill Sans MT"/>
        </w:rPr>
        <w:t xml:space="preserve">, </w:t>
      </w:r>
      <w:r>
        <w:rPr>
          <w:rFonts w:ascii="Gill Sans MT" w:hAnsi="Gill Sans MT"/>
        </w:rPr>
        <w:t xml:space="preserve">TFG </w:t>
      </w:r>
      <w:r w:rsidRPr="00B81BB0">
        <w:rPr>
          <w:rFonts w:ascii="Gill Sans MT" w:hAnsi="Gill Sans MT"/>
        </w:rPr>
        <w:t xml:space="preserve">has repurchased a total of </w:t>
      </w:r>
      <w:r>
        <w:rPr>
          <w:rFonts w:ascii="Gill Sans MT" w:hAnsi="Gill Sans MT"/>
        </w:rPr>
        <w:t>17,458,169</w:t>
      </w:r>
      <w:r w:rsidRPr="00B81BB0">
        <w:rPr>
          <w:rFonts w:ascii="Gill Sans MT" w:hAnsi="Gill Sans MT"/>
        </w:rPr>
        <w:t xml:space="preserve"> shares, at an aggregate cost of approximately $</w:t>
      </w:r>
      <w:r>
        <w:rPr>
          <w:rFonts w:ascii="Gill Sans MT" w:hAnsi="Gill Sans MT"/>
        </w:rPr>
        <w:t>91.1</w:t>
      </w:r>
      <w:r w:rsidRPr="00B81BB0">
        <w:rPr>
          <w:rFonts w:ascii="Gill Sans MT" w:hAnsi="Gill Sans MT"/>
        </w:rPr>
        <w:t xml:space="preserve"> million, </w:t>
      </w:r>
      <w:r>
        <w:rPr>
          <w:rFonts w:ascii="Gill Sans MT" w:hAnsi="Gill Sans MT"/>
        </w:rPr>
        <w:t>at an average price of</w:t>
      </w:r>
      <w:r w:rsidRPr="00B81BB0">
        <w:rPr>
          <w:rFonts w:ascii="Gill Sans MT" w:hAnsi="Gill Sans MT"/>
        </w:rPr>
        <w:t xml:space="preserve"> $</w:t>
      </w:r>
      <w:r>
        <w:rPr>
          <w:rFonts w:ascii="Gill Sans MT" w:hAnsi="Gill Sans MT"/>
        </w:rPr>
        <w:t>5.22</w:t>
      </w:r>
      <w:r w:rsidRPr="00B81BB0">
        <w:rPr>
          <w:rFonts w:ascii="Gill Sans MT" w:hAnsi="Gill Sans MT"/>
        </w:rPr>
        <w:t xml:space="preserve"> per share.  Please refer to </w:t>
      </w:r>
      <w:r w:rsidRPr="000E7B77">
        <w:rPr>
          <w:rFonts w:ascii="Gill Sans MT" w:hAnsi="Gill Sans MT"/>
          <w:i/>
        </w:rPr>
        <w:t xml:space="preserve">Figure </w:t>
      </w:r>
      <w:r>
        <w:rPr>
          <w:rFonts w:ascii="Gill Sans MT" w:hAnsi="Gill Sans MT"/>
          <w:i/>
        </w:rPr>
        <w:t>6</w:t>
      </w:r>
      <w:r w:rsidRPr="00B81BB0">
        <w:rPr>
          <w:rFonts w:ascii="Gill Sans MT" w:hAnsi="Gill Sans MT"/>
        </w:rPr>
        <w:t xml:space="preserve"> and </w:t>
      </w:r>
      <w:r w:rsidRPr="000E7B77">
        <w:rPr>
          <w:rFonts w:ascii="Gill Sans MT" w:hAnsi="Gill Sans MT"/>
          <w:i/>
        </w:rPr>
        <w:t>Figure 7</w:t>
      </w:r>
      <w:r w:rsidRPr="00B81BB0">
        <w:rPr>
          <w:rFonts w:ascii="Gill Sans MT" w:hAnsi="Gill Sans MT"/>
        </w:rPr>
        <w:t xml:space="preserve"> for a summary of TFG’s historical NAV per share, dividend distributions, and share buy-back program.</w:t>
      </w:r>
    </w:p>
    <w:p w:rsidR="00E8582A" w:rsidRDefault="00E8582A" w:rsidP="00BD5F8E">
      <w:pPr>
        <w:pStyle w:val="ListParagraph"/>
        <w:spacing w:after="0"/>
        <w:ind w:left="634"/>
        <w:rPr>
          <w:rFonts w:ascii="Gill Sans MT" w:hAnsi="Gill Sans MT"/>
          <w:b/>
        </w:rPr>
      </w:pPr>
    </w:p>
    <w:p w:rsidR="00E8582A" w:rsidRDefault="00E8582A" w:rsidP="00BD5F8E">
      <w:pPr>
        <w:spacing w:after="0"/>
        <w:outlineLvl w:val="0"/>
        <w:rPr>
          <w:rFonts w:ascii="Gill Sans MT" w:hAnsi="Gill Sans MT"/>
          <w:b/>
          <w:color w:val="2D6145"/>
        </w:rPr>
      </w:pPr>
      <w:r w:rsidRPr="00DD2F28">
        <w:rPr>
          <w:noProof/>
          <w:lang w:val="en-GB" w:eastAsia="en-GB"/>
        </w:rPr>
        <w:pict>
          <v:shape id="_x0000_i1030" type="#_x0000_t75" style="width:534pt;height:203.25pt;visibility:visible">
            <v:imagedata r:id="rId13" o:title=""/>
          </v:shape>
        </w:pict>
      </w:r>
    </w:p>
    <w:p w:rsidR="00E8582A" w:rsidRDefault="00E8582A" w:rsidP="009F51F4">
      <w:pPr>
        <w:pStyle w:val="ListParagraph"/>
        <w:numPr>
          <w:ilvl w:val="0"/>
          <w:numId w:val="33"/>
        </w:numPr>
        <w:spacing w:before="120" w:after="0"/>
        <w:ind w:left="270" w:hanging="270"/>
        <w:outlineLvl w:val="0"/>
        <w:rPr>
          <w:rFonts w:ascii="Gill Sans MT" w:hAnsi="Gill Sans MT"/>
          <w:sz w:val="16"/>
          <w:szCs w:val="16"/>
        </w:rPr>
      </w:pPr>
      <w:r w:rsidRPr="00062C4B">
        <w:rPr>
          <w:rFonts w:ascii="Gill Sans MT" w:hAnsi="Gill Sans MT"/>
          <w:sz w:val="16"/>
          <w:szCs w:val="16"/>
        </w:rPr>
        <w:t xml:space="preserve">Source: NAV per share and Cumulative DPS as per TFG’s financial disclosures for each relevant quarter-end date. The cumulative </w:t>
      </w:r>
      <w:r>
        <w:rPr>
          <w:rFonts w:ascii="Gill Sans MT" w:hAnsi="Gill Sans MT"/>
          <w:sz w:val="16"/>
          <w:szCs w:val="16"/>
        </w:rPr>
        <w:t xml:space="preserve">DPS </w:t>
      </w:r>
      <w:r w:rsidRPr="00062C4B">
        <w:rPr>
          <w:rFonts w:ascii="Gill Sans MT" w:hAnsi="Gill Sans MT"/>
          <w:sz w:val="16"/>
          <w:szCs w:val="16"/>
        </w:rPr>
        <w:t>reflect dividends announced with respect to each relevant quarter</w:t>
      </w:r>
      <w:r>
        <w:rPr>
          <w:rFonts w:ascii="Gill Sans MT" w:hAnsi="Gill Sans MT"/>
          <w:sz w:val="16"/>
          <w:szCs w:val="16"/>
        </w:rPr>
        <w:t>. Please note that dividends announced with respect to each quarter are typically not distributed to shareholders until the beginning of the following quarter</w:t>
      </w:r>
      <w:r w:rsidRPr="00062C4B">
        <w:rPr>
          <w:rFonts w:ascii="Gill Sans MT" w:hAnsi="Gill Sans MT"/>
          <w:sz w:val="16"/>
          <w:szCs w:val="16"/>
        </w:rPr>
        <w:t xml:space="preserve">. Please note </w:t>
      </w:r>
      <w:r>
        <w:rPr>
          <w:rFonts w:ascii="Gill Sans MT" w:hAnsi="Gill Sans MT"/>
          <w:sz w:val="16"/>
          <w:szCs w:val="16"/>
        </w:rPr>
        <w:t xml:space="preserve">further </w:t>
      </w:r>
      <w:r w:rsidRPr="00062C4B">
        <w:rPr>
          <w:rFonts w:ascii="Gill Sans MT" w:hAnsi="Gill Sans MT"/>
          <w:sz w:val="16"/>
          <w:szCs w:val="16"/>
        </w:rPr>
        <w:t>that the NAV per share reported as of each quarter-end date excludes any shares held in treasury as of that date.</w:t>
      </w: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sz w:val="12"/>
          <w:szCs w:val="12"/>
        </w:rPr>
      </w:pPr>
    </w:p>
    <w:p w:rsidR="00E8582A" w:rsidRDefault="00E8582A">
      <w:pPr>
        <w:spacing w:after="0"/>
        <w:jc w:val="left"/>
        <w:rPr>
          <w:rFonts w:ascii="Gill Sans MT" w:hAnsi="Gill Sans MT"/>
          <w:b/>
          <w:u w:val="single"/>
        </w:rPr>
      </w:pPr>
      <w:r>
        <w:rPr>
          <w:rFonts w:ascii="Gill Sans MT" w:hAnsi="Gill Sans MT"/>
          <w:b/>
          <w:u w:val="single"/>
        </w:rPr>
        <w:br w:type="page"/>
      </w:r>
    </w:p>
    <w:p w:rsidR="00E8582A" w:rsidRPr="009E34C1" w:rsidRDefault="00E8582A" w:rsidP="004226CB">
      <w:pPr>
        <w:pStyle w:val="ListParagraph"/>
        <w:numPr>
          <w:ilvl w:val="0"/>
          <w:numId w:val="11"/>
        </w:numPr>
        <w:tabs>
          <w:tab w:val="left" w:pos="630"/>
        </w:tabs>
        <w:spacing w:after="0"/>
        <w:rPr>
          <w:rFonts w:ascii="Gill Sans MT" w:hAnsi="Gill Sans MT"/>
          <w:b/>
          <w:u w:val="single"/>
        </w:rPr>
      </w:pPr>
      <w:r>
        <w:rPr>
          <w:rFonts w:ascii="Gill Sans MT" w:hAnsi="Gill Sans MT"/>
          <w:b/>
          <w:u w:val="single"/>
        </w:rPr>
        <w:t>Corporate-Level</w:t>
      </w:r>
      <w:r w:rsidRPr="00BE4E13">
        <w:rPr>
          <w:rFonts w:ascii="Gill Sans MT" w:hAnsi="Gill Sans MT"/>
          <w:b/>
          <w:u w:val="single"/>
        </w:rPr>
        <w:t xml:space="preserve">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 (continued)</w:t>
      </w:r>
      <w:r w:rsidRPr="00496FD3">
        <w:rPr>
          <w:rFonts w:ascii="Gill Sans MT" w:hAnsi="Gill Sans MT"/>
          <w:b/>
        </w:rPr>
        <w:t>:</w:t>
      </w:r>
    </w:p>
    <w:p w:rsidR="00E8582A" w:rsidRPr="004226CB" w:rsidRDefault="00E8582A" w:rsidP="00BD5F8E">
      <w:pPr>
        <w:spacing w:after="0"/>
        <w:outlineLvl w:val="0"/>
        <w:rPr>
          <w:rFonts w:ascii="Gill Sans MT" w:hAnsi="Gill Sans MT"/>
          <w:sz w:val="16"/>
          <w:szCs w:val="16"/>
        </w:rPr>
      </w:pPr>
    </w:p>
    <w:p w:rsidR="00E8582A" w:rsidRPr="009721F0" w:rsidRDefault="00E8582A" w:rsidP="009721F0">
      <w:pPr>
        <w:pStyle w:val="ListParagraph"/>
        <w:numPr>
          <w:ilvl w:val="0"/>
          <w:numId w:val="6"/>
        </w:numPr>
        <w:spacing w:after="0"/>
        <w:outlineLvl w:val="0"/>
        <w:rPr>
          <w:rFonts w:ascii="Gill Sans MT" w:hAnsi="Gill Sans MT"/>
          <w:sz w:val="12"/>
          <w:szCs w:val="12"/>
        </w:rPr>
      </w:pPr>
      <w:r w:rsidRPr="009721F0">
        <w:rPr>
          <w:rFonts w:ascii="Gill Sans MT" w:hAnsi="Gill Sans MT"/>
          <w:b/>
        </w:rPr>
        <w:t>Capital Distributions</w:t>
      </w:r>
      <w:r>
        <w:rPr>
          <w:rFonts w:ascii="Gill Sans MT" w:hAnsi="Gill Sans MT"/>
          <w:b/>
        </w:rPr>
        <w:t xml:space="preserve"> (continued)</w:t>
      </w:r>
      <w:r w:rsidRPr="009721F0">
        <w:rPr>
          <w:rFonts w:ascii="Gill Sans MT" w:hAnsi="Gill Sans MT"/>
        </w:rPr>
        <w:t xml:space="preserve">:  </w:t>
      </w:r>
    </w:p>
    <w:p w:rsidR="00E8582A" w:rsidRPr="00E23598" w:rsidRDefault="00E8582A" w:rsidP="00BD5F8E">
      <w:pPr>
        <w:spacing w:after="0"/>
        <w:outlineLvl w:val="0"/>
        <w:rPr>
          <w:rFonts w:ascii="Gill Sans MT" w:hAnsi="Gill Sans MT"/>
          <w:sz w:val="12"/>
          <w:szCs w:val="12"/>
        </w:rPr>
      </w:pPr>
    </w:p>
    <w:p w:rsidR="00E8582A" w:rsidRDefault="00E8582A" w:rsidP="00BD5F8E">
      <w:pPr>
        <w:spacing w:after="0"/>
        <w:outlineLvl w:val="0"/>
        <w:rPr>
          <w:rFonts w:ascii="Gill Sans MT" w:hAnsi="Gill Sans MT"/>
          <w:b/>
          <w:color w:val="2D6145"/>
        </w:rPr>
      </w:pPr>
      <w:r w:rsidRPr="00DD2F28">
        <w:rPr>
          <w:noProof/>
          <w:lang w:val="en-GB" w:eastAsia="en-GB"/>
        </w:rPr>
        <w:pict>
          <v:shape id="Picture 9" o:spid="_x0000_i1031" type="#_x0000_t75" style="width:534pt;height:203.25pt;visibility:visible">
            <v:imagedata r:id="rId14" o:title=""/>
          </v:shape>
        </w:pict>
      </w:r>
    </w:p>
    <w:p w:rsidR="00E8582A" w:rsidRPr="00062C4B" w:rsidRDefault="00E8582A" w:rsidP="00BD5F8E">
      <w:pPr>
        <w:pStyle w:val="ListParagraph"/>
        <w:numPr>
          <w:ilvl w:val="0"/>
          <w:numId w:val="34"/>
        </w:numPr>
        <w:spacing w:before="120"/>
        <w:ind w:left="374" w:hanging="187"/>
        <w:outlineLvl w:val="0"/>
        <w:rPr>
          <w:rFonts w:ascii="Gill Sans MT" w:hAnsi="Gill Sans MT"/>
          <w:sz w:val="16"/>
          <w:szCs w:val="16"/>
        </w:rPr>
      </w:pPr>
      <w:r>
        <w:rPr>
          <w:rFonts w:ascii="Gill Sans MT" w:hAnsi="Gill Sans MT"/>
          <w:sz w:val="16"/>
          <w:szCs w:val="16"/>
        </w:rPr>
        <w:t>The Average Purchase Price of Shares Repurchased is a weighted-average using the number of shares repurchased each quarter and including commissions.</w:t>
      </w:r>
    </w:p>
    <w:p w:rsidR="00E8582A" w:rsidRDefault="00E8582A" w:rsidP="00BD5F8E">
      <w:pPr>
        <w:pStyle w:val="ListParagraph"/>
        <w:spacing w:after="0"/>
        <w:ind w:left="634"/>
        <w:rPr>
          <w:rFonts w:ascii="Gill Sans MT" w:hAnsi="Gill Sans MT"/>
          <w:b/>
          <w:u w:val="single"/>
        </w:rPr>
      </w:pPr>
    </w:p>
    <w:p w:rsidR="00E8582A" w:rsidRDefault="00E8582A" w:rsidP="00AF2233">
      <w:pPr>
        <w:tabs>
          <w:tab w:val="left" w:pos="630"/>
        </w:tabs>
        <w:spacing w:after="0"/>
        <w:rPr>
          <w:rFonts w:ascii="Gill Sans MT" w:hAnsi="Gill Sans MT"/>
          <w:b/>
          <w:color w:val="2D6145"/>
        </w:rPr>
      </w:pPr>
    </w:p>
    <w:p w:rsidR="00E8582A" w:rsidRDefault="00E8582A" w:rsidP="002A65B4">
      <w:pPr>
        <w:spacing w:after="160"/>
        <w:rPr>
          <w:rFonts w:ascii="Gill Sans MT" w:hAnsi="Gill Sans MT"/>
          <w:b/>
          <w:color w:val="2D6145"/>
        </w:rPr>
      </w:pPr>
      <w:r w:rsidRPr="00AF2233">
        <w:rPr>
          <w:rFonts w:ascii="Gill Sans MT" w:hAnsi="Gill Sans MT"/>
          <w:b/>
          <w:color w:val="2D6145"/>
        </w:rPr>
        <w:t>Performance Fee</w:t>
      </w:r>
    </w:p>
    <w:p w:rsidR="00E8582A" w:rsidRDefault="00E8582A" w:rsidP="00AF2233">
      <w:pPr>
        <w:spacing w:after="0"/>
        <w:rPr>
          <w:rFonts w:ascii="Gill Sans MT" w:hAnsi="Gill Sans MT" w:cs="Arial"/>
          <w:vertAlign w:val="superscript"/>
        </w:rPr>
      </w:pPr>
      <w:r>
        <w:rPr>
          <w:rFonts w:ascii="Gill Sans MT" w:hAnsi="Gill Sans MT" w:cs="Arial"/>
        </w:rPr>
        <w:t>A performance fee of $13.9 million was accrued in Q1 2012 in accordance with TFG’s investment management agreement and based on a “Reference NAV” of Q4 2011.  The hurdle rate for Q2</w:t>
      </w:r>
      <w:r w:rsidRPr="00E70DD3">
        <w:rPr>
          <w:rFonts w:ascii="Gill Sans MT" w:hAnsi="Gill Sans MT" w:cs="Arial"/>
        </w:rPr>
        <w:t xml:space="preserve"> 201</w:t>
      </w:r>
      <w:r>
        <w:rPr>
          <w:rFonts w:ascii="Gill Sans MT" w:hAnsi="Gill Sans MT" w:cs="Arial"/>
        </w:rPr>
        <w:t>2</w:t>
      </w:r>
      <w:r w:rsidRPr="00E70DD3">
        <w:rPr>
          <w:rFonts w:ascii="Gill Sans MT" w:hAnsi="Gill Sans MT" w:cs="Arial"/>
        </w:rPr>
        <w:t xml:space="preserve"> in</w:t>
      </w:r>
      <w:r>
        <w:rPr>
          <w:rFonts w:ascii="Gill Sans MT" w:hAnsi="Gill Sans MT" w:cs="Arial"/>
        </w:rPr>
        <w:t xml:space="preserve">centive fee has been reset </w:t>
      </w:r>
      <w:r w:rsidRPr="007E2ED1">
        <w:rPr>
          <w:rFonts w:ascii="Gill Sans MT" w:hAnsi="Gill Sans MT" w:cs="Arial"/>
        </w:rPr>
        <w:t>at 3.1160</w:t>
      </w:r>
      <w:r>
        <w:rPr>
          <w:rFonts w:ascii="Gill Sans MT" w:hAnsi="Gill Sans MT" w:cs="Arial"/>
        </w:rPr>
        <w:t>% (Q1 2012</w:t>
      </w:r>
      <w:r w:rsidRPr="00E70DD3">
        <w:rPr>
          <w:rFonts w:ascii="Gill Sans MT" w:hAnsi="Gill Sans MT" w:cs="Arial"/>
        </w:rPr>
        <w:t xml:space="preserve">: </w:t>
      </w:r>
      <w:r>
        <w:rPr>
          <w:rFonts w:ascii="Gill Sans MT" w:hAnsi="Gill Sans MT" w:cs="Arial"/>
        </w:rPr>
        <w:t>3.2304%</w:t>
      </w:r>
      <w:r w:rsidRPr="00E70DD3">
        <w:rPr>
          <w:rFonts w:ascii="Gill Sans MT" w:hAnsi="Gill Sans MT" w:cs="Arial"/>
        </w:rPr>
        <w:t xml:space="preserve">) as per the process outlined in TFG’s </w:t>
      </w:r>
      <w:r>
        <w:rPr>
          <w:rFonts w:ascii="Gill Sans MT" w:hAnsi="Gill Sans MT" w:cs="Arial"/>
        </w:rPr>
        <w:t>2011</w:t>
      </w:r>
      <w:r w:rsidRPr="00E70DD3">
        <w:rPr>
          <w:rFonts w:ascii="Gill Sans MT" w:hAnsi="Gill Sans MT" w:cs="Arial"/>
        </w:rPr>
        <w:t xml:space="preserve"> Audited Financial Statements and in accordance with TFG’s investment management agreement.</w:t>
      </w:r>
      <w:r w:rsidRPr="00F83D14">
        <w:rPr>
          <w:rFonts w:ascii="Gill Sans MT" w:hAnsi="Gill Sans MT" w:cs="Arial"/>
          <w:vertAlign w:val="superscript"/>
        </w:rPr>
        <w:t>(</w:t>
      </w:r>
      <w:r>
        <w:rPr>
          <w:rStyle w:val="EndnoteReference"/>
          <w:rFonts w:ascii="Gill Sans MT" w:hAnsi="Gill Sans MT"/>
        </w:rPr>
        <w:endnoteReference w:id="6"/>
      </w:r>
      <w:r w:rsidRPr="00F83D14">
        <w:rPr>
          <w:rFonts w:ascii="Gill Sans MT" w:hAnsi="Gill Sans MT" w:cs="Arial"/>
          <w:vertAlign w:val="superscript"/>
        </w:rPr>
        <w:t>)</w:t>
      </w:r>
    </w:p>
    <w:p w:rsidR="00E8582A" w:rsidRDefault="00E8582A" w:rsidP="005F0B46">
      <w:pPr>
        <w:spacing w:after="0"/>
        <w:rPr>
          <w:rFonts w:ascii="Gill Sans MT" w:hAnsi="Gill Sans MT" w:cs="Arial"/>
          <w:vertAlign w:val="superscript"/>
        </w:rPr>
      </w:pPr>
    </w:p>
    <w:p w:rsidR="00E8582A" w:rsidRDefault="00E8582A">
      <w:pPr>
        <w:tabs>
          <w:tab w:val="left" w:pos="0"/>
        </w:tabs>
        <w:spacing w:after="0"/>
        <w:rPr>
          <w:rFonts w:ascii="Gill Sans MT" w:hAnsi="Gill Sans MT"/>
        </w:rPr>
      </w:pPr>
      <w:r>
        <w:rPr>
          <w:rFonts w:ascii="Gill Sans MT" w:hAnsi="Gill Sans MT"/>
        </w:rPr>
        <w:br/>
      </w:r>
    </w:p>
    <w:p w:rsidR="00E8582A" w:rsidRDefault="00E8582A">
      <w:pPr>
        <w:tabs>
          <w:tab w:val="left" w:pos="0"/>
        </w:tabs>
        <w:spacing w:after="0"/>
        <w:rPr>
          <w:rFonts w:ascii="Gill Sans MT" w:hAnsi="Gill Sans MT"/>
        </w:rPr>
      </w:pPr>
    </w:p>
    <w:p w:rsidR="00E8582A" w:rsidRDefault="00E8582A">
      <w:pPr>
        <w:tabs>
          <w:tab w:val="left" w:pos="0"/>
        </w:tabs>
        <w:spacing w:after="0"/>
        <w:rPr>
          <w:rFonts w:ascii="Gill Sans MT" w:hAnsi="Gill Sans MT"/>
        </w:rPr>
      </w:pPr>
    </w:p>
    <w:p w:rsidR="00E8582A" w:rsidRDefault="00E8582A">
      <w:pPr>
        <w:tabs>
          <w:tab w:val="left" w:pos="0"/>
        </w:tabs>
        <w:spacing w:after="0"/>
        <w:rPr>
          <w:rFonts w:ascii="Gill Sans MT" w:hAnsi="Gill Sans MT"/>
        </w:rPr>
      </w:pPr>
    </w:p>
    <w:p w:rsidR="00E8582A" w:rsidRDefault="00E8582A">
      <w:pPr>
        <w:spacing w:after="0"/>
        <w:jc w:val="left"/>
        <w:rPr>
          <w:rFonts w:ascii="Gill Sans MT" w:hAnsi="Gill Sans MT"/>
        </w:rPr>
      </w:pPr>
      <w:r>
        <w:rPr>
          <w:rFonts w:ascii="Gill Sans MT" w:hAnsi="Gill Sans MT"/>
        </w:rPr>
        <w:br w:type="page"/>
      </w:r>
    </w:p>
    <w:p w:rsidR="00E8582A" w:rsidRPr="00BE4E13" w:rsidRDefault="00E8582A" w:rsidP="00210444">
      <w:pPr>
        <w:pStyle w:val="ListParagraph"/>
        <w:numPr>
          <w:ilvl w:val="0"/>
          <w:numId w:val="11"/>
        </w:numPr>
        <w:tabs>
          <w:tab w:val="left" w:pos="630"/>
        </w:tabs>
        <w:spacing w:after="120"/>
        <w:rPr>
          <w:rFonts w:ascii="Gill Sans MT" w:hAnsi="Gill Sans MT"/>
          <w:b/>
          <w:u w:val="single"/>
        </w:rPr>
      </w:pPr>
      <w:r w:rsidRPr="00BE4E13">
        <w:rPr>
          <w:rFonts w:ascii="Gill Sans MT" w:hAnsi="Gill Sans MT"/>
          <w:b/>
          <w:u w:val="single"/>
        </w:rPr>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Pr="00496FD3">
        <w:rPr>
          <w:rFonts w:ascii="Gill Sans MT" w:hAnsi="Gill Sans MT"/>
          <w:b/>
        </w:rPr>
        <w:t>:</w:t>
      </w:r>
    </w:p>
    <w:p w:rsidR="00E8582A" w:rsidRDefault="00E8582A">
      <w:pPr>
        <w:numPr>
          <w:ilvl w:val="0"/>
          <w:numId w:val="3"/>
        </w:numPr>
        <w:tabs>
          <w:tab w:val="clear" w:pos="1980"/>
        </w:tabs>
        <w:spacing w:after="200"/>
        <w:ind w:left="630"/>
        <w:outlineLvl w:val="0"/>
        <w:rPr>
          <w:rFonts w:ascii="Gill Sans MT" w:hAnsi="Gill Sans MT"/>
          <w:b/>
        </w:rPr>
      </w:pPr>
      <w:r>
        <w:rPr>
          <w:rFonts w:ascii="Gill Sans MT" w:hAnsi="Gill Sans MT" w:cs="Arial"/>
          <w:b/>
        </w:rPr>
        <w:t xml:space="preserve">CLO </w:t>
      </w:r>
      <w:r w:rsidRPr="002F2C68">
        <w:rPr>
          <w:rFonts w:ascii="Gill Sans MT" w:hAnsi="Gill Sans MT" w:cs="Arial"/>
          <w:b/>
        </w:rPr>
        <w:t>Portfolio Size:</w:t>
      </w:r>
      <w:r w:rsidRPr="002F2C68">
        <w:rPr>
          <w:rFonts w:ascii="Gill Sans MT" w:hAnsi="Gill Sans MT"/>
          <w:b/>
          <w:caps/>
          <w:sz w:val="22"/>
          <w:szCs w:val="22"/>
        </w:rPr>
        <w:t xml:space="preserve"> </w:t>
      </w:r>
      <w:r>
        <w:rPr>
          <w:rFonts w:ascii="Gill Sans MT" w:hAnsi="Gill Sans MT"/>
        </w:rPr>
        <w:t xml:space="preserve">At the end of Q1 </w:t>
      </w:r>
      <w:r w:rsidRPr="002F2C68">
        <w:rPr>
          <w:rFonts w:ascii="Gill Sans MT" w:hAnsi="Gill Sans MT"/>
        </w:rPr>
        <w:t>201</w:t>
      </w:r>
      <w:r>
        <w:rPr>
          <w:rFonts w:ascii="Gill Sans MT" w:hAnsi="Gill Sans MT"/>
        </w:rPr>
        <w:t xml:space="preserve">2 the </w:t>
      </w:r>
      <w:r w:rsidRPr="002F2C68">
        <w:rPr>
          <w:rFonts w:ascii="Gill Sans MT" w:hAnsi="Gill Sans MT"/>
        </w:rPr>
        <w:t>e</w:t>
      </w:r>
      <w:r>
        <w:rPr>
          <w:rFonts w:ascii="Gill Sans MT" w:hAnsi="Gill Sans MT"/>
        </w:rPr>
        <w:t>stimated total fair value of TFG’s CLO equity investment portfolio was</w:t>
      </w:r>
      <w:r w:rsidRPr="002F2C68">
        <w:rPr>
          <w:rFonts w:ascii="Gill Sans MT" w:hAnsi="Gill Sans MT"/>
        </w:rPr>
        <w:t xml:space="preserve"> approximately </w:t>
      </w:r>
      <w:r>
        <w:rPr>
          <w:rFonts w:ascii="Gill Sans MT" w:hAnsi="Gill Sans MT"/>
        </w:rPr>
        <w:t xml:space="preserve">$1,160.3 million ($1,044.1 million of U.S. and $116.2 million of European investments), up from $1,147.4 </w:t>
      </w:r>
      <w:r w:rsidRPr="002F2C68">
        <w:rPr>
          <w:rFonts w:ascii="Gill Sans MT" w:hAnsi="Gill Sans MT"/>
        </w:rPr>
        <w:t>million</w:t>
      </w:r>
      <w:r>
        <w:rPr>
          <w:rFonts w:ascii="Gill Sans MT" w:hAnsi="Gill Sans MT"/>
        </w:rPr>
        <w:t xml:space="preserve"> as of the end of the prior quarter ($1,024.0 million of U.S. and $123.4 million of European investments)</w:t>
      </w:r>
      <w:r w:rsidRPr="002F2C68">
        <w:rPr>
          <w:rFonts w:ascii="Gill Sans MT" w:hAnsi="Gill Sans MT"/>
        </w:rPr>
        <w:t>.</w:t>
      </w:r>
      <w:r>
        <w:rPr>
          <w:rFonts w:ascii="Gill Sans MT" w:hAnsi="Gill Sans MT"/>
        </w:rPr>
        <w:t xml:space="preserve"> </w:t>
      </w:r>
      <w:r w:rsidRPr="00B57E37">
        <w:rPr>
          <w:rFonts w:ascii="Gill Sans MT" w:hAnsi="Gill Sans MT" w:cs="Arial"/>
        </w:rPr>
        <w:t>TFG’s total indirec</w:t>
      </w:r>
      <w:r>
        <w:rPr>
          <w:rFonts w:ascii="Gill Sans MT" w:hAnsi="Gill Sans MT"/>
        </w:rPr>
        <w:t>t</w:t>
      </w:r>
      <w:r w:rsidRPr="00B57E37">
        <w:rPr>
          <w:rFonts w:ascii="Gill Sans MT" w:hAnsi="Gill Sans MT"/>
        </w:rPr>
        <w:t xml:space="preserve"> exposure to leveraged loans </w:t>
      </w:r>
      <w:r>
        <w:rPr>
          <w:rFonts w:ascii="Gill Sans MT" w:hAnsi="Gill Sans MT"/>
        </w:rPr>
        <w:t>through its CLO equity investments was approximately $18.8 billion as of</w:t>
      </w:r>
      <w:r>
        <w:rPr>
          <w:rFonts w:ascii="Gill Sans MT" w:hAnsi="Gill Sans MT"/>
          <w:vertAlign w:val="superscript"/>
        </w:rPr>
        <w:t xml:space="preserve"> </w:t>
      </w:r>
      <w:r>
        <w:rPr>
          <w:rFonts w:ascii="Gill Sans MT" w:hAnsi="Gill Sans MT"/>
        </w:rPr>
        <w:t>the end of Q1 2012.</w:t>
      </w:r>
      <w:r>
        <w:rPr>
          <w:rFonts w:ascii="Gill Sans MT" w:hAnsi="Gill Sans MT"/>
          <w:vertAlign w:val="superscript"/>
        </w:rPr>
        <w:t>(</w:t>
      </w:r>
      <w:r w:rsidRPr="00B57E37">
        <w:rPr>
          <w:rStyle w:val="EndnoteReference"/>
          <w:rFonts w:ascii="Gill Sans MT" w:hAnsi="Gill Sans MT"/>
        </w:rPr>
        <w:endnoteReference w:id="7"/>
      </w:r>
      <w:r w:rsidRPr="00B57E37">
        <w:rPr>
          <w:rFonts w:ascii="Gill Sans MT" w:hAnsi="Gill Sans MT"/>
          <w:vertAlign w:val="superscript"/>
        </w:rPr>
        <w:t>)</w:t>
      </w:r>
      <w:r w:rsidRPr="00B57E37">
        <w:rPr>
          <w:rFonts w:ascii="Gill Sans MT" w:hAnsi="Gill Sans MT"/>
        </w:rPr>
        <w:t xml:space="preserve"> </w:t>
      </w:r>
    </w:p>
    <w:p w:rsidR="00E8582A" w:rsidRPr="00B35428" w:rsidRDefault="00E8582A" w:rsidP="00F4119A">
      <w:pPr>
        <w:numPr>
          <w:ilvl w:val="0"/>
          <w:numId w:val="3"/>
        </w:numPr>
        <w:tabs>
          <w:tab w:val="clear" w:pos="1980"/>
        </w:tabs>
        <w:ind w:left="630"/>
        <w:outlineLvl w:val="0"/>
        <w:rPr>
          <w:rFonts w:ascii="Gill Sans MT" w:hAnsi="Gill Sans MT"/>
          <w:b/>
          <w:caps/>
          <w:sz w:val="22"/>
          <w:szCs w:val="22"/>
        </w:rPr>
      </w:pPr>
      <w:r>
        <w:rPr>
          <w:rFonts w:ascii="Gill Sans MT" w:hAnsi="Gill Sans MT" w:cs="Arial"/>
          <w:b/>
        </w:rPr>
        <w:t xml:space="preserve">CLO Portfolio Composition: </w:t>
      </w:r>
      <w:r>
        <w:rPr>
          <w:rFonts w:ascii="Gill Sans MT" w:hAnsi="Gill Sans MT" w:cs="Arial"/>
        </w:rPr>
        <w:t>78 transactions as of the end of Q1 2012, up from 77 as of the end of the prior quarter, reflecting the closing of two new issue CLO equity investments and the sale of one position. The number of deals in the portfolio increased to 69 from 68 as of the end of the prior quarter. The number of external CLO managers remained unchanged from Q4 2011, at 27.</w:t>
      </w:r>
      <w:r w:rsidRPr="002B6641">
        <w:rPr>
          <w:rFonts w:ascii="Gill Sans MT" w:hAnsi="Gill Sans MT"/>
          <w:vertAlign w:val="superscript"/>
        </w:rPr>
        <w:t>(</w:t>
      </w:r>
      <w:r w:rsidRPr="002B6641">
        <w:rPr>
          <w:rStyle w:val="EndnoteReference"/>
          <w:rFonts w:ascii="Gill Sans MT" w:hAnsi="Gill Sans MT"/>
        </w:rPr>
        <w:endnoteReference w:id="8"/>
      </w:r>
      <w:r w:rsidRPr="002B6641">
        <w:rPr>
          <w:rFonts w:ascii="Gill Sans MT" w:hAnsi="Gill Sans MT"/>
          <w:vertAlign w:val="superscript"/>
        </w:rPr>
        <w:t>)</w:t>
      </w:r>
    </w:p>
    <w:p w:rsidR="00E8582A" w:rsidRDefault="00E8582A" w:rsidP="00F4119A">
      <w:pPr>
        <w:tabs>
          <w:tab w:val="num" w:pos="630"/>
        </w:tabs>
        <w:spacing w:after="0"/>
        <w:ind w:hanging="277"/>
        <w:jc w:val="center"/>
        <w:outlineLvl w:val="0"/>
        <w:rPr>
          <w:rFonts w:ascii="Gill Sans MT" w:hAnsi="Gill Sans MT"/>
          <w:smallCaps/>
          <w:sz w:val="16"/>
          <w:szCs w:val="16"/>
        </w:rPr>
      </w:pPr>
    </w:p>
    <w:p w:rsidR="00E8582A" w:rsidRDefault="00E8582A" w:rsidP="00590051">
      <w:pPr>
        <w:numPr>
          <w:ilvl w:val="2"/>
          <w:numId w:val="2"/>
        </w:numPr>
        <w:tabs>
          <w:tab w:val="clear" w:pos="2160"/>
          <w:tab w:val="num" w:pos="360"/>
          <w:tab w:val="num" w:pos="630"/>
          <w:tab w:val="num" w:pos="720"/>
        </w:tabs>
        <w:spacing w:after="0"/>
        <w:ind w:left="634"/>
        <w:rPr>
          <w:rFonts w:ascii="Gill Sans MT" w:hAnsi="Gill Sans MT"/>
        </w:rPr>
      </w:pPr>
      <w:r w:rsidRPr="009A133F">
        <w:rPr>
          <w:rFonts w:ascii="Gill Sans MT" w:hAnsi="Gill Sans MT"/>
          <w:b/>
        </w:rPr>
        <w:t>CLO Collateral Performance:</w:t>
      </w:r>
      <w:r w:rsidRPr="009A133F">
        <w:rPr>
          <w:rFonts w:ascii="Gill Sans MT" w:hAnsi="Gill Sans MT"/>
        </w:rPr>
        <w:t xml:space="preserve"> A</w:t>
      </w:r>
      <w:r>
        <w:rPr>
          <w:rFonts w:ascii="Gill Sans MT" w:hAnsi="Gill Sans MT"/>
        </w:rPr>
        <w:t xml:space="preserve">t </w:t>
      </w:r>
      <w:r w:rsidRPr="009A133F">
        <w:rPr>
          <w:rFonts w:ascii="Gill Sans MT" w:hAnsi="Gill Sans MT"/>
        </w:rPr>
        <w:t>the end of Q</w:t>
      </w:r>
      <w:r>
        <w:rPr>
          <w:rFonts w:ascii="Gill Sans MT" w:hAnsi="Gill Sans MT"/>
        </w:rPr>
        <w:t>1</w:t>
      </w:r>
      <w:r w:rsidRPr="009A133F">
        <w:rPr>
          <w:rFonts w:ascii="Gill Sans MT" w:hAnsi="Gill Sans MT"/>
          <w:sz w:val="16"/>
          <w:szCs w:val="16"/>
        </w:rPr>
        <w:t xml:space="preserve"> </w:t>
      </w:r>
      <w:r>
        <w:rPr>
          <w:rFonts w:ascii="Gill Sans MT" w:hAnsi="Gill Sans MT"/>
        </w:rPr>
        <w:t>2012</w:t>
      </w:r>
      <w:r w:rsidRPr="009A133F">
        <w:rPr>
          <w:rFonts w:ascii="Gill Sans MT" w:hAnsi="Gill Sans MT"/>
        </w:rPr>
        <w:t xml:space="preserve">, approximately </w:t>
      </w:r>
      <w:r>
        <w:rPr>
          <w:rFonts w:ascii="Gill Sans MT" w:hAnsi="Gill Sans MT"/>
        </w:rPr>
        <w:t>97% of TFG’s CLO investments</w:t>
      </w:r>
      <w:r w:rsidRPr="009A133F">
        <w:rPr>
          <w:rFonts w:ascii="Gill Sans MT" w:hAnsi="Gill Sans MT"/>
        </w:rPr>
        <w:t xml:space="preserve"> were passing their junior-most O/C tests, weighted by fair value.</w:t>
      </w:r>
      <w:r w:rsidRPr="009A133F">
        <w:rPr>
          <w:rFonts w:ascii="Gill Sans MT" w:hAnsi="Gill Sans MT"/>
          <w:vertAlign w:val="superscript"/>
        </w:rPr>
        <w:t>(</w:t>
      </w:r>
      <w:r>
        <w:rPr>
          <w:rStyle w:val="EndnoteReference"/>
          <w:rFonts w:ascii="Gill Sans MT" w:hAnsi="Gill Sans MT"/>
        </w:rPr>
        <w:endnoteReference w:id="9"/>
      </w:r>
      <w:r w:rsidRPr="009A133F">
        <w:rPr>
          <w:rFonts w:ascii="Gill Sans MT" w:hAnsi="Gill Sans MT"/>
          <w:vertAlign w:val="superscript"/>
        </w:rPr>
        <w:t>)</w:t>
      </w:r>
      <w:r w:rsidRPr="009A133F">
        <w:rPr>
          <w:rFonts w:ascii="Gill Sans MT" w:hAnsi="Gill Sans MT"/>
        </w:rPr>
        <w:t xml:space="preserve"> </w:t>
      </w:r>
      <w:r>
        <w:rPr>
          <w:rFonts w:ascii="Gill Sans MT" w:hAnsi="Gill Sans MT"/>
        </w:rPr>
        <w:t>Similarly, 64 or approximately 93%</w:t>
      </w:r>
      <w:r w:rsidRPr="009A133F">
        <w:rPr>
          <w:rFonts w:ascii="Gill Sans MT" w:hAnsi="Gill Sans MT"/>
        </w:rPr>
        <w:t xml:space="preserve"> </w:t>
      </w:r>
      <w:r>
        <w:rPr>
          <w:rFonts w:ascii="Gill Sans MT" w:hAnsi="Gill Sans MT"/>
        </w:rPr>
        <w:t xml:space="preserve">were passing </w:t>
      </w:r>
      <w:r w:rsidRPr="009A133F">
        <w:rPr>
          <w:rFonts w:ascii="Gill Sans MT" w:hAnsi="Gill Sans MT"/>
        </w:rPr>
        <w:t>when wei</w:t>
      </w:r>
      <w:r>
        <w:rPr>
          <w:rFonts w:ascii="Gill Sans MT" w:hAnsi="Gill Sans MT"/>
        </w:rPr>
        <w:t>ghted by the number of deals.  Both of the foregoing statistics were unchanged from the end of the prior quarter.</w:t>
      </w:r>
    </w:p>
    <w:p w:rsidR="00E8582A" w:rsidRPr="0012427C" w:rsidRDefault="00E8582A" w:rsidP="00590051">
      <w:pPr>
        <w:tabs>
          <w:tab w:val="num" w:pos="720"/>
        </w:tabs>
        <w:spacing w:after="0"/>
        <w:ind w:left="634"/>
        <w:rPr>
          <w:rFonts w:ascii="Gill Sans MT" w:hAnsi="Gill Sans MT"/>
          <w:sz w:val="12"/>
          <w:szCs w:val="12"/>
        </w:rPr>
      </w:pPr>
    </w:p>
    <w:p w:rsidR="00E8582A" w:rsidRDefault="00E8582A" w:rsidP="00590051">
      <w:pPr>
        <w:pStyle w:val="ListParagraph"/>
        <w:ind w:left="630"/>
        <w:rPr>
          <w:rFonts w:ascii="Gill Sans MT" w:hAnsi="Gill Sans MT"/>
        </w:rPr>
      </w:pPr>
      <w:r>
        <w:rPr>
          <w:rFonts w:ascii="Gill Sans MT" w:hAnsi="Gill Sans MT"/>
        </w:rPr>
        <w:t xml:space="preserve">100% of TFG’s U.S. CLOs were </w:t>
      </w:r>
      <w:r w:rsidRPr="00894DEF">
        <w:rPr>
          <w:rFonts w:ascii="Gill Sans MT" w:hAnsi="Gill Sans MT"/>
        </w:rPr>
        <w:t>passing their junior-most O/C tests (note that U.S. C</w:t>
      </w:r>
      <w:r>
        <w:rPr>
          <w:rFonts w:ascii="Gill Sans MT" w:hAnsi="Gill Sans MT"/>
        </w:rPr>
        <w:t>LOs represented approximately 90.0</w:t>
      </w:r>
      <w:r w:rsidRPr="00894DEF">
        <w:rPr>
          <w:rFonts w:ascii="Gill Sans MT" w:hAnsi="Gill Sans MT"/>
        </w:rPr>
        <w:t xml:space="preserve">% of the total fair value of TFG’s CLO </w:t>
      </w:r>
      <w:r>
        <w:rPr>
          <w:rFonts w:ascii="Gill Sans MT" w:hAnsi="Gill Sans MT"/>
        </w:rPr>
        <w:t xml:space="preserve">equity </w:t>
      </w:r>
      <w:r w:rsidRPr="00894DEF">
        <w:rPr>
          <w:rFonts w:ascii="Gill Sans MT" w:hAnsi="Gill Sans MT"/>
        </w:rPr>
        <w:t xml:space="preserve">investment portfolio as of </w:t>
      </w:r>
      <w:r>
        <w:rPr>
          <w:rFonts w:ascii="Gill Sans MT" w:hAnsi="Gill Sans MT"/>
        </w:rPr>
        <w:t>March 31</w:t>
      </w:r>
      <w:r w:rsidRPr="00894DEF">
        <w:rPr>
          <w:rFonts w:ascii="Gill Sans MT" w:hAnsi="Gill Sans MT"/>
        </w:rPr>
        <w:t>, 201</w:t>
      </w:r>
      <w:r>
        <w:rPr>
          <w:rFonts w:ascii="Gill Sans MT" w:hAnsi="Gill Sans MT"/>
        </w:rPr>
        <w:t>2</w:t>
      </w:r>
      <w:r w:rsidRPr="00894DEF">
        <w:rPr>
          <w:rFonts w:ascii="Gill Sans MT" w:hAnsi="Gill Sans MT"/>
        </w:rPr>
        <w:t>).</w:t>
      </w:r>
      <w:r w:rsidRPr="00894DEF">
        <w:rPr>
          <w:rFonts w:ascii="Gill Sans MT" w:hAnsi="Gill Sans MT"/>
          <w:vertAlign w:val="superscript"/>
        </w:rPr>
        <w:t>(</w:t>
      </w:r>
      <w:r w:rsidRPr="00501B8F">
        <w:rPr>
          <w:rStyle w:val="EndnoteReference"/>
          <w:rFonts w:ascii="Gill Sans MT" w:hAnsi="Gill Sans MT"/>
        </w:rPr>
        <w:endnoteReference w:id="10"/>
      </w:r>
      <w:r w:rsidRPr="00894DEF">
        <w:rPr>
          <w:rFonts w:ascii="Gill Sans MT" w:hAnsi="Gill Sans MT"/>
          <w:vertAlign w:val="superscript"/>
        </w:rPr>
        <w:t>)(</w:t>
      </w:r>
      <w:r w:rsidRPr="00501B8F">
        <w:rPr>
          <w:rStyle w:val="EndnoteReference"/>
          <w:rFonts w:ascii="Gill Sans MT" w:hAnsi="Gill Sans MT"/>
        </w:rPr>
        <w:endnoteReference w:id="11"/>
      </w:r>
      <w:r w:rsidRPr="00894DEF">
        <w:rPr>
          <w:rFonts w:ascii="Gill Sans MT" w:hAnsi="Gill Sans MT"/>
          <w:vertAlign w:val="superscript"/>
        </w:rPr>
        <w:t xml:space="preserve">)  </w:t>
      </w:r>
      <w:r w:rsidRPr="00894DEF">
        <w:rPr>
          <w:rFonts w:ascii="Gill Sans MT" w:hAnsi="Gill Sans MT"/>
        </w:rPr>
        <w:t>In comparison, the market-wide average of U.S. CLOs estimated to be passing their junior O/C tests as of the end of Q</w:t>
      </w:r>
      <w:r>
        <w:rPr>
          <w:rFonts w:ascii="Gill Sans MT" w:hAnsi="Gill Sans MT"/>
        </w:rPr>
        <w:t>1</w:t>
      </w:r>
      <w:r w:rsidRPr="00894DEF">
        <w:rPr>
          <w:rFonts w:ascii="Gill Sans MT" w:hAnsi="Gill Sans MT"/>
        </w:rPr>
        <w:t xml:space="preserve"> 201</w:t>
      </w:r>
      <w:r>
        <w:rPr>
          <w:rFonts w:ascii="Gill Sans MT" w:hAnsi="Gill Sans MT"/>
        </w:rPr>
        <w:t>2</w:t>
      </w:r>
      <w:r w:rsidRPr="00894DEF">
        <w:rPr>
          <w:rFonts w:ascii="Gill Sans MT" w:hAnsi="Gill Sans MT"/>
        </w:rPr>
        <w:t xml:space="preserve"> was approximately </w:t>
      </w:r>
      <w:r>
        <w:rPr>
          <w:rFonts w:ascii="Gill Sans MT" w:hAnsi="Gill Sans MT"/>
        </w:rPr>
        <w:t>96.0</w:t>
      </w:r>
      <w:r w:rsidRPr="00894DEF">
        <w:rPr>
          <w:rFonts w:ascii="Gill Sans MT" w:hAnsi="Gill Sans MT"/>
        </w:rPr>
        <w:t>% (when measured on a percentage of deals basis).</w:t>
      </w:r>
      <w:r w:rsidRPr="00894DEF">
        <w:rPr>
          <w:rFonts w:ascii="Gill Sans MT" w:hAnsi="Gill Sans MT"/>
          <w:vertAlign w:val="superscript"/>
        </w:rPr>
        <w:t>(</w:t>
      </w:r>
      <w:r w:rsidRPr="00501B8F">
        <w:rPr>
          <w:rStyle w:val="EndnoteReference"/>
          <w:rFonts w:ascii="Gill Sans MT" w:hAnsi="Gill Sans MT"/>
        </w:rPr>
        <w:endnoteReference w:id="12"/>
      </w:r>
      <w:r w:rsidRPr="00894DEF">
        <w:rPr>
          <w:rFonts w:ascii="Gill Sans MT" w:hAnsi="Gill Sans MT"/>
          <w:vertAlign w:val="superscript"/>
        </w:rPr>
        <w:t xml:space="preserve">)  </w:t>
      </w:r>
      <w:r w:rsidRPr="00894DEF">
        <w:rPr>
          <w:rFonts w:ascii="Gill Sans MT" w:hAnsi="Gill Sans MT"/>
        </w:rPr>
        <w:t xml:space="preserve">Please refer to </w:t>
      </w:r>
      <w:r w:rsidRPr="00894DEF">
        <w:rPr>
          <w:rFonts w:ascii="Gill Sans MT" w:hAnsi="Gill Sans MT"/>
          <w:i/>
        </w:rPr>
        <w:t xml:space="preserve">Figure </w:t>
      </w:r>
      <w:r>
        <w:rPr>
          <w:rFonts w:ascii="Gill Sans MT" w:hAnsi="Gill Sans MT"/>
          <w:i/>
        </w:rPr>
        <w:t>8</w:t>
      </w:r>
      <w:r w:rsidRPr="00894DEF">
        <w:rPr>
          <w:rFonts w:ascii="Gill Sans MT" w:hAnsi="Gill Sans MT"/>
        </w:rPr>
        <w:t xml:space="preserve"> below for a summary of TFG’s investments’ </w:t>
      </w:r>
      <w:r>
        <w:rPr>
          <w:rFonts w:ascii="Gill Sans MT" w:hAnsi="Gill Sans MT"/>
        </w:rPr>
        <w:t xml:space="preserve">historical </w:t>
      </w:r>
      <w:r w:rsidRPr="00894DEF">
        <w:rPr>
          <w:rFonts w:ascii="Gill Sans MT" w:hAnsi="Gill Sans MT"/>
        </w:rPr>
        <w:t xml:space="preserve">junior O/C test performance. </w:t>
      </w:r>
    </w:p>
    <w:p w:rsidR="00E8582A" w:rsidRDefault="00E8582A" w:rsidP="00590051">
      <w:pPr>
        <w:pStyle w:val="ListParagraph"/>
        <w:ind w:left="630"/>
        <w:rPr>
          <w:rFonts w:ascii="Gill Sans MT" w:hAnsi="Gill Sans MT"/>
        </w:rPr>
      </w:pPr>
    </w:p>
    <w:p w:rsidR="00E8582A" w:rsidRDefault="00E8582A" w:rsidP="00590051">
      <w:pPr>
        <w:pStyle w:val="ListParagraph"/>
        <w:tabs>
          <w:tab w:val="left" w:pos="-180"/>
          <w:tab w:val="left" w:pos="-90"/>
          <w:tab w:val="left" w:pos="180"/>
        </w:tabs>
        <w:ind w:left="0" w:hanging="90"/>
        <w:jc w:val="center"/>
        <w:rPr>
          <w:rFonts w:ascii="Gill Sans MT" w:hAnsi="Gill Sans MT"/>
        </w:rPr>
      </w:pPr>
      <w:r w:rsidRPr="00DD2F28">
        <w:rPr>
          <w:noProof/>
          <w:lang w:val="en-GB" w:eastAsia="en-GB"/>
        </w:rPr>
        <w:pict>
          <v:shape id="Picture 10" o:spid="_x0000_i1032" type="#_x0000_t75" style="width:528.75pt;height:207.75pt;visibility:visible">
            <v:imagedata r:id="rId15" o:title=""/>
          </v:shape>
        </w:pict>
      </w:r>
    </w:p>
    <w:p w:rsidR="00E8582A" w:rsidRPr="005A3176" w:rsidRDefault="00E8582A" w:rsidP="00590051">
      <w:pPr>
        <w:pStyle w:val="ListParagraph"/>
        <w:spacing w:before="40"/>
        <w:ind w:left="274"/>
        <w:outlineLvl w:val="0"/>
        <w:rPr>
          <w:rFonts w:ascii="Gill Sans MT" w:hAnsi="Gill Sans MT"/>
          <w:sz w:val="4"/>
          <w:szCs w:val="4"/>
        </w:rPr>
      </w:pPr>
    </w:p>
    <w:p w:rsidR="00E8582A" w:rsidRPr="00B423C9" w:rsidRDefault="00E8582A" w:rsidP="00590051">
      <w:pPr>
        <w:pStyle w:val="ListParagraph"/>
        <w:numPr>
          <w:ilvl w:val="0"/>
          <w:numId w:val="12"/>
        </w:numPr>
        <w:spacing w:after="0"/>
        <w:ind w:left="188" w:hanging="274"/>
        <w:outlineLvl w:val="0"/>
        <w:rPr>
          <w:rFonts w:ascii="Gill Sans MT" w:hAnsi="Gill Sans MT"/>
          <w:sz w:val="16"/>
          <w:szCs w:val="16"/>
        </w:rPr>
      </w:pPr>
      <w:r w:rsidRPr="00B423C9">
        <w:rPr>
          <w:rFonts w:ascii="Gill Sans MT" w:hAnsi="Gill Sans MT"/>
          <w:sz w:val="16"/>
          <w:szCs w:val="16"/>
        </w:rPr>
        <w:t xml:space="preserve">The percentage of TFG’s CLOs passing their junior-most O/C tests has been calculated as the ratio of the number of deals passing their junior O/C tests to the total number of CLO </w:t>
      </w:r>
      <w:r>
        <w:rPr>
          <w:rFonts w:ascii="Gill Sans MT" w:hAnsi="Gill Sans MT"/>
          <w:sz w:val="16"/>
          <w:szCs w:val="16"/>
        </w:rPr>
        <w:t>deals</w:t>
      </w:r>
      <w:r w:rsidRPr="00B423C9">
        <w:rPr>
          <w:rFonts w:ascii="Gill Sans MT" w:hAnsi="Gill Sans MT"/>
          <w:sz w:val="16"/>
          <w:szCs w:val="16"/>
        </w:rPr>
        <w:t xml:space="preserve"> held by TFG as of the applicable quarter-end date.  </w:t>
      </w:r>
    </w:p>
    <w:p w:rsidR="00E8582A" w:rsidRPr="00B75697" w:rsidRDefault="00E8582A" w:rsidP="00590051">
      <w:pPr>
        <w:pStyle w:val="ListParagraph"/>
        <w:numPr>
          <w:ilvl w:val="0"/>
          <w:numId w:val="12"/>
        </w:numPr>
        <w:tabs>
          <w:tab w:val="left" w:pos="270"/>
        </w:tabs>
        <w:spacing w:after="0"/>
        <w:ind w:left="188" w:hanging="274"/>
        <w:outlineLvl w:val="0"/>
        <w:rPr>
          <w:rFonts w:ascii="Gill Sans MT" w:hAnsi="Gill Sans MT"/>
          <w:sz w:val="16"/>
          <w:szCs w:val="16"/>
        </w:rPr>
      </w:pPr>
      <w:r w:rsidRPr="00B423C9">
        <w:rPr>
          <w:rFonts w:ascii="Gill Sans MT" w:hAnsi="Gill Sans MT"/>
          <w:sz w:val="16"/>
          <w:szCs w:val="16"/>
        </w:rPr>
        <w:t xml:space="preserve">Gross Cash Receipts from Investments refer to the actual cash receipts collected during each quarter from TFG’s CLO investments. Cash Flows from Operations refer to cash inflows from investments less expenses and net cash settlements on FX and credit hedges. </w:t>
      </w:r>
      <w:r>
        <w:rPr>
          <w:rFonts w:ascii="Gill Sans MT" w:hAnsi="Gill Sans MT"/>
          <w:sz w:val="16"/>
          <w:szCs w:val="16"/>
        </w:rPr>
        <w:t xml:space="preserve"> </w:t>
      </w:r>
    </w:p>
    <w:p w:rsidR="00E8582A" w:rsidRDefault="00E8582A" w:rsidP="00EF0135">
      <w:pPr>
        <w:pStyle w:val="ListParagraph"/>
        <w:tabs>
          <w:tab w:val="left" w:pos="270"/>
        </w:tabs>
        <w:spacing w:after="0"/>
        <w:ind w:left="188"/>
        <w:outlineLvl w:val="0"/>
        <w:rPr>
          <w:rFonts w:ascii="Gill Sans MT" w:hAnsi="Gill Sans MT"/>
          <w:smallCaps/>
          <w:sz w:val="16"/>
          <w:szCs w:val="16"/>
        </w:rPr>
      </w:pPr>
    </w:p>
    <w:p w:rsidR="00E8582A" w:rsidRDefault="00E8582A" w:rsidP="00EF0135">
      <w:pPr>
        <w:pStyle w:val="ListParagraph"/>
        <w:tabs>
          <w:tab w:val="left" w:pos="270"/>
        </w:tabs>
        <w:spacing w:after="0"/>
        <w:ind w:left="188"/>
        <w:outlineLvl w:val="0"/>
        <w:rPr>
          <w:rFonts w:ascii="Gill Sans MT" w:hAnsi="Gill Sans MT"/>
          <w:smallCaps/>
          <w:sz w:val="16"/>
          <w:szCs w:val="16"/>
        </w:rPr>
      </w:pPr>
    </w:p>
    <w:p w:rsidR="00E8582A" w:rsidRDefault="00E8582A" w:rsidP="00EF0135">
      <w:pPr>
        <w:pStyle w:val="ListParagraph"/>
        <w:tabs>
          <w:tab w:val="left" w:pos="270"/>
        </w:tabs>
        <w:spacing w:after="0"/>
        <w:ind w:left="188"/>
        <w:outlineLvl w:val="0"/>
        <w:rPr>
          <w:rFonts w:ascii="Gill Sans MT" w:hAnsi="Gill Sans MT"/>
          <w:smallCaps/>
          <w:sz w:val="16"/>
          <w:szCs w:val="16"/>
        </w:rPr>
      </w:pPr>
    </w:p>
    <w:p w:rsidR="00E8582A" w:rsidRPr="008A11D7" w:rsidRDefault="00E8582A" w:rsidP="00D60849">
      <w:pPr>
        <w:pStyle w:val="ListParagraph"/>
        <w:numPr>
          <w:ilvl w:val="0"/>
          <w:numId w:val="11"/>
        </w:numPr>
        <w:tabs>
          <w:tab w:val="left" w:pos="630"/>
        </w:tabs>
        <w:spacing w:after="120"/>
        <w:rPr>
          <w:rFonts w:ascii="Gill Sans MT" w:hAnsi="Gill Sans MT"/>
          <w:b/>
          <w:u w:val="single"/>
        </w:rPr>
      </w:pPr>
      <w:r w:rsidRPr="00BE4E13">
        <w:rPr>
          <w:rFonts w:ascii="Gill Sans MT" w:hAnsi="Gill Sans MT"/>
          <w:b/>
          <w:u w:val="single"/>
        </w:rPr>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Pr="000E1A5A">
        <w:rPr>
          <w:rFonts w:ascii="Gill Sans MT" w:hAnsi="Gill Sans MT"/>
          <w:b/>
          <w:u w:val="single"/>
        </w:rPr>
        <w:t xml:space="preserve"> </w:t>
      </w:r>
      <w:r w:rsidRPr="008A11D7">
        <w:rPr>
          <w:rFonts w:ascii="Gill Sans MT" w:hAnsi="Gill Sans MT"/>
          <w:b/>
          <w:u w:val="single"/>
        </w:rPr>
        <w:t>(continued)</w:t>
      </w:r>
      <w:r w:rsidRPr="000E1A5A">
        <w:rPr>
          <w:rFonts w:ascii="Gill Sans MT" w:hAnsi="Gill Sans MT"/>
          <w:b/>
          <w:u w:val="single"/>
        </w:rPr>
        <w:t>:</w:t>
      </w:r>
    </w:p>
    <w:p w:rsidR="00E8582A" w:rsidRPr="009052CB" w:rsidRDefault="00E8582A" w:rsidP="008C17A8">
      <w:pPr>
        <w:numPr>
          <w:ilvl w:val="0"/>
          <w:numId w:val="4"/>
        </w:numPr>
        <w:tabs>
          <w:tab w:val="clear" w:pos="720"/>
        </w:tabs>
        <w:spacing w:after="240"/>
        <w:ind w:left="634"/>
        <w:rPr>
          <w:rFonts w:ascii="Gill Sans MT" w:hAnsi="Gill Sans MT"/>
          <w:b/>
        </w:rPr>
      </w:pPr>
      <w:r>
        <w:rPr>
          <w:rFonts w:ascii="Gill Sans MT" w:hAnsi="Gill Sans MT"/>
          <w:b/>
        </w:rPr>
        <w:t xml:space="preserve">CLO Portfolio Credit Quality: </w:t>
      </w:r>
      <w:r>
        <w:rPr>
          <w:rFonts w:ascii="Gill Sans MT" w:hAnsi="Gill Sans MT"/>
        </w:rPr>
        <w:t>The</w:t>
      </w:r>
      <w:r w:rsidRPr="00D60849">
        <w:rPr>
          <w:rFonts w:ascii="Gill Sans MT" w:hAnsi="Gill Sans MT"/>
        </w:rPr>
        <w:t xml:space="preserve"> weighted-average WARF </w:t>
      </w:r>
      <w:r>
        <w:rPr>
          <w:rFonts w:ascii="Gill Sans MT" w:hAnsi="Gill Sans MT"/>
        </w:rPr>
        <w:t xml:space="preserve">across all of TFG’s CLO equity investments </w:t>
      </w:r>
      <w:r w:rsidRPr="00D60849">
        <w:rPr>
          <w:rFonts w:ascii="Gill Sans MT" w:hAnsi="Gill Sans MT"/>
        </w:rPr>
        <w:t>stood at approximately 2</w:t>
      </w:r>
      <w:r>
        <w:rPr>
          <w:rFonts w:ascii="Gill Sans MT" w:hAnsi="Gill Sans MT"/>
        </w:rPr>
        <w:t xml:space="preserve">,588 </w:t>
      </w:r>
      <w:r w:rsidRPr="00D60849">
        <w:rPr>
          <w:rFonts w:ascii="Gill Sans MT" w:hAnsi="Gill Sans MT"/>
        </w:rPr>
        <w:t>as of the end of Q</w:t>
      </w:r>
      <w:r>
        <w:rPr>
          <w:rFonts w:ascii="Gill Sans MT" w:hAnsi="Gill Sans MT"/>
        </w:rPr>
        <w:t>1</w:t>
      </w:r>
      <w:r w:rsidRPr="00D60849">
        <w:rPr>
          <w:rFonts w:ascii="Gill Sans MT" w:hAnsi="Gill Sans MT"/>
        </w:rPr>
        <w:t xml:space="preserve"> 201</w:t>
      </w:r>
      <w:r>
        <w:rPr>
          <w:rFonts w:ascii="Gill Sans MT" w:hAnsi="Gill Sans MT"/>
        </w:rPr>
        <w:t>2. Each of these foregoing statistics represents a weighted-average summary of all of our 69 deals.</w:t>
      </w:r>
      <w:r>
        <w:rPr>
          <w:rFonts w:ascii="Gill Sans MT" w:hAnsi="Gill Sans MT"/>
          <w:vertAlign w:val="superscript"/>
        </w:rPr>
        <w:t>(</w:t>
      </w:r>
      <w:r>
        <w:rPr>
          <w:rStyle w:val="EndnoteReference"/>
          <w:rFonts w:ascii="Gill Sans MT" w:hAnsi="Gill Sans MT"/>
        </w:rPr>
        <w:endnoteReference w:id="13"/>
      </w:r>
      <w:r w:rsidRPr="00D60849">
        <w:rPr>
          <w:rFonts w:ascii="Gill Sans MT" w:hAnsi="Gill Sans MT"/>
          <w:vertAlign w:val="superscript"/>
        </w:rPr>
        <w:t xml:space="preserve">)  </w:t>
      </w:r>
      <w:r>
        <w:rPr>
          <w:rFonts w:ascii="Gill Sans MT" w:hAnsi="Gill Sans MT"/>
        </w:rPr>
        <w:t>Each individual deal’s metrics will differ from these averages and vary across the portfolio.</w:t>
      </w:r>
    </w:p>
    <w:tbl>
      <w:tblPr>
        <w:tblW w:w="1117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728"/>
        <w:gridCol w:w="728"/>
        <w:gridCol w:w="728"/>
        <w:gridCol w:w="728"/>
        <w:gridCol w:w="728"/>
        <w:gridCol w:w="728"/>
        <w:gridCol w:w="729"/>
        <w:gridCol w:w="729"/>
        <w:gridCol w:w="729"/>
        <w:gridCol w:w="729"/>
        <w:gridCol w:w="729"/>
        <w:gridCol w:w="729"/>
        <w:gridCol w:w="765"/>
      </w:tblGrid>
      <w:tr w:rsidR="00E8582A" w:rsidTr="008C17A8">
        <w:trPr>
          <w:trHeight w:val="485"/>
          <w:jc w:val="center"/>
        </w:trPr>
        <w:tc>
          <w:tcPr>
            <w:tcW w:w="1670" w:type="dxa"/>
            <w:shd w:val="clear" w:color="auto" w:fill="1F4D4D"/>
            <w:noWrap/>
            <w:vAlign w:val="center"/>
          </w:tcPr>
          <w:p w:rsidR="00E8582A" w:rsidRPr="00184309" w:rsidRDefault="00E8582A" w:rsidP="00310E12">
            <w:pPr>
              <w:spacing w:after="60"/>
              <w:jc w:val="left"/>
              <w:rPr>
                <w:rFonts w:ascii="Gill Sans MT" w:hAnsi="Gill Sans MT" w:cs="Arial"/>
                <w:b/>
                <w:bCs/>
                <w:color w:val="FFFFFF"/>
                <w:sz w:val="20"/>
                <w:szCs w:val="20"/>
              </w:rPr>
            </w:pPr>
            <w:r>
              <w:rPr>
                <w:rFonts w:ascii="Gill Sans MT" w:hAnsi="Gill Sans MT" w:cs="Arial"/>
                <w:b/>
                <w:bCs/>
                <w:color w:val="FFFFFF"/>
                <w:sz w:val="20"/>
                <w:szCs w:val="20"/>
              </w:rPr>
              <w:t>ALL CLOs</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8" w:type="dxa"/>
            <w:shd w:val="clear" w:color="auto" w:fill="1F4D4D"/>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9" w:type="dxa"/>
            <w:shd w:val="clear" w:color="auto" w:fill="1F4D4D"/>
            <w:vAlign w:val="center"/>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9" w:type="dxa"/>
            <w:shd w:val="clear" w:color="auto" w:fill="1F4D4D"/>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9" w:type="dxa"/>
            <w:shd w:val="clear" w:color="auto" w:fill="1F4D4D"/>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9" w:type="dxa"/>
            <w:shd w:val="clear" w:color="auto" w:fill="1F4D4D"/>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9" w:type="dxa"/>
            <w:shd w:val="clear" w:color="auto" w:fill="1F4D4D"/>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29" w:type="dxa"/>
            <w:shd w:val="clear" w:color="auto" w:fill="1F4D4D"/>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c>
          <w:tcPr>
            <w:tcW w:w="765" w:type="dxa"/>
            <w:shd w:val="clear" w:color="auto" w:fill="1F4D4D"/>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2009</w:t>
            </w:r>
          </w:p>
        </w:tc>
      </w:tr>
      <w:tr w:rsidR="00E8582A" w:rsidTr="008F43E7">
        <w:trPr>
          <w:trHeight w:val="575"/>
          <w:jc w:val="center"/>
        </w:trPr>
        <w:tc>
          <w:tcPr>
            <w:tcW w:w="1670" w:type="dxa"/>
            <w:noWrap/>
            <w:vAlign w:val="center"/>
          </w:tcPr>
          <w:p w:rsidR="00E8582A" w:rsidRPr="00184309" w:rsidRDefault="00E8582A" w:rsidP="00310E12">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28"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6.2%</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7.0%</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7.0%</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7.2%</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7.6</w:t>
            </w:r>
            <w:r w:rsidRPr="004D5EC9">
              <w:rPr>
                <w:rFonts w:ascii="Gill Sans MT" w:hAnsi="Gill Sans MT" w:cs="Arial"/>
                <w:sz w:val="20"/>
                <w:szCs w:val="20"/>
              </w:rPr>
              <w:t>%</w:t>
            </w:r>
          </w:p>
        </w:tc>
        <w:tc>
          <w:tcPr>
            <w:tcW w:w="728" w:type="dxa"/>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8.3%</w:t>
            </w:r>
          </w:p>
        </w:tc>
        <w:tc>
          <w:tcPr>
            <w:tcW w:w="729" w:type="dxa"/>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9.6%</w:t>
            </w:r>
          </w:p>
        </w:tc>
        <w:tc>
          <w:tcPr>
            <w:tcW w:w="729" w:type="dxa"/>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10.5%</w:t>
            </w:r>
          </w:p>
        </w:tc>
        <w:tc>
          <w:tcPr>
            <w:tcW w:w="729" w:type="dxa"/>
            <w:noWrap/>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11.1%</w:t>
            </w:r>
          </w:p>
        </w:tc>
        <w:tc>
          <w:tcPr>
            <w:tcW w:w="729" w:type="dxa"/>
            <w:noWrap/>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12.0%</w:t>
            </w:r>
          </w:p>
        </w:tc>
        <w:tc>
          <w:tcPr>
            <w:tcW w:w="729" w:type="dxa"/>
            <w:noWrap/>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12.6%</w:t>
            </w:r>
          </w:p>
        </w:tc>
        <w:tc>
          <w:tcPr>
            <w:tcW w:w="729" w:type="dxa"/>
            <w:noWrap/>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11.6%</w:t>
            </w:r>
          </w:p>
        </w:tc>
        <w:tc>
          <w:tcPr>
            <w:tcW w:w="765" w:type="dxa"/>
            <w:noWrap/>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11.4%</w:t>
            </w:r>
          </w:p>
        </w:tc>
      </w:tr>
      <w:tr w:rsidR="00E8582A" w:rsidTr="008F43E7">
        <w:trPr>
          <w:trHeight w:val="539"/>
          <w:jc w:val="center"/>
        </w:trPr>
        <w:tc>
          <w:tcPr>
            <w:tcW w:w="1670" w:type="dxa"/>
            <w:noWrap/>
            <w:vAlign w:val="center"/>
          </w:tcPr>
          <w:p w:rsidR="00E8582A" w:rsidRPr="00184309" w:rsidRDefault="00E8582A" w:rsidP="00310E12">
            <w:pPr>
              <w:rPr>
                <w:rFonts w:ascii="Gill Sans MT" w:hAnsi="Gill Sans MT" w:cs="Arial"/>
                <w:sz w:val="20"/>
                <w:szCs w:val="20"/>
              </w:rPr>
            </w:pPr>
            <w:r w:rsidRPr="00184309">
              <w:rPr>
                <w:rFonts w:ascii="Gill Sans MT" w:hAnsi="Gill Sans MT" w:cs="Arial"/>
                <w:sz w:val="20"/>
                <w:szCs w:val="20"/>
              </w:rPr>
              <w:t>WARF:</w:t>
            </w:r>
          </w:p>
        </w:tc>
        <w:tc>
          <w:tcPr>
            <w:tcW w:w="728"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2,588</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2,624</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2,614</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2,642</w:t>
            </w:r>
          </w:p>
        </w:tc>
        <w:tc>
          <w:tcPr>
            <w:tcW w:w="728"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2,664</w:t>
            </w:r>
          </w:p>
        </w:tc>
        <w:tc>
          <w:tcPr>
            <w:tcW w:w="728" w:type="dxa"/>
            <w:vAlign w:val="center"/>
          </w:tcPr>
          <w:p w:rsidR="00E8582A" w:rsidRDefault="00E8582A">
            <w:pPr>
              <w:spacing w:before="40"/>
              <w:jc w:val="center"/>
              <w:rPr>
                <w:rFonts w:ascii="Gill Sans MT" w:hAnsi="Gill Sans MT" w:cs="Arial"/>
                <w:sz w:val="20"/>
                <w:szCs w:val="20"/>
              </w:rPr>
            </w:pPr>
            <w:r w:rsidRPr="004D5EC9">
              <w:rPr>
                <w:rFonts w:ascii="Gill Sans MT" w:hAnsi="Gill Sans MT" w:cs="Arial"/>
                <w:sz w:val="20"/>
                <w:szCs w:val="20"/>
              </w:rPr>
              <w:t>2,671</w:t>
            </w:r>
          </w:p>
        </w:tc>
        <w:tc>
          <w:tcPr>
            <w:tcW w:w="729" w:type="dxa"/>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2,658</w:t>
            </w:r>
          </w:p>
        </w:tc>
        <w:tc>
          <w:tcPr>
            <w:tcW w:w="729" w:type="dxa"/>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2,706</w:t>
            </w:r>
          </w:p>
        </w:tc>
        <w:tc>
          <w:tcPr>
            <w:tcW w:w="729" w:type="dxa"/>
            <w:noWrap/>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2,762</w:t>
            </w:r>
          </w:p>
        </w:tc>
        <w:tc>
          <w:tcPr>
            <w:tcW w:w="729" w:type="dxa"/>
            <w:noWrap/>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2,809</w:t>
            </w:r>
          </w:p>
        </w:tc>
        <w:tc>
          <w:tcPr>
            <w:tcW w:w="729" w:type="dxa"/>
            <w:noWrap/>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2,813</w:t>
            </w:r>
          </w:p>
        </w:tc>
        <w:tc>
          <w:tcPr>
            <w:tcW w:w="729" w:type="dxa"/>
            <w:noWrap/>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2,800</w:t>
            </w:r>
          </w:p>
        </w:tc>
        <w:tc>
          <w:tcPr>
            <w:tcW w:w="765" w:type="dxa"/>
            <w:noWrap/>
            <w:vAlign w:val="center"/>
          </w:tcPr>
          <w:p w:rsidR="00E8582A" w:rsidRDefault="00E8582A">
            <w:pPr>
              <w:jc w:val="center"/>
              <w:rPr>
                <w:rFonts w:ascii="Gill Sans MT" w:hAnsi="Gill Sans MT" w:cs="Arial"/>
                <w:sz w:val="20"/>
                <w:szCs w:val="20"/>
              </w:rPr>
            </w:pPr>
            <w:r w:rsidRPr="004D5EC9">
              <w:rPr>
                <w:rFonts w:ascii="Gill Sans MT" w:hAnsi="Gill Sans MT" w:cs="Arial"/>
                <w:sz w:val="20"/>
                <w:szCs w:val="20"/>
              </w:rPr>
              <w:t>2,758</w:t>
            </w:r>
          </w:p>
        </w:tc>
      </w:tr>
    </w:tbl>
    <w:p w:rsidR="00E8582A" w:rsidRDefault="00E8582A" w:rsidP="00490A6D">
      <w:pPr>
        <w:tabs>
          <w:tab w:val="left" w:pos="630"/>
        </w:tabs>
        <w:spacing w:after="0"/>
        <w:ind w:left="634"/>
        <w:rPr>
          <w:rFonts w:ascii="Gill Sans MT" w:hAnsi="Gill Sans MT"/>
          <w:b/>
          <w:sz w:val="16"/>
          <w:szCs w:val="16"/>
        </w:rPr>
      </w:pPr>
    </w:p>
    <w:p w:rsidR="00E8582A" w:rsidRPr="000E1A5A" w:rsidRDefault="00E8582A" w:rsidP="00490A6D">
      <w:pPr>
        <w:tabs>
          <w:tab w:val="left" w:pos="630"/>
        </w:tabs>
        <w:spacing w:after="0"/>
        <w:ind w:left="634"/>
        <w:rPr>
          <w:rFonts w:ascii="Gill Sans MT" w:hAnsi="Gill Sans MT"/>
          <w:b/>
          <w:sz w:val="16"/>
          <w:szCs w:val="16"/>
        </w:rPr>
      </w:pPr>
    </w:p>
    <w:tbl>
      <w:tblPr>
        <w:tblW w:w="1116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726"/>
        <w:gridCol w:w="726"/>
        <w:gridCol w:w="726"/>
        <w:gridCol w:w="726"/>
        <w:gridCol w:w="726"/>
        <w:gridCol w:w="726"/>
        <w:gridCol w:w="727"/>
        <w:gridCol w:w="727"/>
        <w:gridCol w:w="727"/>
        <w:gridCol w:w="727"/>
        <w:gridCol w:w="727"/>
        <w:gridCol w:w="727"/>
        <w:gridCol w:w="777"/>
      </w:tblGrid>
      <w:tr w:rsidR="00E8582A" w:rsidTr="008C17A8">
        <w:trPr>
          <w:trHeight w:val="485"/>
          <w:jc w:val="center"/>
        </w:trPr>
        <w:tc>
          <w:tcPr>
            <w:tcW w:w="1665" w:type="dxa"/>
            <w:shd w:val="clear" w:color="auto" w:fill="005800"/>
            <w:noWrap/>
            <w:vAlign w:val="center"/>
          </w:tcPr>
          <w:p w:rsidR="00E8582A" w:rsidRDefault="00E8582A">
            <w:pPr>
              <w:spacing w:after="60"/>
              <w:jc w:val="left"/>
              <w:rPr>
                <w:rFonts w:ascii="Gill Sans MT" w:hAnsi="Gill Sans MT" w:cs="Arial"/>
                <w:b/>
                <w:bCs/>
                <w:color w:val="FFFFFF"/>
                <w:sz w:val="20"/>
                <w:szCs w:val="20"/>
              </w:rPr>
            </w:pPr>
            <w:r>
              <w:rPr>
                <w:rFonts w:ascii="Gill Sans MT" w:hAnsi="Gill Sans MT" w:cs="Arial"/>
                <w:b/>
                <w:bCs/>
                <w:color w:val="FFFFFF"/>
                <w:sz w:val="20"/>
                <w:szCs w:val="20"/>
              </w:rPr>
              <w:t>US CLOs</w:t>
            </w:r>
          </w:p>
        </w:tc>
        <w:tc>
          <w:tcPr>
            <w:tcW w:w="726" w:type="dxa"/>
            <w:shd w:val="clear" w:color="auto" w:fill="005800"/>
          </w:tcPr>
          <w:p w:rsidR="00E8582A" w:rsidRDefault="00E8582A" w:rsidP="008C17A8">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26" w:type="dxa"/>
            <w:shd w:val="clear" w:color="auto" w:fill="005800"/>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6" w:type="dxa"/>
            <w:shd w:val="clear" w:color="auto" w:fill="005800"/>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6" w:type="dxa"/>
            <w:shd w:val="clear" w:color="auto" w:fill="005800"/>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6" w:type="dxa"/>
            <w:shd w:val="clear" w:color="auto" w:fill="005800"/>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6" w:type="dxa"/>
            <w:shd w:val="clear" w:color="auto" w:fill="005800"/>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7" w:type="dxa"/>
            <w:shd w:val="clear" w:color="auto" w:fill="005800"/>
            <w:vAlign w:val="center"/>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7" w:type="dxa"/>
            <w:shd w:val="clear" w:color="auto" w:fill="005800"/>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7" w:type="dxa"/>
            <w:shd w:val="clear" w:color="auto" w:fill="005800"/>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7" w:type="dxa"/>
            <w:shd w:val="clear" w:color="auto" w:fill="005800"/>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7" w:type="dxa"/>
            <w:shd w:val="clear" w:color="auto" w:fill="005800"/>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27" w:type="dxa"/>
            <w:shd w:val="clear" w:color="auto" w:fill="005800"/>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c>
          <w:tcPr>
            <w:tcW w:w="777" w:type="dxa"/>
            <w:shd w:val="clear" w:color="auto" w:fill="005800"/>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2009</w:t>
            </w:r>
          </w:p>
        </w:tc>
      </w:tr>
      <w:tr w:rsidR="00E8582A" w:rsidTr="008F43E7">
        <w:trPr>
          <w:trHeight w:val="575"/>
          <w:jc w:val="center"/>
        </w:trPr>
        <w:tc>
          <w:tcPr>
            <w:tcW w:w="1665" w:type="dxa"/>
            <w:noWrap/>
            <w:vAlign w:val="center"/>
          </w:tcPr>
          <w:p w:rsidR="00E8582A" w:rsidRPr="00184309" w:rsidRDefault="00E8582A" w:rsidP="001B0F8B">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26"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4.8%</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5.5%</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5.5%</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5.8%</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6.5%</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6.9%</w:t>
            </w:r>
          </w:p>
        </w:tc>
        <w:tc>
          <w:tcPr>
            <w:tcW w:w="727"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7.9%</w:t>
            </w:r>
          </w:p>
        </w:tc>
        <w:tc>
          <w:tcPr>
            <w:tcW w:w="727"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8.4%</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9.4%</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12.0%</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12.8%</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11.9%</w:t>
            </w:r>
          </w:p>
        </w:tc>
        <w:tc>
          <w:tcPr>
            <w:tcW w:w="77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12.1%</w:t>
            </w:r>
          </w:p>
        </w:tc>
      </w:tr>
      <w:tr w:rsidR="00E8582A" w:rsidTr="008F43E7">
        <w:trPr>
          <w:trHeight w:val="539"/>
          <w:jc w:val="center"/>
        </w:trPr>
        <w:tc>
          <w:tcPr>
            <w:tcW w:w="1665" w:type="dxa"/>
            <w:noWrap/>
            <w:vAlign w:val="center"/>
          </w:tcPr>
          <w:p w:rsidR="00E8582A" w:rsidRPr="00184309" w:rsidRDefault="00E8582A" w:rsidP="001B0F8B">
            <w:pPr>
              <w:rPr>
                <w:rFonts w:ascii="Gill Sans MT" w:hAnsi="Gill Sans MT" w:cs="Arial"/>
                <w:sz w:val="20"/>
                <w:szCs w:val="20"/>
              </w:rPr>
            </w:pPr>
            <w:r w:rsidRPr="00184309">
              <w:rPr>
                <w:rFonts w:ascii="Gill Sans MT" w:hAnsi="Gill Sans MT" w:cs="Arial"/>
                <w:sz w:val="20"/>
                <w:szCs w:val="20"/>
              </w:rPr>
              <w:t>WARF:</w:t>
            </w:r>
          </w:p>
        </w:tc>
        <w:tc>
          <w:tcPr>
            <w:tcW w:w="726"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2,504</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2,533</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2,522</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2,542</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2,591</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2,622</w:t>
            </w:r>
          </w:p>
        </w:tc>
        <w:tc>
          <w:tcPr>
            <w:tcW w:w="727" w:type="dxa"/>
            <w:vAlign w:val="center"/>
          </w:tcPr>
          <w:p w:rsidR="00E8582A" w:rsidRDefault="00E8582A">
            <w:pPr>
              <w:jc w:val="center"/>
              <w:rPr>
                <w:rFonts w:ascii="Gill Sans MT" w:hAnsi="Gill Sans MT" w:cs="Arial"/>
                <w:sz w:val="20"/>
                <w:szCs w:val="20"/>
              </w:rPr>
            </w:pPr>
            <w:r>
              <w:rPr>
                <w:rFonts w:ascii="Gill Sans MT" w:hAnsi="Gill Sans MT" w:cs="Arial"/>
                <w:sz w:val="20"/>
                <w:szCs w:val="20"/>
              </w:rPr>
              <w:t>2,610</w:t>
            </w:r>
          </w:p>
        </w:tc>
        <w:tc>
          <w:tcPr>
            <w:tcW w:w="727" w:type="dxa"/>
            <w:vAlign w:val="center"/>
          </w:tcPr>
          <w:p w:rsidR="00E8582A" w:rsidRDefault="00E8582A">
            <w:pPr>
              <w:jc w:val="center"/>
              <w:rPr>
                <w:rFonts w:ascii="Gill Sans MT" w:hAnsi="Gill Sans MT" w:cs="Arial"/>
                <w:sz w:val="20"/>
                <w:szCs w:val="20"/>
              </w:rPr>
            </w:pPr>
            <w:r>
              <w:rPr>
                <w:rFonts w:ascii="Gill Sans MT" w:hAnsi="Gill Sans MT" w:cs="Arial"/>
                <w:sz w:val="20"/>
                <w:szCs w:val="20"/>
              </w:rPr>
              <w:t>2,648</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2,719</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2,799</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2,824</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2,831</w:t>
            </w:r>
          </w:p>
        </w:tc>
        <w:tc>
          <w:tcPr>
            <w:tcW w:w="77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2,810</w:t>
            </w:r>
          </w:p>
        </w:tc>
      </w:tr>
    </w:tbl>
    <w:p w:rsidR="00E8582A" w:rsidRDefault="00E8582A">
      <w:pPr>
        <w:spacing w:after="0"/>
        <w:jc w:val="left"/>
        <w:rPr>
          <w:rFonts w:ascii="Gill Sans MT" w:hAnsi="Gill Sans MT"/>
          <w:sz w:val="16"/>
          <w:szCs w:val="16"/>
        </w:rPr>
      </w:pPr>
    </w:p>
    <w:p w:rsidR="00E8582A" w:rsidRDefault="00E8582A">
      <w:pPr>
        <w:spacing w:after="0"/>
        <w:jc w:val="left"/>
        <w:rPr>
          <w:rFonts w:ascii="Gill Sans MT" w:hAnsi="Gill Sans MT"/>
          <w:sz w:val="16"/>
          <w:szCs w:val="16"/>
        </w:rPr>
      </w:pPr>
    </w:p>
    <w:tbl>
      <w:tblPr>
        <w:tblW w:w="1116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711"/>
        <w:gridCol w:w="741"/>
        <w:gridCol w:w="726"/>
        <w:gridCol w:w="726"/>
        <w:gridCol w:w="726"/>
        <w:gridCol w:w="726"/>
        <w:gridCol w:w="727"/>
        <w:gridCol w:w="727"/>
        <w:gridCol w:w="727"/>
        <w:gridCol w:w="727"/>
        <w:gridCol w:w="727"/>
        <w:gridCol w:w="727"/>
        <w:gridCol w:w="777"/>
      </w:tblGrid>
      <w:tr w:rsidR="00E8582A" w:rsidTr="008F43E7">
        <w:trPr>
          <w:trHeight w:val="485"/>
          <w:jc w:val="center"/>
        </w:trPr>
        <w:tc>
          <w:tcPr>
            <w:tcW w:w="1665" w:type="dxa"/>
            <w:shd w:val="clear" w:color="auto" w:fill="348482"/>
            <w:noWrap/>
            <w:vAlign w:val="center"/>
          </w:tcPr>
          <w:p w:rsidR="00E8582A" w:rsidRPr="00184309" w:rsidRDefault="00E8582A" w:rsidP="001B0F8B">
            <w:pPr>
              <w:spacing w:after="60"/>
              <w:jc w:val="left"/>
              <w:rPr>
                <w:rFonts w:ascii="Gill Sans MT" w:hAnsi="Gill Sans MT" w:cs="Arial"/>
                <w:b/>
                <w:bCs/>
                <w:color w:val="FFFFFF"/>
                <w:sz w:val="20"/>
                <w:szCs w:val="20"/>
              </w:rPr>
            </w:pPr>
            <w:r>
              <w:rPr>
                <w:rFonts w:ascii="Gill Sans MT" w:hAnsi="Gill Sans MT" w:cs="Arial"/>
                <w:b/>
                <w:bCs/>
                <w:color w:val="FFFFFF"/>
                <w:sz w:val="20"/>
                <w:szCs w:val="20"/>
              </w:rPr>
              <w:t>EUR CLOs</w:t>
            </w:r>
          </w:p>
        </w:tc>
        <w:tc>
          <w:tcPr>
            <w:tcW w:w="711" w:type="dxa"/>
            <w:shd w:val="clear" w:color="auto" w:fill="348482"/>
          </w:tcPr>
          <w:p w:rsidR="00E8582A" w:rsidRDefault="00E8582A" w:rsidP="008C17A8">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41" w:type="dxa"/>
            <w:shd w:val="clear" w:color="auto" w:fill="348482"/>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6" w:type="dxa"/>
            <w:shd w:val="clear" w:color="auto" w:fill="348482"/>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6" w:type="dxa"/>
            <w:shd w:val="clear" w:color="auto" w:fill="348482"/>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6" w:type="dxa"/>
            <w:shd w:val="clear" w:color="auto" w:fill="348482"/>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6" w:type="dxa"/>
            <w:shd w:val="clear" w:color="auto" w:fill="348482"/>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7" w:type="dxa"/>
            <w:shd w:val="clear" w:color="auto" w:fill="348482"/>
            <w:vAlign w:val="center"/>
          </w:tcPr>
          <w:p w:rsidR="00E8582A" w:rsidRDefault="00E8582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7" w:type="dxa"/>
            <w:shd w:val="clear" w:color="auto" w:fill="348482"/>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7" w:type="dxa"/>
            <w:shd w:val="clear" w:color="auto" w:fill="348482"/>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7" w:type="dxa"/>
            <w:shd w:val="clear" w:color="auto" w:fill="348482"/>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7" w:type="dxa"/>
            <w:shd w:val="clear" w:color="auto" w:fill="348482"/>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27" w:type="dxa"/>
            <w:shd w:val="clear" w:color="auto" w:fill="348482"/>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c>
          <w:tcPr>
            <w:tcW w:w="777" w:type="dxa"/>
            <w:shd w:val="clear" w:color="auto" w:fill="348482"/>
            <w:noWrap/>
            <w:vAlign w:val="center"/>
          </w:tcPr>
          <w:p w:rsidR="00E8582A" w:rsidRDefault="00E8582A">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2009</w:t>
            </w:r>
          </w:p>
        </w:tc>
      </w:tr>
      <w:tr w:rsidR="00E8582A" w:rsidTr="008F43E7">
        <w:trPr>
          <w:trHeight w:val="575"/>
          <w:jc w:val="center"/>
        </w:trPr>
        <w:tc>
          <w:tcPr>
            <w:tcW w:w="1665" w:type="dxa"/>
            <w:noWrap/>
            <w:vAlign w:val="center"/>
          </w:tcPr>
          <w:p w:rsidR="00E8582A" w:rsidRPr="00184309" w:rsidRDefault="00E8582A" w:rsidP="001B0F8B">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11"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11.1%</w:t>
            </w:r>
          </w:p>
        </w:tc>
        <w:tc>
          <w:tcPr>
            <w:tcW w:w="741"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12.3%</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12.0%</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12.3%</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11.4%</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13.1%</w:t>
            </w:r>
          </w:p>
        </w:tc>
        <w:tc>
          <w:tcPr>
            <w:tcW w:w="727"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15.3%</w:t>
            </w:r>
          </w:p>
        </w:tc>
        <w:tc>
          <w:tcPr>
            <w:tcW w:w="727"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17.4%</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16.8%</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15.6%</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12.0%</w:t>
            </w:r>
          </w:p>
        </w:tc>
        <w:tc>
          <w:tcPr>
            <w:tcW w:w="72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10.8%</w:t>
            </w:r>
          </w:p>
        </w:tc>
        <w:tc>
          <w:tcPr>
            <w:tcW w:w="777" w:type="dxa"/>
            <w:noWrap/>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8.8%</w:t>
            </w:r>
          </w:p>
        </w:tc>
      </w:tr>
      <w:tr w:rsidR="00E8582A" w:rsidTr="008F43E7">
        <w:trPr>
          <w:trHeight w:val="539"/>
          <w:jc w:val="center"/>
        </w:trPr>
        <w:tc>
          <w:tcPr>
            <w:tcW w:w="1665" w:type="dxa"/>
            <w:noWrap/>
            <w:vAlign w:val="center"/>
          </w:tcPr>
          <w:p w:rsidR="00E8582A" w:rsidRPr="00184309" w:rsidRDefault="00E8582A" w:rsidP="001B0F8B">
            <w:pPr>
              <w:rPr>
                <w:rFonts w:ascii="Gill Sans MT" w:hAnsi="Gill Sans MT" w:cs="Arial"/>
                <w:sz w:val="20"/>
                <w:szCs w:val="20"/>
              </w:rPr>
            </w:pPr>
            <w:r w:rsidRPr="00184309">
              <w:rPr>
                <w:rFonts w:ascii="Gill Sans MT" w:hAnsi="Gill Sans MT" w:cs="Arial"/>
                <w:sz w:val="20"/>
                <w:szCs w:val="20"/>
              </w:rPr>
              <w:t>WARF:</w:t>
            </w:r>
          </w:p>
        </w:tc>
        <w:tc>
          <w:tcPr>
            <w:tcW w:w="711" w:type="dxa"/>
            <w:vAlign w:val="center"/>
          </w:tcPr>
          <w:p w:rsidR="00E8582A" w:rsidRDefault="00E8582A" w:rsidP="008F43E7">
            <w:pPr>
              <w:spacing w:before="40"/>
              <w:jc w:val="center"/>
              <w:rPr>
                <w:rFonts w:ascii="Gill Sans MT" w:hAnsi="Gill Sans MT" w:cs="Arial"/>
                <w:sz w:val="20"/>
                <w:szCs w:val="20"/>
              </w:rPr>
            </w:pPr>
            <w:r>
              <w:rPr>
                <w:rFonts w:ascii="Gill Sans MT" w:hAnsi="Gill Sans MT" w:cs="Arial"/>
                <w:sz w:val="20"/>
                <w:szCs w:val="20"/>
              </w:rPr>
              <w:t>2,900</w:t>
            </w:r>
          </w:p>
        </w:tc>
        <w:tc>
          <w:tcPr>
            <w:tcW w:w="741"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2,948</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2,941</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2,997</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2,914</w:t>
            </w:r>
          </w:p>
        </w:tc>
        <w:tc>
          <w:tcPr>
            <w:tcW w:w="726" w:type="dxa"/>
            <w:vAlign w:val="center"/>
          </w:tcPr>
          <w:p w:rsidR="00E8582A" w:rsidRDefault="00E8582A">
            <w:pPr>
              <w:spacing w:before="40"/>
              <w:jc w:val="center"/>
              <w:rPr>
                <w:rFonts w:ascii="Gill Sans MT" w:hAnsi="Gill Sans MT" w:cs="Arial"/>
                <w:sz w:val="20"/>
                <w:szCs w:val="20"/>
              </w:rPr>
            </w:pPr>
            <w:r>
              <w:rPr>
                <w:rFonts w:ascii="Gill Sans MT" w:hAnsi="Gill Sans MT" w:cs="Arial"/>
                <w:sz w:val="20"/>
                <w:szCs w:val="20"/>
              </w:rPr>
              <w:t>2,837</w:t>
            </w:r>
          </w:p>
        </w:tc>
        <w:tc>
          <w:tcPr>
            <w:tcW w:w="727" w:type="dxa"/>
            <w:vAlign w:val="center"/>
          </w:tcPr>
          <w:p w:rsidR="00E8582A" w:rsidRDefault="00E8582A">
            <w:pPr>
              <w:jc w:val="center"/>
              <w:rPr>
                <w:rFonts w:ascii="Gill Sans MT" w:hAnsi="Gill Sans MT" w:cs="Arial"/>
                <w:sz w:val="20"/>
                <w:szCs w:val="20"/>
              </w:rPr>
            </w:pPr>
            <w:r>
              <w:rPr>
                <w:rFonts w:ascii="Gill Sans MT" w:hAnsi="Gill Sans MT" w:cs="Arial"/>
                <w:sz w:val="20"/>
                <w:szCs w:val="20"/>
              </w:rPr>
              <w:t>2,817</w:t>
            </w:r>
          </w:p>
        </w:tc>
        <w:tc>
          <w:tcPr>
            <w:tcW w:w="727" w:type="dxa"/>
            <w:vAlign w:val="center"/>
          </w:tcPr>
          <w:p w:rsidR="00E8582A" w:rsidRDefault="00E8582A">
            <w:pPr>
              <w:jc w:val="center"/>
              <w:rPr>
                <w:rFonts w:ascii="Gill Sans MT" w:hAnsi="Gill Sans MT" w:cs="Arial"/>
                <w:sz w:val="20"/>
                <w:szCs w:val="20"/>
              </w:rPr>
            </w:pPr>
            <w:r>
              <w:rPr>
                <w:rFonts w:ascii="Gill Sans MT" w:hAnsi="Gill Sans MT" w:cs="Arial"/>
                <w:sz w:val="20"/>
                <w:szCs w:val="20"/>
              </w:rPr>
              <w:t>2,898</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2,907</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2,845</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2,779</w:t>
            </w:r>
          </w:p>
        </w:tc>
        <w:tc>
          <w:tcPr>
            <w:tcW w:w="72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2,696</w:t>
            </w:r>
          </w:p>
        </w:tc>
        <w:tc>
          <w:tcPr>
            <w:tcW w:w="777" w:type="dxa"/>
            <w:noWrap/>
            <w:vAlign w:val="center"/>
          </w:tcPr>
          <w:p w:rsidR="00E8582A" w:rsidRDefault="00E8582A">
            <w:pPr>
              <w:jc w:val="center"/>
              <w:rPr>
                <w:rFonts w:ascii="Gill Sans MT" w:hAnsi="Gill Sans MT" w:cs="Arial"/>
                <w:sz w:val="20"/>
                <w:szCs w:val="20"/>
              </w:rPr>
            </w:pPr>
            <w:r>
              <w:rPr>
                <w:rFonts w:ascii="Gill Sans MT" w:hAnsi="Gill Sans MT" w:cs="Arial"/>
                <w:sz w:val="20"/>
                <w:szCs w:val="20"/>
              </w:rPr>
              <w:t>2,587</w:t>
            </w:r>
          </w:p>
        </w:tc>
      </w:tr>
    </w:tbl>
    <w:p w:rsidR="00E8582A" w:rsidRDefault="00E8582A">
      <w:pPr>
        <w:spacing w:after="0"/>
        <w:jc w:val="left"/>
        <w:rPr>
          <w:rFonts w:ascii="Gill Sans MT" w:hAnsi="Gill Sans MT"/>
          <w:sz w:val="16"/>
          <w:szCs w:val="16"/>
        </w:rPr>
      </w:pPr>
    </w:p>
    <w:p w:rsidR="00E8582A" w:rsidRPr="00045EA2" w:rsidRDefault="00E8582A">
      <w:pPr>
        <w:spacing w:after="0"/>
        <w:jc w:val="left"/>
        <w:rPr>
          <w:rFonts w:ascii="Gill Sans MT" w:hAnsi="Gill Sans MT"/>
          <w:sz w:val="16"/>
          <w:szCs w:val="16"/>
        </w:rPr>
      </w:pPr>
    </w:p>
    <w:p w:rsidR="00E8582A" w:rsidRDefault="00E8582A" w:rsidP="000E7B77">
      <w:pPr>
        <w:numPr>
          <w:ilvl w:val="0"/>
          <w:numId w:val="2"/>
        </w:numPr>
        <w:tabs>
          <w:tab w:val="clear" w:pos="720"/>
        </w:tabs>
        <w:spacing w:after="120"/>
        <w:ind w:left="630" w:hanging="270"/>
        <w:rPr>
          <w:rFonts w:ascii="Gill Sans MT" w:hAnsi="Gill Sans MT"/>
        </w:rPr>
      </w:pPr>
      <w:r w:rsidRPr="002179C5">
        <w:rPr>
          <w:rFonts w:ascii="Gill Sans MT" w:hAnsi="Gill Sans MT"/>
          <w:b/>
        </w:rPr>
        <w:t>TFG and Market Default Rate</w:t>
      </w:r>
      <w:r>
        <w:rPr>
          <w:rFonts w:ascii="Gill Sans MT" w:hAnsi="Gill Sans MT"/>
          <w:b/>
        </w:rPr>
        <w:t>s</w:t>
      </w:r>
      <w:r w:rsidRPr="002179C5">
        <w:rPr>
          <w:rFonts w:ascii="Gill Sans MT" w:hAnsi="Gill Sans MT"/>
          <w:b/>
        </w:rPr>
        <w:t xml:space="preserve">:  </w:t>
      </w:r>
      <w:r>
        <w:rPr>
          <w:rFonts w:ascii="Gill Sans MT" w:hAnsi="Gill Sans MT"/>
        </w:rPr>
        <w:t>T</w:t>
      </w:r>
      <w:r w:rsidRPr="002179C5">
        <w:rPr>
          <w:rFonts w:ascii="Gill Sans MT" w:hAnsi="Gill Sans MT"/>
        </w:rPr>
        <w:t>FG’s lagging</w:t>
      </w:r>
      <w:r>
        <w:rPr>
          <w:rFonts w:ascii="Gill Sans MT" w:hAnsi="Gill Sans MT"/>
        </w:rPr>
        <w:t xml:space="preserve"> </w:t>
      </w:r>
      <w:r w:rsidRPr="002179C5">
        <w:rPr>
          <w:rFonts w:ascii="Gill Sans MT" w:hAnsi="Gill Sans MT"/>
        </w:rPr>
        <w:t xml:space="preserve">12-month corporate loan default rate </w:t>
      </w:r>
      <w:r>
        <w:rPr>
          <w:rFonts w:ascii="Gill Sans MT" w:hAnsi="Gill Sans MT"/>
        </w:rPr>
        <w:t xml:space="preserve">rose </w:t>
      </w:r>
      <w:r w:rsidRPr="002179C5">
        <w:rPr>
          <w:rFonts w:ascii="Gill Sans MT" w:hAnsi="Gill Sans MT"/>
        </w:rPr>
        <w:t xml:space="preserve">to </w:t>
      </w:r>
      <w:r>
        <w:rPr>
          <w:rFonts w:ascii="Gill Sans MT" w:hAnsi="Gill Sans MT"/>
        </w:rPr>
        <w:t>0.8% during Q1 2012</w:t>
      </w:r>
      <w:r w:rsidRPr="002179C5">
        <w:rPr>
          <w:rFonts w:ascii="Gill Sans MT" w:hAnsi="Gill Sans MT"/>
        </w:rPr>
        <w:t>.</w:t>
      </w:r>
      <w:r w:rsidRPr="002179C5">
        <w:rPr>
          <w:rFonts w:ascii="Gill Sans MT" w:hAnsi="Gill Sans MT"/>
          <w:vertAlign w:val="superscript"/>
        </w:rPr>
        <w:t>(</w:t>
      </w:r>
      <w:r>
        <w:rPr>
          <w:rStyle w:val="EndnoteReference"/>
          <w:rFonts w:ascii="Gill Sans MT" w:hAnsi="Gill Sans MT"/>
        </w:rPr>
        <w:endnoteReference w:id="14"/>
      </w:r>
      <w:r w:rsidRPr="002179C5">
        <w:rPr>
          <w:rFonts w:ascii="Gill Sans MT" w:hAnsi="Gill Sans MT"/>
          <w:vertAlign w:val="superscript"/>
        </w:rPr>
        <w:t>)</w:t>
      </w:r>
      <w:r>
        <w:rPr>
          <w:rFonts w:ascii="Gill Sans MT" w:hAnsi="Gill Sans MT"/>
          <w:vertAlign w:val="superscript"/>
        </w:rPr>
        <w:t xml:space="preserve"> </w:t>
      </w:r>
      <w:r>
        <w:rPr>
          <w:rFonts w:ascii="Gill Sans MT" w:hAnsi="Gill Sans MT"/>
        </w:rPr>
        <w:t xml:space="preserve">By geography, TFG’s U.S. CLO equity and direct loan investments registered a lagging 12-month default rate of 0.5%, with European CLO equity investments at 2.3%. By comparison, the </w:t>
      </w:r>
      <w:r w:rsidRPr="002179C5">
        <w:rPr>
          <w:rFonts w:ascii="Gill Sans MT" w:hAnsi="Gill Sans MT"/>
        </w:rPr>
        <w:t>lagging 12-month U.S. institutional loan default rate</w:t>
      </w:r>
      <w:r>
        <w:rPr>
          <w:rFonts w:ascii="Gill Sans MT" w:hAnsi="Gill Sans MT"/>
        </w:rPr>
        <w:t xml:space="preserve"> rose </w:t>
      </w:r>
      <w:r w:rsidRPr="002179C5">
        <w:rPr>
          <w:rFonts w:ascii="Gill Sans MT" w:hAnsi="Gill Sans MT"/>
        </w:rPr>
        <w:t xml:space="preserve">to </w:t>
      </w:r>
      <w:r>
        <w:rPr>
          <w:rFonts w:ascii="Gill Sans MT" w:hAnsi="Gill Sans MT"/>
        </w:rPr>
        <w:t>0.21</w:t>
      </w:r>
      <w:r w:rsidRPr="002179C5">
        <w:rPr>
          <w:rFonts w:ascii="Gill Sans MT" w:hAnsi="Gill Sans MT"/>
        </w:rPr>
        <w:t xml:space="preserve">% by principal amount as of </w:t>
      </w:r>
      <w:r>
        <w:rPr>
          <w:rFonts w:ascii="Gill Sans MT" w:hAnsi="Gill Sans MT"/>
        </w:rPr>
        <w:t>March 31</w:t>
      </w:r>
      <w:r w:rsidRPr="002179C5">
        <w:rPr>
          <w:rFonts w:ascii="Gill Sans MT" w:hAnsi="Gill Sans MT"/>
        </w:rPr>
        <w:t>, 20</w:t>
      </w:r>
      <w:r>
        <w:rPr>
          <w:rFonts w:ascii="Gill Sans MT" w:hAnsi="Gill Sans MT"/>
        </w:rPr>
        <w:t>12</w:t>
      </w:r>
      <w:r w:rsidRPr="002179C5">
        <w:rPr>
          <w:rFonts w:ascii="Gill Sans MT" w:hAnsi="Gill Sans MT"/>
        </w:rPr>
        <w:t xml:space="preserve">, </w:t>
      </w:r>
      <w:r>
        <w:rPr>
          <w:rFonts w:ascii="Gill Sans MT" w:hAnsi="Gill Sans MT"/>
        </w:rPr>
        <w:t xml:space="preserve">according to S&amp;P/LCD, up </w:t>
      </w:r>
      <w:r w:rsidRPr="002179C5">
        <w:rPr>
          <w:rFonts w:ascii="Gill Sans MT" w:hAnsi="Gill Sans MT"/>
        </w:rPr>
        <w:t xml:space="preserve">from approximately </w:t>
      </w:r>
      <w:r>
        <w:rPr>
          <w:rFonts w:ascii="Gill Sans MT" w:hAnsi="Gill Sans MT"/>
        </w:rPr>
        <w:t>0.17</w:t>
      </w:r>
      <w:r w:rsidRPr="002179C5">
        <w:rPr>
          <w:rFonts w:ascii="Gill Sans MT" w:hAnsi="Gill Sans MT"/>
        </w:rPr>
        <w:t>% during the prior quarter.</w:t>
      </w:r>
      <w:r w:rsidRPr="002179C5">
        <w:rPr>
          <w:rFonts w:ascii="Gill Sans MT" w:hAnsi="Gill Sans MT"/>
          <w:vertAlign w:val="superscript"/>
        </w:rPr>
        <w:t>(</w:t>
      </w:r>
      <w:r w:rsidRPr="00E95260">
        <w:rPr>
          <w:rStyle w:val="EndnoteReference"/>
          <w:rFonts w:ascii="Gill Sans MT" w:hAnsi="Gill Sans MT"/>
        </w:rPr>
        <w:endnoteReference w:id="15"/>
      </w:r>
      <w:r w:rsidRPr="002179C5">
        <w:rPr>
          <w:rFonts w:ascii="Gill Sans MT" w:hAnsi="Gill Sans MT"/>
          <w:vertAlign w:val="superscript"/>
        </w:rPr>
        <w:t>)</w:t>
      </w:r>
      <w:r>
        <w:rPr>
          <w:rFonts w:ascii="Gill Sans MT" w:hAnsi="Gill Sans MT"/>
          <w:vertAlign w:val="superscript"/>
        </w:rPr>
        <w:t xml:space="preserve">  </w:t>
      </w:r>
      <w:r>
        <w:rPr>
          <w:rFonts w:ascii="Gill Sans MT" w:hAnsi="Gill Sans MT"/>
        </w:rPr>
        <w:t xml:space="preserve">The </w:t>
      </w:r>
      <w:r w:rsidRPr="000D66FC">
        <w:rPr>
          <w:rFonts w:ascii="Gill Sans MT" w:hAnsi="Gill Sans MT"/>
        </w:rPr>
        <w:t>lagging 12-month default rate for the S&amp;P European Leveraged Loan Index</w:t>
      </w:r>
      <w:r>
        <w:rPr>
          <w:rFonts w:ascii="Gill Sans MT" w:hAnsi="Gill Sans MT"/>
        </w:rPr>
        <w:t xml:space="preserve"> (ELLI) stood 5.3% as of the end of March 31, 2012.</w:t>
      </w:r>
      <w:r w:rsidRPr="00401A62">
        <w:rPr>
          <w:rFonts w:ascii="Gill Sans MT" w:hAnsi="Gill Sans MT"/>
          <w:vertAlign w:val="superscript"/>
        </w:rPr>
        <w:t>(</w:t>
      </w:r>
      <w:r>
        <w:rPr>
          <w:rStyle w:val="EndnoteReference"/>
          <w:rFonts w:ascii="Gill Sans MT" w:hAnsi="Gill Sans MT"/>
        </w:rPr>
        <w:endnoteReference w:id="16"/>
      </w:r>
      <w:r w:rsidRPr="00401A62">
        <w:rPr>
          <w:rFonts w:ascii="Gill Sans MT" w:hAnsi="Gill Sans MT"/>
          <w:vertAlign w:val="superscript"/>
        </w:rPr>
        <w:t>)</w:t>
      </w:r>
      <w:r>
        <w:rPr>
          <w:rFonts w:ascii="Gill Sans MT" w:hAnsi="Gill Sans MT"/>
        </w:rPr>
        <w:t xml:space="preserve"> </w:t>
      </w:r>
      <w:r w:rsidRPr="00755A64">
        <w:rPr>
          <w:rFonts w:ascii="Gill Sans MT" w:hAnsi="Gill Sans MT"/>
        </w:rPr>
        <w:t xml:space="preserve">Please refer to </w:t>
      </w:r>
      <w:r w:rsidRPr="00E42CA2">
        <w:rPr>
          <w:rFonts w:ascii="Gill Sans MT" w:hAnsi="Gill Sans MT"/>
          <w:i/>
        </w:rPr>
        <w:t xml:space="preserve">Figure </w:t>
      </w:r>
      <w:r>
        <w:rPr>
          <w:rFonts w:ascii="Gill Sans MT" w:hAnsi="Gill Sans MT"/>
          <w:i/>
        </w:rPr>
        <w:t>9</w:t>
      </w:r>
      <w:r>
        <w:rPr>
          <w:rFonts w:ascii="Gill Sans MT" w:hAnsi="Gill Sans MT"/>
        </w:rPr>
        <w:t xml:space="preserve"> on the following page</w:t>
      </w:r>
      <w:r w:rsidRPr="00755A64">
        <w:rPr>
          <w:rFonts w:ascii="Gill Sans MT" w:hAnsi="Gill Sans MT"/>
        </w:rPr>
        <w:t xml:space="preserve"> for a historical summary of TFG’s </w:t>
      </w:r>
      <w:r>
        <w:rPr>
          <w:rFonts w:ascii="Gill Sans MT" w:hAnsi="Gill Sans MT"/>
        </w:rPr>
        <w:t xml:space="preserve">CLO equity and direct loan </w:t>
      </w:r>
      <w:r w:rsidRPr="00755A64">
        <w:rPr>
          <w:rFonts w:ascii="Gill Sans MT" w:hAnsi="Gill Sans MT"/>
        </w:rPr>
        <w:t xml:space="preserve">investments’ </w:t>
      </w:r>
      <w:r>
        <w:rPr>
          <w:rFonts w:ascii="Gill Sans MT" w:hAnsi="Gill Sans MT"/>
        </w:rPr>
        <w:t xml:space="preserve">default </w:t>
      </w:r>
      <w:r w:rsidRPr="00755A64">
        <w:rPr>
          <w:rFonts w:ascii="Gill Sans MT" w:hAnsi="Gill Sans MT"/>
        </w:rPr>
        <w:t>performance.</w:t>
      </w: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Default="00E8582A" w:rsidP="00590051">
      <w:pPr>
        <w:pStyle w:val="ListParagraph"/>
        <w:spacing w:after="0"/>
        <w:ind w:left="630"/>
        <w:rPr>
          <w:rFonts w:ascii="Gill Sans MT" w:hAnsi="Gill Sans MT"/>
          <w:b/>
          <w:sz w:val="12"/>
          <w:szCs w:val="12"/>
        </w:rPr>
      </w:pPr>
    </w:p>
    <w:p w:rsidR="00E8582A" w:rsidRPr="008A11D7" w:rsidRDefault="00E8582A" w:rsidP="00590051">
      <w:pPr>
        <w:pStyle w:val="ListParagraph"/>
        <w:numPr>
          <w:ilvl w:val="0"/>
          <w:numId w:val="11"/>
        </w:numPr>
        <w:tabs>
          <w:tab w:val="left" w:pos="630"/>
        </w:tabs>
        <w:spacing w:after="240"/>
        <w:rPr>
          <w:rFonts w:ascii="Gill Sans MT" w:hAnsi="Gill Sans MT"/>
          <w:b/>
          <w:u w:val="single"/>
        </w:rPr>
      </w:pPr>
      <w:r w:rsidRPr="00BE4E13">
        <w:rPr>
          <w:rFonts w:ascii="Gill Sans MT" w:hAnsi="Gill Sans MT"/>
          <w:b/>
          <w:u w:val="single"/>
        </w:rPr>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Pr="000E1A5A">
        <w:rPr>
          <w:rFonts w:ascii="Gill Sans MT" w:hAnsi="Gill Sans MT"/>
          <w:b/>
          <w:u w:val="single"/>
        </w:rPr>
        <w:t xml:space="preserve"> </w:t>
      </w:r>
      <w:r w:rsidRPr="008A11D7">
        <w:rPr>
          <w:rFonts w:ascii="Gill Sans MT" w:hAnsi="Gill Sans MT"/>
          <w:b/>
          <w:u w:val="single"/>
        </w:rPr>
        <w:t>(continued)</w:t>
      </w:r>
      <w:r w:rsidRPr="000E1A5A">
        <w:rPr>
          <w:rFonts w:ascii="Gill Sans MT" w:hAnsi="Gill Sans MT"/>
          <w:b/>
          <w:u w:val="single"/>
        </w:rPr>
        <w:t>:</w:t>
      </w:r>
    </w:p>
    <w:p w:rsidR="00E8582A" w:rsidRPr="00361B6F" w:rsidRDefault="00E8582A" w:rsidP="00590051">
      <w:pPr>
        <w:pStyle w:val="ListParagraph"/>
        <w:spacing w:after="0"/>
        <w:ind w:left="630"/>
        <w:rPr>
          <w:rFonts w:ascii="Gill Sans MT" w:hAnsi="Gill Sans MT"/>
          <w:b/>
          <w:sz w:val="12"/>
          <w:szCs w:val="12"/>
        </w:rPr>
      </w:pPr>
    </w:p>
    <w:p w:rsidR="00E8582A" w:rsidRPr="00F84D21" w:rsidRDefault="00E8582A" w:rsidP="00590051">
      <w:pPr>
        <w:tabs>
          <w:tab w:val="left" w:pos="270"/>
        </w:tabs>
        <w:jc w:val="center"/>
        <w:outlineLvl w:val="0"/>
        <w:rPr>
          <w:rFonts w:ascii="Gill Sans MT" w:hAnsi="Gill Sans MT"/>
          <w:b/>
          <w:smallCaps/>
          <w:sz w:val="16"/>
          <w:szCs w:val="16"/>
        </w:rPr>
      </w:pPr>
      <w:r w:rsidRPr="00DD2F28">
        <w:rPr>
          <w:noProof/>
          <w:szCs w:val="16"/>
          <w:lang w:val="en-GB" w:eastAsia="en-GB"/>
        </w:rPr>
        <w:pict>
          <v:shape id="Picture 11" o:spid="_x0000_i1033" type="#_x0000_t75" style="width:531pt;height:224.25pt;visibility:visible">
            <v:imagedata r:id="rId16" o:title=""/>
          </v:shape>
        </w:pict>
      </w:r>
    </w:p>
    <w:p w:rsidR="00E8582A" w:rsidRPr="00F84D21" w:rsidRDefault="00E8582A" w:rsidP="00590051">
      <w:pPr>
        <w:pStyle w:val="ListParagraph"/>
        <w:spacing w:before="40" w:after="0"/>
        <w:ind w:left="187" w:hanging="187"/>
        <w:outlineLvl w:val="0"/>
        <w:rPr>
          <w:rFonts w:ascii="Gill Sans MT" w:hAnsi="Gill Sans MT"/>
          <w:sz w:val="16"/>
          <w:szCs w:val="16"/>
        </w:rPr>
      </w:pPr>
      <w:r w:rsidRPr="00F84D21">
        <w:rPr>
          <w:rFonts w:ascii="Gill Sans MT" w:hAnsi="Gill Sans MT"/>
          <w:sz w:val="16"/>
          <w:szCs w:val="16"/>
        </w:rPr>
        <w:t>(i) Source: TFG as of the outlined quarter-end date. The calculation of TFG’s lagging 12-month corporate loan default rate does not include certain underlying investment collateral that was assigned a “Selective Default” rating by one or more of the applicable rating agencies. Such Selected Defaults are included the S&amp;P/LCD lagging 12-month U.S. institutional loan default rate discussed above. Furthermore, TFG’s</w:t>
      </w:r>
      <w:r>
        <w:rPr>
          <w:rFonts w:ascii="Gill Sans MT" w:hAnsi="Gill Sans MT"/>
          <w:sz w:val="16"/>
          <w:szCs w:val="16"/>
        </w:rPr>
        <w:t xml:space="preserve"> CLO equity and direct loan</w:t>
      </w:r>
      <w:r w:rsidRPr="00F84D21">
        <w:rPr>
          <w:rFonts w:ascii="Gill Sans MT" w:hAnsi="Gill Sans MT"/>
          <w:sz w:val="16"/>
          <w:szCs w:val="16"/>
        </w:rPr>
        <w:t xml:space="preserve"> investment por</w:t>
      </w:r>
      <w:r>
        <w:rPr>
          <w:rFonts w:ascii="Gill Sans MT" w:hAnsi="Gill Sans MT"/>
          <w:sz w:val="16"/>
          <w:szCs w:val="16"/>
        </w:rPr>
        <w:t>tfolio includes approximately 9.1</w:t>
      </w:r>
      <w:r w:rsidRPr="00F84D21">
        <w:rPr>
          <w:rFonts w:ascii="Gill Sans MT" w:hAnsi="Gill Sans MT"/>
          <w:sz w:val="16"/>
          <w:szCs w:val="16"/>
        </w:rPr>
        <w:t>% CLOs with primary exposure to European senior secured loans and such loans are included in the calculation of TFG’s corporate default rate.</w:t>
      </w:r>
    </w:p>
    <w:p w:rsidR="00E8582A" w:rsidRDefault="00E8582A" w:rsidP="00590051">
      <w:pPr>
        <w:tabs>
          <w:tab w:val="left" w:pos="-90"/>
        </w:tabs>
        <w:spacing w:before="40" w:after="0"/>
        <w:outlineLvl w:val="0"/>
        <w:rPr>
          <w:rFonts w:ascii="Gill Sans MT" w:hAnsi="Gill Sans MT"/>
          <w:sz w:val="16"/>
          <w:szCs w:val="16"/>
        </w:rPr>
      </w:pPr>
      <w:r>
        <w:rPr>
          <w:rFonts w:ascii="Gill Sans MT" w:hAnsi="Gill Sans MT"/>
          <w:sz w:val="16"/>
          <w:szCs w:val="16"/>
        </w:rPr>
        <w:t xml:space="preserve">(ii) </w:t>
      </w:r>
      <w:r w:rsidRPr="005A3176">
        <w:rPr>
          <w:rFonts w:ascii="Gill Sans MT" w:hAnsi="Gill Sans MT"/>
          <w:sz w:val="16"/>
          <w:szCs w:val="16"/>
        </w:rPr>
        <w:t xml:space="preserve">Source: S&amp;P/LCD Quarterly Review as of the outlined quarter-end date. </w:t>
      </w:r>
    </w:p>
    <w:p w:rsidR="00E8582A" w:rsidRDefault="00E8582A">
      <w:pPr>
        <w:spacing w:after="0"/>
        <w:jc w:val="left"/>
        <w:rPr>
          <w:rFonts w:ascii="Gill Sans MT" w:hAnsi="Gill Sans MT"/>
          <w:b/>
        </w:rPr>
      </w:pPr>
    </w:p>
    <w:p w:rsidR="00E8582A" w:rsidRPr="000E1A5A" w:rsidRDefault="00E8582A" w:rsidP="00422581">
      <w:pPr>
        <w:pStyle w:val="ListParagraph"/>
        <w:tabs>
          <w:tab w:val="left" w:pos="630"/>
        </w:tabs>
        <w:spacing w:after="0"/>
        <w:ind w:left="634"/>
        <w:rPr>
          <w:rFonts w:ascii="Gill Sans MT" w:hAnsi="Gill Sans MT"/>
          <w:sz w:val="16"/>
          <w:szCs w:val="16"/>
        </w:rPr>
      </w:pPr>
    </w:p>
    <w:p w:rsidR="00E8582A" w:rsidRDefault="00E8582A" w:rsidP="000D249E">
      <w:pPr>
        <w:pStyle w:val="ListParagraph"/>
        <w:numPr>
          <w:ilvl w:val="0"/>
          <w:numId w:val="2"/>
        </w:numPr>
        <w:tabs>
          <w:tab w:val="clear" w:pos="720"/>
          <w:tab w:val="left" w:pos="630"/>
        </w:tabs>
        <w:spacing w:after="0"/>
        <w:ind w:left="630"/>
        <w:rPr>
          <w:rFonts w:ascii="Gill Sans MT" w:hAnsi="Gill Sans MT"/>
        </w:rPr>
      </w:pPr>
      <w:r w:rsidRPr="002744D9">
        <w:rPr>
          <w:rFonts w:ascii="Gill Sans MT" w:hAnsi="Gill Sans MT"/>
          <w:b/>
        </w:rPr>
        <w:t xml:space="preserve">Direct Loan Investments: </w:t>
      </w:r>
      <w:r w:rsidRPr="002744D9">
        <w:rPr>
          <w:rFonts w:ascii="Gill Sans MT" w:hAnsi="Gill Sans MT"/>
        </w:rPr>
        <w:t xml:space="preserve">As of </w:t>
      </w:r>
      <w:r>
        <w:rPr>
          <w:rFonts w:ascii="Gill Sans MT" w:hAnsi="Gill Sans MT"/>
        </w:rPr>
        <w:t xml:space="preserve">March </w:t>
      </w:r>
      <w:r w:rsidRPr="002744D9">
        <w:rPr>
          <w:rFonts w:ascii="Gill Sans MT" w:hAnsi="Gill Sans MT"/>
        </w:rPr>
        <w:t>31</w:t>
      </w:r>
      <w:r>
        <w:rPr>
          <w:rFonts w:ascii="Gill Sans MT" w:hAnsi="Gill Sans MT"/>
        </w:rPr>
        <w:t>, 2012</w:t>
      </w:r>
      <w:r w:rsidRPr="002744D9">
        <w:rPr>
          <w:rFonts w:ascii="Gill Sans MT" w:hAnsi="Gill Sans MT"/>
        </w:rPr>
        <w:t>, TFG owned liquid U.S. bank loans with an aggregate par amount of approximately $</w:t>
      </w:r>
      <w:r>
        <w:rPr>
          <w:rFonts w:ascii="Gill Sans MT" w:hAnsi="Gill Sans MT"/>
        </w:rPr>
        <w:t>122.2</w:t>
      </w:r>
      <w:r w:rsidRPr="002744D9">
        <w:rPr>
          <w:rFonts w:ascii="Gill Sans MT" w:hAnsi="Gill Sans MT"/>
        </w:rPr>
        <w:t xml:space="preserve"> million and total fair value of $</w:t>
      </w:r>
      <w:r>
        <w:rPr>
          <w:rFonts w:ascii="Gill Sans MT" w:hAnsi="Gill Sans MT"/>
        </w:rPr>
        <w:t>120.3</w:t>
      </w:r>
      <w:r w:rsidRPr="002744D9">
        <w:rPr>
          <w:rFonts w:ascii="Gill Sans MT" w:hAnsi="Gill Sans MT"/>
        </w:rPr>
        <w:t xml:space="preserve"> million. The underlying businesses performed well during the quarter, with the loan portfolio trading up to approximately 9</w:t>
      </w:r>
      <w:r>
        <w:rPr>
          <w:rFonts w:ascii="Gill Sans MT" w:hAnsi="Gill Sans MT"/>
        </w:rPr>
        <w:t>9</w:t>
      </w:r>
      <w:r w:rsidRPr="002744D9">
        <w:rPr>
          <w:rFonts w:ascii="Gill Sans MT" w:hAnsi="Gill Sans MT"/>
        </w:rPr>
        <w:t xml:space="preserve">% of par from an average price of </w:t>
      </w:r>
      <w:r>
        <w:rPr>
          <w:rFonts w:ascii="Gill Sans MT" w:hAnsi="Gill Sans MT"/>
        </w:rPr>
        <w:t>96</w:t>
      </w:r>
      <w:r w:rsidRPr="002744D9">
        <w:rPr>
          <w:rFonts w:ascii="Gill Sans MT" w:hAnsi="Gill Sans MT"/>
        </w:rPr>
        <w:t xml:space="preserve">% of par, and with no defaults registered in the portfolio. For the quarter, there were net realized gains of </w:t>
      </w:r>
      <w:r w:rsidRPr="007E2ED1">
        <w:rPr>
          <w:rFonts w:ascii="Gill Sans MT" w:hAnsi="Gill Sans MT"/>
        </w:rPr>
        <w:t>approximately $0.1</w:t>
      </w:r>
      <w:r>
        <w:rPr>
          <w:rFonts w:ascii="Gill Sans MT" w:hAnsi="Gill Sans MT"/>
        </w:rPr>
        <w:t xml:space="preserve"> </w:t>
      </w:r>
      <w:r w:rsidRPr="002744D9">
        <w:rPr>
          <w:rFonts w:ascii="Gill Sans MT" w:hAnsi="Gill Sans MT"/>
        </w:rPr>
        <w:t xml:space="preserve">million. In addition, the portfolio </w:t>
      </w:r>
      <w:r w:rsidRPr="007E2ED1">
        <w:rPr>
          <w:rFonts w:ascii="Gill Sans MT" w:hAnsi="Gill Sans MT"/>
        </w:rPr>
        <w:t>earned $1.4 million</w:t>
      </w:r>
      <w:r w:rsidRPr="002744D9">
        <w:rPr>
          <w:rFonts w:ascii="Gill Sans MT" w:hAnsi="Gill Sans MT"/>
        </w:rPr>
        <w:t xml:space="preserve"> of interest income an</w:t>
      </w:r>
      <w:r>
        <w:rPr>
          <w:rFonts w:ascii="Gill Sans MT" w:hAnsi="Gill Sans MT"/>
        </w:rPr>
        <w:t>d discount premium during the first</w:t>
      </w:r>
      <w:r w:rsidRPr="002744D9">
        <w:rPr>
          <w:rFonts w:ascii="Gill Sans MT" w:hAnsi="Gill Sans MT"/>
        </w:rPr>
        <w:t xml:space="preserve"> quarter.</w:t>
      </w:r>
    </w:p>
    <w:p w:rsidR="00E8582A" w:rsidRPr="00CF733F" w:rsidRDefault="00E8582A">
      <w:pPr>
        <w:spacing w:after="0"/>
        <w:jc w:val="left"/>
        <w:rPr>
          <w:rFonts w:ascii="Gill Sans MT" w:hAnsi="Gill Sans MT"/>
        </w:rPr>
      </w:pPr>
    </w:p>
    <w:p w:rsidR="00E8582A" w:rsidRPr="002744D9" w:rsidRDefault="00E8582A" w:rsidP="001E73FD">
      <w:pPr>
        <w:pStyle w:val="ListParagraph"/>
        <w:numPr>
          <w:ilvl w:val="0"/>
          <w:numId w:val="2"/>
        </w:numPr>
        <w:tabs>
          <w:tab w:val="clear" w:pos="720"/>
          <w:tab w:val="left" w:pos="630"/>
        </w:tabs>
        <w:spacing w:after="0"/>
        <w:ind w:left="630"/>
        <w:rPr>
          <w:rFonts w:ascii="Gill Sans MT" w:hAnsi="Gill Sans MT"/>
        </w:rPr>
      </w:pPr>
      <w:r w:rsidRPr="002744D9">
        <w:rPr>
          <w:rFonts w:ascii="Gill Sans MT" w:hAnsi="Gill Sans MT"/>
          <w:b/>
        </w:rPr>
        <w:t xml:space="preserve">Real Estate Investments: </w:t>
      </w:r>
      <w:r w:rsidRPr="002744D9">
        <w:rPr>
          <w:rFonts w:ascii="Gill Sans MT" w:hAnsi="Gill Sans MT"/>
        </w:rPr>
        <w:t>TFG has funded a small portion of its investment capital commitments to Gree</w:t>
      </w:r>
      <w:r>
        <w:rPr>
          <w:rFonts w:ascii="Gill Sans MT" w:hAnsi="Gill Sans MT"/>
        </w:rPr>
        <w:t>n</w:t>
      </w:r>
      <w:r w:rsidRPr="002744D9">
        <w:rPr>
          <w:rFonts w:ascii="Gill Sans MT" w:hAnsi="Gill Sans MT"/>
        </w:rPr>
        <w:t xml:space="preserve">Oak’s investment projects, totaling </w:t>
      </w:r>
      <w:r w:rsidRPr="007E2ED1">
        <w:rPr>
          <w:rFonts w:ascii="Gill Sans MT" w:hAnsi="Gill Sans MT"/>
        </w:rPr>
        <w:t>approximately $7.5</w:t>
      </w:r>
      <w:r w:rsidRPr="002744D9">
        <w:rPr>
          <w:rFonts w:ascii="Gill Sans MT" w:hAnsi="Gill Sans MT"/>
        </w:rPr>
        <w:t xml:space="preserve"> million from inception through the end of Q</w:t>
      </w:r>
      <w:r>
        <w:rPr>
          <w:rFonts w:ascii="Gill Sans MT" w:hAnsi="Gill Sans MT"/>
        </w:rPr>
        <w:t>1 2012</w:t>
      </w:r>
      <w:r w:rsidRPr="002744D9">
        <w:rPr>
          <w:rFonts w:ascii="Gill Sans MT" w:hAnsi="Gill Sans MT"/>
        </w:rPr>
        <w:t xml:space="preserve"> to finance investments in Japan</w:t>
      </w:r>
      <w:r>
        <w:rPr>
          <w:rFonts w:ascii="Gill Sans MT" w:hAnsi="Gill Sans MT"/>
        </w:rPr>
        <w:t>, the U.S., and Europe.</w:t>
      </w: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744D9">
      <w:pPr>
        <w:tabs>
          <w:tab w:val="left" w:pos="630"/>
        </w:tabs>
        <w:spacing w:after="0"/>
        <w:rPr>
          <w:rFonts w:ascii="Gill Sans MT" w:hAnsi="Gill Sans MT"/>
          <w:sz w:val="16"/>
          <w:szCs w:val="16"/>
        </w:rPr>
      </w:pPr>
    </w:p>
    <w:p w:rsidR="00E8582A" w:rsidRDefault="00E8582A" w:rsidP="002F2344">
      <w:pPr>
        <w:pStyle w:val="ListParagraph"/>
        <w:numPr>
          <w:ilvl w:val="0"/>
          <w:numId w:val="11"/>
        </w:numPr>
        <w:tabs>
          <w:tab w:val="left" w:pos="630"/>
        </w:tabs>
        <w:spacing w:after="120"/>
        <w:rPr>
          <w:rFonts w:ascii="Gill Sans MT" w:hAnsi="Gill Sans MT"/>
          <w:b/>
          <w:u w:val="single"/>
        </w:rPr>
      </w:pPr>
      <w:r w:rsidRPr="00B57265">
        <w:rPr>
          <w:rFonts w:ascii="Gill Sans MT" w:hAnsi="Gill Sans MT"/>
          <w:b/>
          <w:u w:val="single"/>
        </w:rPr>
        <w:t xml:space="preserve">Asset Management </w:t>
      </w:r>
      <w:r>
        <w:rPr>
          <w:rFonts w:ascii="Gill Sans MT" w:hAnsi="Gill Sans MT"/>
          <w:b/>
          <w:u w:val="single"/>
        </w:rPr>
        <w:t xml:space="preserve">Platform </w:t>
      </w:r>
      <w:r w:rsidRPr="00B57265">
        <w:rPr>
          <w:rFonts w:ascii="Gill Sans MT" w:hAnsi="Gill Sans MT"/>
          <w:b/>
          <w:u w:val="single"/>
        </w:rPr>
        <w:t>Details</w:t>
      </w:r>
      <w:r w:rsidRPr="00496FD3">
        <w:rPr>
          <w:rFonts w:ascii="Gill Sans MT" w:hAnsi="Gill Sans MT"/>
          <w:b/>
        </w:rPr>
        <w:t>:</w:t>
      </w:r>
      <w:r w:rsidRPr="00B57265">
        <w:rPr>
          <w:rFonts w:ascii="Gill Sans MT" w:hAnsi="Gill Sans MT"/>
          <w:b/>
          <w:u w:val="single"/>
        </w:rPr>
        <w:t xml:space="preserve"> </w:t>
      </w:r>
    </w:p>
    <w:p w:rsidR="00E8582A" w:rsidRDefault="00E8582A" w:rsidP="00422581">
      <w:pPr>
        <w:pStyle w:val="ListParagraph"/>
        <w:tabs>
          <w:tab w:val="left" w:pos="630"/>
        </w:tabs>
        <w:spacing w:after="0"/>
        <w:ind w:left="360"/>
        <w:rPr>
          <w:rFonts w:ascii="Gill Sans MT" w:hAnsi="Gill Sans MT"/>
          <w:b/>
          <w:sz w:val="12"/>
          <w:szCs w:val="12"/>
          <w:u w:val="single"/>
        </w:rPr>
      </w:pPr>
    </w:p>
    <w:p w:rsidR="00E8582A" w:rsidRPr="002F2344" w:rsidRDefault="00E8582A" w:rsidP="00422581">
      <w:pPr>
        <w:pStyle w:val="ListParagraph"/>
        <w:tabs>
          <w:tab w:val="left" w:pos="630"/>
        </w:tabs>
        <w:spacing w:after="0"/>
        <w:ind w:left="360"/>
        <w:rPr>
          <w:rFonts w:ascii="Gill Sans MT" w:hAnsi="Gill Sans MT"/>
          <w:b/>
          <w:sz w:val="12"/>
          <w:szCs w:val="12"/>
          <w:u w:val="single"/>
        </w:rPr>
      </w:pPr>
    </w:p>
    <w:p w:rsidR="00E8582A" w:rsidRDefault="00E8582A" w:rsidP="001E73FD">
      <w:pPr>
        <w:pStyle w:val="ListParagraph"/>
        <w:numPr>
          <w:ilvl w:val="0"/>
          <w:numId w:val="9"/>
        </w:numPr>
        <w:tabs>
          <w:tab w:val="left" w:pos="630"/>
        </w:tabs>
        <w:spacing w:after="0"/>
        <w:ind w:left="634"/>
        <w:rPr>
          <w:rFonts w:ascii="Gill Sans MT" w:hAnsi="Gill Sans MT"/>
        </w:rPr>
      </w:pPr>
      <w:r w:rsidRPr="00045EA2">
        <w:rPr>
          <w:rFonts w:ascii="Gill Sans MT" w:hAnsi="Gill Sans MT"/>
          <w:b/>
        </w:rPr>
        <w:t>LCM Developments</w:t>
      </w:r>
      <w:r w:rsidRPr="00045EA2">
        <w:rPr>
          <w:rFonts w:ascii="Gill Sans MT" w:hAnsi="Gill Sans MT"/>
        </w:rPr>
        <w:t xml:space="preserve">: LCM’s </w:t>
      </w:r>
      <w:r>
        <w:rPr>
          <w:rFonts w:ascii="Gill Sans MT" w:hAnsi="Gill Sans MT"/>
        </w:rPr>
        <w:t xml:space="preserve">operating results and financial performance remained strong throughout Q1 2012, </w:t>
      </w:r>
      <w:r w:rsidRPr="00F72A0B">
        <w:rPr>
          <w:rFonts w:ascii="Gill Sans MT" w:hAnsi="Gill Sans MT"/>
        </w:rPr>
        <w:t xml:space="preserve">with all LCM Cash Flow CLOs that were within their reinvestment periods </w:t>
      </w:r>
      <w:r w:rsidRPr="002256BC">
        <w:rPr>
          <w:rFonts w:ascii="Gill Sans MT" w:hAnsi="Gill Sans MT"/>
          <w:vertAlign w:val="superscript"/>
        </w:rPr>
        <w:t>(</w:t>
      </w:r>
      <w:r>
        <w:rPr>
          <w:rStyle w:val="EndnoteReference"/>
          <w:rFonts w:ascii="Gill Sans MT" w:hAnsi="Gill Sans MT"/>
        </w:rPr>
        <w:endnoteReference w:id="17"/>
      </w:r>
      <w:r w:rsidRPr="002256BC">
        <w:rPr>
          <w:rFonts w:ascii="Gill Sans MT" w:hAnsi="Gill Sans MT"/>
          <w:vertAlign w:val="superscript"/>
        </w:rPr>
        <w:t>)</w:t>
      </w:r>
      <w:r>
        <w:rPr>
          <w:rFonts w:ascii="Gill Sans MT" w:hAnsi="Gill Sans MT"/>
          <w:vertAlign w:val="superscript"/>
        </w:rPr>
        <w:t xml:space="preserve"> </w:t>
      </w:r>
      <w:r w:rsidRPr="00F72A0B">
        <w:rPr>
          <w:rFonts w:ascii="Gill Sans MT" w:hAnsi="Gill Sans MT"/>
        </w:rPr>
        <w:t>current</w:t>
      </w:r>
      <w:r>
        <w:rPr>
          <w:rFonts w:ascii="Gill Sans MT" w:hAnsi="Gill Sans MT"/>
        </w:rPr>
        <w:t xml:space="preserve"> on their senior and subordinated management fees as of March 31, 2012.</w:t>
      </w:r>
      <w:r w:rsidRPr="00945101">
        <w:rPr>
          <w:rFonts w:ascii="Gill Sans MT" w:hAnsi="Gill Sans MT"/>
          <w:vertAlign w:val="superscript"/>
        </w:rPr>
        <w:t xml:space="preserve"> </w:t>
      </w:r>
      <w:r>
        <w:rPr>
          <w:rFonts w:ascii="Gill Sans MT" w:hAnsi="Gill Sans MT"/>
        </w:rPr>
        <w:t>T</w:t>
      </w:r>
      <w:r w:rsidRPr="00045EA2">
        <w:rPr>
          <w:rFonts w:ascii="Gill Sans MT" w:hAnsi="Gill Sans MT"/>
        </w:rPr>
        <w:t xml:space="preserve">aking into account all LCM-managed vehicles, the gross income </w:t>
      </w:r>
      <w:r>
        <w:rPr>
          <w:rFonts w:ascii="Gill Sans MT" w:hAnsi="Gill Sans MT"/>
        </w:rPr>
        <w:t>for Q1</w:t>
      </w:r>
      <w:r w:rsidRPr="00045EA2">
        <w:rPr>
          <w:rFonts w:ascii="Gill Sans MT" w:hAnsi="Gill Sans MT"/>
        </w:rPr>
        <w:t xml:space="preserve"> </w:t>
      </w:r>
      <w:r>
        <w:rPr>
          <w:rFonts w:ascii="Gill Sans MT" w:hAnsi="Gill Sans MT"/>
        </w:rPr>
        <w:t xml:space="preserve">2012 </w:t>
      </w:r>
      <w:r w:rsidRPr="00045EA2">
        <w:rPr>
          <w:rFonts w:ascii="Gill Sans MT" w:hAnsi="Gill Sans MT"/>
        </w:rPr>
        <w:t xml:space="preserve">for LCM totaled </w:t>
      </w:r>
      <w:r w:rsidRPr="007E2ED1">
        <w:rPr>
          <w:rFonts w:ascii="Gill Sans MT" w:hAnsi="Gill Sans MT"/>
        </w:rPr>
        <w:t>$4.4 million. Pre-tax profit for the entire LCM business, of which TFG owns 75%, was approximately $2.</w:t>
      </w:r>
      <w:r>
        <w:rPr>
          <w:rFonts w:ascii="Gill Sans MT" w:hAnsi="Gill Sans MT"/>
        </w:rPr>
        <w:t>0</w:t>
      </w:r>
      <w:r w:rsidRPr="00045EA2">
        <w:rPr>
          <w:rFonts w:ascii="Gill Sans MT" w:hAnsi="Gill Sans MT"/>
        </w:rPr>
        <w:t xml:space="preserve"> million as of the same period</w:t>
      </w:r>
      <w:r>
        <w:rPr>
          <w:rFonts w:ascii="Gill Sans MT" w:hAnsi="Gill Sans MT"/>
        </w:rPr>
        <w:t xml:space="preserve"> (2011 quarterly average of $2.1 million). </w:t>
      </w:r>
      <w:r w:rsidRPr="00830228">
        <w:rPr>
          <w:rFonts w:ascii="Gill Sans MT" w:hAnsi="Gill Sans MT"/>
        </w:rPr>
        <w:t xml:space="preserve">TFG continues to leverage and benefit from the LCM team’s expertise in the ongoing </w:t>
      </w:r>
      <w:r>
        <w:rPr>
          <w:rFonts w:ascii="Gill Sans MT" w:hAnsi="Gill Sans MT"/>
        </w:rPr>
        <w:t xml:space="preserve">management </w:t>
      </w:r>
      <w:r w:rsidRPr="00830228">
        <w:rPr>
          <w:rFonts w:ascii="Gill Sans MT" w:hAnsi="Gill Sans MT"/>
        </w:rPr>
        <w:t>of the com</w:t>
      </w:r>
      <w:r>
        <w:rPr>
          <w:rFonts w:ascii="Gill Sans MT" w:hAnsi="Gill Sans MT"/>
        </w:rPr>
        <w:t>pany’s direct loan investment portfolio.</w:t>
      </w:r>
    </w:p>
    <w:p w:rsidR="00E8582A" w:rsidRDefault="00E8582A" w:rsidP="003C2CA2">
      <w:pPr>
        <w:pStyle w:val="ListParagraph"/>
        <w:tabs>
          <w:tab w:val="left" w:pos="630"/>
        </w:tabs>
        <w:spacing w:after="0"/>
        <w:ind w:left="634"/>
        <w:rPr>
          <w:rFonts w:ascii="Gill Sans MT" w:hAnsi="Gill Sans MT"/>
          <w:sz w:val="16"/>
          <w:szCs w:val="16"/>
        </w:rPr>
      </w:pPr>
    </w:p>
    <w:p w:rsidR="00E8582A" w:rsidRPr="000774FD" w:rsidRDefault="00E8582A" w:rsidP="003C2CA2">
      <w:pPr>
        <w:pStyle w:val="ListParagraph"/>
        <w:tabs>
          <w:tab w:val="left" w:pos="630"/>
        </w:tabs>
        <w:spacing w:after="0"/>
        <w:ind w:left="634"/>
        <w:rPr>
          <w:rFonts w:ascii="Gill Sans MT" w:hAnsi="Gill Sans MT"/>
          <w:sz w:val="16"/>
          <w:szCs w:val="16"/>
        </w:rPr>
      </w:pPr>
    </w:p>
    <w:tbl>
      <w:tblPr>
        <w:tblW w:w="10861" w:type="dxa"/>
        <w:jc w:val="center"/>
        <w:tblInd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947"/>
        <w:gridCol w:w="990"/>
        <w:gridCol w:w="990"/>
        <w:gridCol w:w="990"/>
        <w:gridCol w:w="990"/>
        <w:gridCol w:w="900"/>
        <w:gridCol w:w="900"/>
        <w:gridCol w:w="990"/>
        <w:gridCol w:w="824"/>
      </w:tblGrid>
      <w:tr w:rsidR="00E8582A" w:rsidRPr="009E4647" w:rsidTr="002256BC">
        <w:trPr>
          <w:trHeight w:val="377"/>
          <w:jc w:val="center"/>
        </w:trPr>
        <w:tc>
          <w:tcPr>
            <w:tcW w:w="10861" w:type="dxa"/>
            <w:gridSpan w:val="10"/>
            <w:shd w:val="clear" w:color="auto" w:fill="1F4D4D"/>
          </w:tcPr>
          <w:p w:rsidR="00E8582A" w:rsidRPr="009E4647" w:rsidRDefault="00E8582A" w:rsidP="00310E12">
            <w:pPr>
              <w:spacing w:before="120"/>
              <w:jc w:val="center"/>
              <w:rPr>
                <w:rFonts w:ascii="Gill Sans MT" w:hAnsi="Gill Sans MT" w:cs="Arial"/>
                <w:b/>
                <w:bCs/>
                <w:color w:val="FFFFFF"/>
              </w:rPr>
            </w:pPr>
            <w:r w:rsidRPr="009E4647">
              <w:rPr>
                <w:rFonts w:ascii="Gill Sans MT" w:hAnsi="Gill Sans MT" w:cs="Arial"/>
                <w:b/>
                <w:bCs/>
                <w:color w:val="FFFFFF"/>
                <w:sz w:val="22"/>
                <w:szCs w:val="22"/>
              </w:rPr>
              <w:t>LCM Asset Management Performance Snapshot</w:t>
            </w:r>
          </w:p>
        </w:tc>
      </w:tr>
      <w:tr w:rsidR="00E8582A" w:rsidRPr="009E4647" w:rsidTr="002256BC">
        <w:trPr>
          <w:trHeight w:val="350"/>
          <w:jc w:val="center"/>
        </w:trPr>
        <w:tc>
          <w:tcPr>
            <w:tcW w:w="2340" w:type="dxa"/>
            <w:shd w:val="clear" w:color="auto" w:fill="D9D9D9"/>
            <w:noWrap/>
            <w:vAlign w:val="center"/>
          </w:tcPr>
          <w:p w:rsidR="00E8582A" w:rsidRPr="009E4647" w:rsidRDefault="00E8582A" w:rsidP="00310E12">
            <w:pPr>
              <w:spacing w:before="40"/>
              <w:rPr>
                <w:rFonts w:ascii="Gill Sans MT" w:hAnsi="Gill Sans MT" w:cs="Arial"/>
                <w:sz w:val="20"/>
                <w:szCs w:val="20"/>
              </w:rPr>
            </w:pPr>
          </w:p>
        </w:tc>
        <w:tc>
          <w:tcPr>
            <w:tcW w:w="947" w:type="dxa"/>
            <w:shd w:val="clear" w:color="auto" w:fill="D9D9D9"/>
          </w:tcPr>
          <w:p w:rsidR="00E8582A" w:rsidRDefault="00E8582A" w:rsidP="00B9485C">
            <w:pPr>
              <w:spacing w:before="40"/>
              <w:jc w:val="center"/>
              <w:rPr>
                <w:rFonts w:ascii="Gill Sans MT" w:hAnsi="Gill Sans MT" w:cs="Arial"/>
                <w:b/>
                <w:sz w:val="20"/>
                <w:szCs w:val="20"/>
              </w:rPr>
            </w:pPr>
            <w:r>
              <w:rPr>
                <w:rFonts w:ascii="Gill Sans MT" w:hAnsi="Gill Sans MT" w:cs="Arial"/>
                <w:b/>
                <w:sz w:val="20"/>
                <w:szCs w:val="20"/>
              </w:rPr>
              <w:t>Q1 2012</w:t>
            </w:r>
          </w:p>
        </w:tc>
        <w:tc>
          <w:tcPr>
            <w:tcW w:w="990" w:type="dxa"/>
            <w:shd w:val="clear" w:color="auto" w:fill="D9D9D9"/>
            <w:vAlign w:val="center"/>
          </w:tcPr>
          <w:p w:rsidR="00E8582A" w:rsidRPr="009E4647" w:rsidRDefault="00E8582A" w:rsidP="00FC06F8">
            <w:pPr>
              <w:spacing w:before="40"/>
              <w:jc w:val="center"/>
              <w:rPr>
                <w:rFonts w:ascii="Gill Sans MT" w:hAnsi="Gill Sans MT" w:cs="Arial"/>
                <w:b/>
                <w:sz w:val="20"/>
                <w:szCs w:val="20"/>
              </w:rPr>
            </w:pPr>
            <w:r>
              <w:rPr>
                <w:rFonts w:ascii="Gill Sans MT" w:hAnsi="Gill Sans MT" w:cs="Arial"/>
                <w:b/>
                <w:sz w:val="20"/>
                <w:szCs w:val="20"/>
              </w:rPr>
              <w:t>Q4 2011</w:t>
            </w:r>
          </w:p>
        </w:tc>
        <w:tc>
          <w:tcPr>
            <w:tcW w:w="99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Pr>
                <w:rFonts w:ascii="Gill Sans MT" w:hAnsi="Gill Sans MT" w:cs="Arial"/>
                <w:b/>
                <w:sz w:val="20"/>
                <w:szCs w:val="20"/>
              </w:rPr>
              <w:t>Q3 2011</w:t>
            </w:r>
          </w:p>
        </w:tc>
        <w:tc>
          <w:tcPr>
            <w:tcW w:w="99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Pr>
                <w:rFonts w:ascii="Gill Sans MT" w:hAnsi="Gill Sans MT" w:cs="Arial"/>
                <w:b/>
                <w:sz w:val="20"/>
                <w:szCs w:val="20"/>
              </w:rPr>
              <w:t>Q2 2011</w:t>
            </w:r>
          </w:p>
        </w:tc>
        <w:tc>
          <w:tcPr>
            <w:tcW w:w="99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Pr>
                <w:rFonts w:ascii="Gill Sans MT" w:hAnsi="Gill Sans MT" w:cs="Arial"/>
                <w:b/>
                <w:sz w:val="20"/>
                <w:szCs w:val="20"/>
              </w:rPr>
              <w:t>Q1 2011</w:t>
            </w:r>
          </w:p>
        </w:tc>
        <w:tc>
          <w:tcPr>
            <w:tcW w:w="90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Pr>
                <w:rFonts w:ascii="Gill Sans MT" w:hAnsi="Gill Sans MT" w:cs="Arial"/>
                <w:b/>
                <w:sz w:val="20"/>
                <w:szCs w:val="20"/>
              </w:rPr>
              <w:t>Q4 2010</w:t>
            </w:r>
          </w:p>
        </w:tc>
        <w:tc>
          <w:tcPr>
            <w:tcW w:w="90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sidRPr="009E4647">
              <w:rPr>
                <w:rFonts w:ascii="Gill Sans MT" w:hAnsi="Gill Sans MT" w:cs="Arial"/>
                <w:b/>
                <w:sz w:val="20"/>
                <w:szCs w:val="20"/>
              </w:rPr>
              <w:t>Q</w:t>
            </w:r>
            <w:r>
              <w:rPr>
                <w:rFonts w:ascii="Gill Sans MT" w:hAnsi="Gill Sans MT" w:cs="Arial"/>
                <w:b/>
                <w:sz w:val="20"/>
                <w:szCs w:val="20"/>
              </w:rPr>
              <w:t>3</w:t>
            </w:r>
            <w:r w:rsidRPr="009E4647">
              <w:rPr>
                <w:rFonts w:ascii="Gill Sans MT" w:hAnsi="Gill Sans MT" w:cs="Arial"/>
                <w:b/>
                <w:sz w:val="20"/>
                <w:szCs w:val="20"/>
              </w:rPr>
              <w:t xml:space="preserve"> 2010</w:t>
            </w:r>
          </w:p>
        </w:tc>
        <w:tc>
          <w:tcPr>
            <w:tcW w:w="990"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sidRPr="009E4647">
              <w:rPr>
                <w:rFonts w:ascii="Gill Sans MT" w:hAnsi="Gill Sans MT" w:cs="Arial"/>
                <w:b/>
                <w:sz w:val="20"/>
                <w:szCs w:val="20"/>
              </w:rPr>
              <w:t>Q2 2010</w:t>
            </w:r>
          </w:p>
        </w:tc>
        <w:tc>
          <w:tcPr>
            <w:tcW w:w="824" w:type="dxa"/>
            <w:shd w:val="clear" w:color="auto" w:fill="D9D9D9"/>
            <w:vAlign w:val="center"/>
          </w:tcPr>
          <w:p w:rsidR="00E8582A" w:rsidRPr="009E4647" w:rsidRDefault="00E8582A" w:rsidP="00310E12">
            <w:pPr>
              <w:spacing w:before="40"/>
              <w:jc w:val="center"/>
              <w:rPr>
                <w:rFonts w:ascii="Gill Sans MT" w:hAnsi="Gill Sans MT" w:cs="Arial"/>
                <w:b/>
                <w:sz w:val="20"/>
                <w:szCs w:val="20"/>
              </w:rPr>
            </w:pPr>
            <w:r w:rsidRPr="009E4647">
              <w:rPr>
                <w:rFonts w:ascii="Gill Sans MT" w:hAnsi="Gill Sans MT" w:cs="Arial"/>
                <w:b/>
                <w:sz w:val="20"/>
                <w:szCs w:val="20"/>
              </w:rPr>
              <w:t>Q1 2010</w:t>
            </w:r>
          </w:p>
        </w:tc>
      </w:tr>
      <w:tr w:rsidR="00E8582A" w:rsidRPr="009E4647" w:rsidTr="002256BC">
        <w:trPr>
          <w:trHeight w:val="398"/>
          <w:jc w:val="center"/>
        </w:trPr>
        <w:tc>
          <w:tcPr>
            <w:tcW w:w="2340" w:type="dxa"/>
            <w:noWrap/>
            <w:vAlign w:val="center"/>
          </w:tcPr>
          <w:p w:rsidR="00E8582A" w:rsidRPr="009E4647" w:rsidRDefault="00E8582A" w:rsidP="00310E12">
            <w:pPr>
              <w:spacing w:before="20" w:after="20"/>
              <w:rPr>
                <w:rFonts w:ascii="Gill Sans MT" w:hAnsi="Gill Sans MT" w:cs="Arial"/>
                <w:sz w:val="20"/>
                <w:szCs w:val="20"/>
              </w:rPr>
            </w:pPr>
            <w:r w:rsidRPr="009E4647">
              <w:rPr>
                <w:rFonts w:ascii="Gill Sans MT" w:hAnsi="Gill Sans MT" w:cs="Arial"/>
                <w:sz w:val="20"/>
                <w:szCs w:val="20"/>
              </w:rPr>
              <w:t>Gross Fee Income ($MM)</w:t>
            </w:r>
          </w:p>
        </w:tc>
        <w:tc>
          <w:tcPr>
            <w:tcW w:w="947" w:type="dxa"/>
            <w:vAlign w:val="center"/>
          </w:tcPr>
          <w:p w:rsidR="00E8582A" w:rsidRDefault="00E8582A" w:rsidP="007E2ED1">
            <w:pPr>
              <w:spacing w:before="40"/>
              <w:jc w:val="center"/>
              <w:rPr>
                <w:rFonts w:ascii="Gill Sans MT" w:hAnsi="Gill Sans MT" w:cs="Arial"/>
                <w:sz w:val="20"/>
                <w:szCs w:val="20"/>
              </w:rPr>
            </w:pPr>
            <w:r w:rsidRPr="007E2ED1">
              <w:rPr>
                <w:rFonts w:ascii="Gill Sans MT" w:hAnsi="Gill Sans MT" w:cs="Arial"/>
                <w:sz w:val="20"/>
                <w:szCs w:val="20"/>
              </w:rPr>
              <w:t>$4.</w:t>
            </w:r>
            <w:r>
              <w:rPr>
                <w:rFonts w:ascii="Gill Sans MT" w:hAnsi="Gill Sans MT" w:cs="Arial"/>
                <w:sz w:val="20"/>
                <w:szCs w:val="20"/>
              </w:rPr>
              <w:t>4</w:t>
            </w:r>
          </w:p>
        </w:tc>
        <w:tc>
          <w:tcPr>
            <w:tcW w:w="990" w:type="dxa"/>
            <w:vAlign w:val="center"/>
          </w:tcPr>
          <w:p w:rsidR="00E8582A" w:rsidRPr="000C1334" w:rsidRDefault="00E8582A" w:rsidP="00421D3A">
            <w:pPr>
              <w:spacing w:before="40"/>
              <w:jc w:val="center"/>
              <w:rPr>
                <w:rFonts w:ascii="Gill Sans MT" w:hAnsi="Gill Sans MT" w:cs="Arial"/>
                <w:sz w:val="20"/>
                <w:szCs w:val="20"/>
              </w:rPr>
            </w:pPr>
            <w:r>
              <w:rPr>
                <w:rFonts w:ascii="Gill Sans MT" w:hAnsi="Gill Sans MT" w:cs="Arial"/>
                <w:sz w:val="20"/>
                <w:szCs w:val="20"/>
              </w:rPr>
              <w:t>$4.3</w:t>
            </w:r>
          </w:p>
        </w:tc>
        <w:tc>
          <w:tcPr>
            <w:tcW w:w="990" w:type="dxa"/>
            <w:vAlign w:val="center"/>
          </w:tcPr>
          <w:p w:rsidR="00E8582A" w:rsidRPr="009E4647" w:rsidRDefault="00E8582A" w:rsidP="00310E12">
            <w:pPr>
              <w:spacing w:before="40"/>
              <w:jc w:val="center"/>
              <w:rPr>
                <w:rFonts w:ascii="Gill Sans MT" w:hAnsi="Gill Sans MT" w:cs="Arial"/>
                <w:b/>
                <w:sz w:val="20"/>
                <w:szCs w:val="20"/>
              </w:rPr>
            </w:pPr>
            <w:r>
              <w:rPr>
                <w:rFonts w:ascii="Gill Sans MT" w:hAnsi="Gill Sans MT" w:cs="Arial"/>
                <w:sz w:val="20"/>
                <w:szCs w:val="20"/>
              </w:rPr>
              <w:t>$4.4</w:t>
            </w:r>
          </w:p>
        </w:tc>
        <w:tc>
          <w:tcPr>
            <w:tcW w:w="990" w:type="dxa"/>
            <w:vAlign w:val="center"/>
          </w:tcPr>
          <w:p w:rsidR="00E8582A" w:rsidRPr="00D42D6D" w:rsidRDefault="00E8582A" w:rsidP="00310E12">
            <w:pPr>
              <w:spacing w:before="40"/>
              <w:jc w:val="center"/>
              <w:rPr>
                <w:rFonts w:ascii="Gill Sans MT" w:hAnsi="Gill Sans MT" w:cs="Arial"/>
                <w:sz w:val="20"/>
                <w:szCs w:val="20"/>
              </w:rPr>
            </w:pPr>
            <w:r>
              <w:rPr>
                <w:rFonts w:ascii="Gill Sans MT" w:hAnsi="Gill Sans MT" w:cs="Arial"/>
                <w:sz w:val="20"/>
                <w:szCs w:val="20"/>
              </w:rPr>
              <w:t>$3.9</w:t>
            </w:r>
          </w:p>
        </w:tc>
        <w:tc>
          <w:tcPr>
            <w:tcW w:w="990" w:type="dxa"/>
            <w:vAlign w:val="center"/>
          </w:tcPr>
          <w:p w:rsidR="00E8582A" w:rsidRPr="00D42D6D" w:rsidRDefault="00E8582A" w:rsidP="00310E12">
            <w:pPr>
              <w:spacing w:before="40"/>
              <w:jc w:val="center"/>
              <w:rPr>
                <w:rFonts w:ascii="Gill Sans MT" w:hAnsi="Gill Sans MT" w:cs="Arial"/>
                <w:sz w:val="20"/>
                <w:szCs w:val="20"/>
              </w:rPr>
            </w:pPr>
            <w:r w:rsidRPr="00D42D6D">
              <w:rPr>
                <w:rFonts w:ascii="Gill Sans MT" w:hAnsi="Gill Sans MT" w:cs="Arial"/>
                <w:sz w:val="20"/>
                <w:szCs w:val="20"/>
              </w:rPr>
              <w:t>$</w:t>
            </w:r>
            <w:r>
              <w:rPr>
                <w:rFonts w:ascii="Gill Sans MT" w:hAnsi="Gill Sans MT" w:cs="Arial"/>
                <w:sz w:val="20"/>
                <w:szCs w:val="20"/>
              </w:rPr>
              <w:t>3.8</w:t>
            </w:r>
          </w:p>
        </w:tc>
        <w:tc>
          <w:tcPr>
            <w:tcW w:w="900" w:type="dxa"/>
            <w:vAlign w:val="center"/>
          </w:tcPr>
          <w:p w:rsidR="00E8582A" w:rsidRPr="00D42D6D" w:rsidRDefault="00E8582A" w:rsidP="00310E12">
            <w:pPr>
              <w:spacing w:before="40"/>
              <w:jc w:val="center"/>
              <w:rPr>
                <w:rFonts w:ascii="Gill Sans MT" w:hAnsi="Gill Sans MT" w:cs="Arial"/>
                <w:sz w:val="20"/>
                <w:szCs w:val="20"/>
              </w:rPr>
            </w:pPr>
            <w:r w:rsidRPr="00D42D6D">
              <w:rPr>
                <w:rFonts w:ascii="Gill Sans MT" w:hAnsi="Gill Sans MT" w:cs="Arial"/>
                <w:sz w:val="20"/>
                <w:szCs w:val="20"/>
              </w:rPr>
              <w:t>$3.4</w:t>
            </w:r>
          </w:p>
        </w:tc>
        <w:tc>
          <w:tcPr>
            <w:tcW w:w="900" w:type="dxa"/>
            <w:vAlign w:val="center"/>
          </w:tcPr>
          <w:p w:rsidR="00E8582A" w:rsidRPr="009E4647" w:rsidRDefault="00E8582A" w:rsidP="00310E12">
            <w:pPr>
              <w:spacing w:before="20" w:after="20"/>
              <w:jc w:val="center"/>
              <w:rPr>
                <w:rFonts w:ascii="Gill Sans MT" w:hAnsi="Gill Sans MT" w:cs="Arial"/>
                <w:b/>
                <w:i/>
                <w:sz w:val="20"/>
                <w:szCs w:val="20"/>
                <w:u w:val="single"/>
              </w:rPr>
            </w:pPr>
            <w:r w:rsidRPr="009E4647">
              <w:rPr>
                <w:rFonts w:ascii="Gill Sans MT" w:hAnsi="Gill Sans MT" w:cs="Arial"/>
                <w:sz w:val="20"/>
                <w:szCs w:val="20"/>
              </w:rPr>
              <w:t>$</w:t>
            </w:r>
            <w:r>
              <w:rPr>
                <w:rFonts w:ascii="Gill Sans MT" w:hAnsi="Gill Sans MT" w:cs="Arial"/>
                <w:sz w:val="20"/>
                <w:szCs w:val="20"/>
              </w:rPr>
              <w:t>3.0</w:t>
            </w:r>
          </w:p>
        </w:tc>
        <w:tc>
          <w:tcPr>
            <w:tcW w:w="990" w:type="dxa"/>
            <w:vAlign w:val="center"/>
          </w:tcPr>
          <w:p w:rsidR="00E8582A" w:rsidRPr="009E4647" w:rsidRDefault="00E8582A" w:rsidP="00310E12">
            <w:pPr>
              <w:spacing w:before="20" w:after="20"/>
              <w:jc w:val="center"/>
              <w:rPr>
                <w:rFonts w:ascii="Gill Sans MT" w:hAnsi="Gill Sans MT" w:cs="Arial"/>
                <w:b/>
                <w:i/>
                <w:sz w:val="20"/>
                <w:szCs w:val="20"/>
                <w:u w:val="single"/>
              </w:rPr>
            </w:pPr>
            <w:r w:rsidRPr="009E4647">
              <w:rPr>
                <w:rFonts w:ascii="Gill Sans MT" w:hAnsi="Gill Sans MT" w:cs="Arial"/>
                <w:sz w:val="20"/>
                <w:szCs w:val="20"/>
              </w:rPr>
              <w:t>$2.9</w:t>
            </w:r>
          </w:p>
        </w:tc>
        <w:tc>
          <w:tcPr>
            <w:tcW w:w="824" w:type="dxa"/>
            <w:vAlign w:val="center"/>
          </w:tcPr>
          <w:p w:rsidR="00E8582A" w:rsidRPr="009E4647" w:rsidRDefault="00E8582A" w:rsidP="00310E12">
            <w:pPr>
              <w:spacing w:before="20" w:after="20"/>
              <w:jc w:val="center"/>
              <w:rPr>
                <w:rFonts w:ascii="Gill Sans MT" w:hAnsi="Gill Sans MT" w:cs="Arial"/>
                <w:sz w:val="20"/>
                <w:szCs w:val="20"/>
              </w:rPr>
            </w:pPr>
            <w:r w:rsidRPr="009E4647">
              <w:rPr>
                <w:rFonts w:ascii="Gill Sans MT" w:hAnsi="Gill Sans MT" w:cs="Arial"/>
                <w:sz w:val="20"/>
                <w:szCs w:val="20"/>
              </w:rPr>
              <w:t>$3.3</w:t>
            </w:r>
          </w:p>
        </w:tc>
      </w:tr>
      <w:tr w:rsidR="00E8582A" w:rsidRPr="009E4647" w:rsidTr="002256BC">
        <w:trPr>
          <w:trHeight w:val="398"/>
          <w:jc w:val="center"/>
        </w:trPr>
        <w:tc>
          <w:tcPr>
            <w:tcW w:w="2340" w:type="dxa"/>
            <w:noWrap/>
            <w:vAlign w:val="center"/>
          </w:tcPr>
          <w:p w:rsidR="00E8582A" w:rsidRPr="009E4647" w:rsidRDefault="00E8582A" w:rsidP="00310E12">
            <w:pPr>
              <w:spacing w:before="20" w:after="20"/>
              <w:rPr>
                <w:rFonts w:ascii="Gill Sans MT" w:hAnsi="Gill Sans MT" w:cs="Arial"/>
                <w:sz w:val="20"/>
                <w:szCs w:val="20"/>
              </w:rPr>
            </w:pPr>
            <w:r>
              <w:rPr>
                <w:rFonts w:ascii="Gill Sans MT" w:hAnsi="Gill Sans MT" w:cs="Arial"/>
                <w:sz w:val="20"/>
                <w:szCs w:val="20"/>
              </w:rPr>
              <w:t>Pre-tax</w:t>
            </w:r>
            <w:r w:rsidRPr="009E4647">
              <w:rPr>
                <w:rFonts w:ascii="Gill Sans MT" w:hAnsi="Gill Sans MT" w:cs="Arial"/>
                <w:sz w:val="20"/>
                <w:szCs w:val="20"/>
              </w:rPr>
              <w:t xml:space="preserve"> </w:t>
            </w:r>
            <w:r>
              <w:rPr>
                <w:rFonts w:ascii="Gill Sans MT" w:hAnsi="Gill Sans MT" w:cs="Arial"/>
                <w:sz w:val="20"/>
                <w:szCs w:val="20"/>
              </w:rPr>
              <w:t>Income</w:t>
            </w:r>
            <w:r w:rsidRPr="009E4647">
              <w:rPr>
                <w:rFonts w:ascii="Gill Sans MT" w:hAnsi="Gill Sans MT" w:cs="Arial"/>
                <w:sz w:val="20"/>
                <w:szCs w:val="20"/>
              </w:rPr>
              <w:t xml:space="preserve"> ($MM)</w:t>
            </w:r>
          </w:p>
        </w:tc>
        <w:tc>
          <w:tcPr>
            <w:tcW w:w="947" w:type="dxa"/>
            <w:vAlign w:val="center"/>
          </w:tcPr>
          <w:p w:rsidR="00E8582A" w:rsidRDefault="00E8582A" w:rsidP="007E2ED1">
            <w:pPr>
              <w:spacing w:before="40"/>
              <w:jc w:val="center"/>
              <w:rPr>
                <w:rFonts w:ascii="Gill Sans MT" w:hAnsi="Gill Sans MT" w:cs="Arial"/>
                <w:sz w:val="20"/>
                <w:szCs w:val="20"/>
              </w:rPr>
            </w:pPr>
            <w:r w:rsidRPr="007E2ED1">
              <w:rPr>
                <w:rFonts w:ascii="Gill Sans MT" w:hAnsi="Gill Sans MT" w:cs="Arial"/>
                <w:sz w:val="20"/>
                <w:szCs w:val="20"/>
              </w:rPr>
              <w:t>$2.0</w:t>
            </w:r>
          </w:p>
        </w:tc>
        <w:tc>
          <w:tcPr>
            <w:tcW w:w="990" w:type="dxa"/>
            <w:vAlign w:val="center"/>
          </w:tcPr>
          <w:p w:rsidR="00E8582A" w:rsidRPr="000C1334" w:rsidRDefault="00E8582A" w:rsidP="00421D3A">
            <w:pPr>
              <w:spacing w:before="40"/>
              <w:jc w:val="center"/>
              <w:rPr>
                <w:rFonts w:ascii="Gill Sans MT" w:hAnsi="Gill Sans MT" w:cs="Arial"/>
                <w:sz w:val="20"/>
                <w:szCs w:val="20"/>
              </w:rPr>
            </w:pPr>
            <w:r>
              <w:rPr>
                <w:rFonts w:ascii="Gill Sans MT" w:hAnsi="Gill Sans MT" w:cs="Arial"/>
                <w:sz w:val="20"/>
                <w:szCs w:val="20"/>
              </w:rPr>
              <w:t>$2.2</w:t>
            </w:r>
          </w:p>
        </w:tc>
        <w:tc>
          <w:tcPr>
            <w:tcW w:w="990" w:type="dxa"/>
            <w:vAlign w:val="center"/>
          </w:tcPr>
          <w:p w:rsidR="00E8582A" w:rsidRPr="00145AF7" w:rsidRDefault="00E8582A" w:rsidP="00310E12">
            <w:pPr>
              <w:spacing w:before="40"/>
              <w:jc w:val="center"/>
              <w:rPr>
                <w:rFonts w:ascii="Gill Sans MT" w:hAnsi="Gill Sans MT" w:cs="Arial"/>
                <w:b/>
                <w:sz w:val="20"/>
                <w:szCs w:val="20"/>
              </w:rPr>
            </w:pPr>
            <w:r>
              <w:rPr>
                <w:rFonts w:ascii="Gill Sans MT" w:hAnsi="Gill Sans MT" w:cs="Arial"/>
                <w:sz w:val="20"/>
                <w:szCs w:val="20"/>
              </w:rPr>
              <w:t>$2.2</w:t>
            </w:r>
          </w:p>
        </w:tc>
        <w:tc>
          <w:tcPr>
            <w:tcW w:w="990" w:type="dxa"/>
            <w:vAlign w:val="center"/>
          </w:tcPr>
          <w:p w:rsidR="00E8582A" w:rsidRPr="00D42D6D" w:rsidRDefault="00E8582A" w:rsidP="00310E12">
            <w:pPr>
              <w:spacing w:before="40"/>
              <w:jc w:val="center"/>
              <w:rPr>
                <w:rFonts w:ascii="Gill Sans MT" w:hAnsi="Gill Sans MT" w:cs="Arial"/>
                <w:sz w:val="20"/>
                <w:szCs w:val="20"/>
              </w:rPr>
            </w:pPr>
            <w:r>
              <w:rPr>
                <w:rFonts w:ascii="Gill Sans MT" w:hAnsi="Gill Sans MT" w:cs="Arial"/>
                <w:sz w:val="20"/>
                <w:szCs w:val="20"/>
              </w:rPr>
              <w:t>$1.9</w:t>
            </w:r>
          </w:p>
        </w:tc>
        <w:tc>
          <w:tcPr>
            <w:tcW w:w="990" w:type="dxa"/>
            <w:vAlign w:val="center"/>
          </w:tcPr>
          <w:p w:rsidR="00E8582A" w:rsidRPr="00D42D6D" w:rsidRDefault="00E8582A" w:rsidP="00310E12">
            <w:pPr>
              <w:spacing w:before="40"/>
              <w:jc w:val="center"/>
              <w:rPr>
                <w:rFonts w:ascii="Gill Sans MT" w:hAnsi="Gill Sans MT" w:cs="Arial"/>
                <w:sz w:val="20"/>
                <w:szCs w:val="20"/>
              </w:rPr>
            </w:pPr>
            <w:r w:rsidRPr="00D42D6D">
              <w:rPr>
                <w:rFonts w:ascii="Gill Sans MT" w:hAnsi="Gill Sans MT" w:cs="Arial"/>
                <w:sz w:val="20"/>
                <w:szCs w:val="20"/>
              </w:rPr>
              <w:t>$</w:t>
            </w:r>
            <w:r>
              <w:rPr>
                <w:rFonts w:ascii="Gill Sans MT" w:hAnsi="Gill Sans MT" w:cs="Arial"/>
                <w:sz w:val="20"/>
                <w:szCs w:val="20"/>
              </w:rPr>
              <w:t>1.9</w:t>
            </w:r>
          </w:p>
        </w:tc>
        <w:tc>
          <w:tcPr>
            <w:tcW w:w="900" w:type="dxa"/>
            <w:vAlign w:val="center"/>
          </w:tcPr>
          <w:p w:rsidR="00E8582A" w:rsidRPr="00D42D6D" w:rsidRDefault="00E8582A" w:rsidP="00310E12">
            <w:pPr>
              <w:spacing w:before="40"/>
              <w:jc w:val="center"/>
              <w:rPr>
                <w:rFonts w:ascii="Gill Sans MT" w:hAnsi="Gill Sans MT" w:cs="Arial"/>
                <w:sz w:val="20"/>
                <w:szCs w:val="20"/>
              </w:rPr>
            </w:pPr>
            <w:r w:rsidRPr="00D42D6D">
              <w:rPr>
                <w:rFonts w:ascii="Gill Sans MT" w:hAnsi="Gill Sans MT" w:cs="Arial"/>
                <w:sz w:val="20"/>
                <w:szCs w:val="20"/>
              </w:rPr>
              <w:t>$1.1</w:t>
            </w:r>
          </w:p>
        </w:tc>
        <w:tc>
          <w:tcPr>
            <w:tcW w:w="900" w:type="dxa"/>
            <w:vAlign w:val="center"/>
          </w:tcPr>
          <w:p w:rsidR="00E8582A" w:rsidRPr="009E4647" w:rsidRDefault="00E8582A" w:rsidP="00310E12">
            <w:pPr>
              <w:spacing w:before="20" w:after="20"/>
              <w:jc w:val="center"/>
              <w:rPr>
                <w:rFonts w:ascii="Gill Sans MT" w:hAnsi="Gill Sans MT" w:cs="Arial"/>
                <w:sz w:val="20"/>
                <w:szCs w:val="20"/>
              </w:rPr>
            </w:pPr>
            <w:r>
              <w:rPr>
                <w:rFonts w:ascii="Gill Sans MT" w:hAnsi="Gill Sans MT" w:cs="Arial"/>
                <w:sz w:val="20"/>
                <w:szCs w:val="20"/>
              </w:rPr>
              <w:t>$1.4</w:t>
            </w:r>
          </w:p>
        </w:tc>
        <w:tc>
          <w:tcPr>
            <w:tcW w:w="990" w:type="dxa"/>
            <w:vAlign w:val="center"/>
          </w:tcPr>
          <w:p w:rsidR="00E8582A" w:rsidRPr="009E4647" w:rsidRDefault="00E8582A" w:rsidP="00310E12">
            <w:pPr>
              <w:spacing w:before="20" w:after="20"/>
              <w:jc w:val="center"/>
              <w:rPr>
                <w:rFonts w:ascii="Gill Sans MT" w:hAnsi="Gill Sans MT" w:cs="Arial"/>
                <w:sz w:val="20"/>
                <w:szCs w:val="20"/>
              </w:rPr>
            </w:pPr>
            <w:r w:rsidRPr="009E4647">
              <w:rPr>
                <w:rFonts w:ascii="Gill Sans MT" w:hAnsi="Gill Sans MT" w:cs="Arial"/>
                <w:sz w:val="20"/>
                <w:szCs w:val="20"/>
              </w:rPr>
              <w:t>$</w:t>
            </w:r>
            <w:r>
              <w:rPr>
                <w:rFonts w:ascii="Gill Sans MT" w:hAnsi="Gill Sans MT" w:cs="Arial"/>
                <w:sz w:val="20"/>
                <w:szCs w:val="20"/>
              </w:rPr>
              <w:t>1.4</w:t>
            </w:r>
          </w:p>
        </w:tc>
        <w:tc>
          <w:tcPr>
            <w:tcW w:w="824" w:type="dxa"/>
            <w:vAlign w:val="center"/>
          </w:tcPr>
          <w:p w:rsidR="00E8582A" w:rsidRPr="009E4647" w:rsidRDefault="00E8582A" w:rsidP="00310E12">
            <w:pPr>
              <w:spacing w:before="20" w:after="20"/>
              <w:jc w:val="center"/>
              <w:rPr>
                <w:rFonts w:ascii="Gill Sans MT" w:hAnsi="Gill Sans MT" w:cs="Arial"/>
                <w:sz w:val="20"/>
                <w:szCs w:val="20"/>
              </w:rPr>
            </w:pPr>
            <w:r w:rsidRPr="009E4647">
              <w:rPr>
                <w:rFonts w:ascii="Gill Sans MT" w:hAnsi="Gill Sans MT" w:cs="Arial"/>
                <w:sz w:val="20"/>
                <w:szCs w:val="20"/>
              </w:rPr>
              <w:t>$</w:t>
            </w:r>
            <w:r>
              <w:rPr>
                <w:rFonts w:ascii="Gill Sans MT" w:hAnsi="Gill Sans MT" w:cs="Arial"/>
                <w:sz w:val="20"/>
                <w:szCs w:val="20"/>
              </w:rPr>
              <w:t>1.9</w:t>
            </w:r>
          </w:p>
        </w:tc>
      </w:tr>
    </w:tbl>
    <w:p w:rsidR="00E8582A" w:rsidRDefault="00E8582A" w:rsidP="00FC06F8">
      <w:pPr>
        <w:pStyle w:val="ListParagraph"/>
        <w:tabs>
          <w:tab w:val="left" w:pos="630"/>
        </w:tabs>
        <w:spacing w:after="0"/>
        <w:ind w:left="634"/>
        <w:rPr>
          <w:rFonts w:ascii="Gill Sans MT" w:hAnsi="Gill Sans MT"/>
          <w:b/>
        </w:rPr>
      </w:pPr>
    </w:p>
    <w:p w:rsidR="00E8582A" w:rsidRDefault="00E8582A" w:rsidP="00334EA3">
      <w:pPr>
        <w:pStyle w:val="ListParagraph"/>
        <w:tabs>
          <w:tab w:val="left" w:pos="630"/>
        </w:tabs>
        <w:spacing w:after="0"/>
        <w:ind w:left="634"/>
        <w:jc w:val="center"/>
        <w:rPr>
          <w:rFonts w:ascii="Gill Sans MT" w:hAnsi="Gill Sans MT"/>
          <w:b/>
        </w:rPr>
      </w:pPr>
    </w:p>
    <w:p w:rsidR="00E8582A" w:rsidRPr="0072556E" w:rsidRDefault="00E8582A" w:rsidP="009A6940">
      <w:pPr>
        <w:pStyle w:val="ListParagraph"/>
        <w:numPr>
          <w:ilvl w:val="0"/>
          <w:numId w:val="45"/>
        </w:numPr>
        <w:tabs>
          <w:tab w:val="left" w:pos="90"/>
          <w:tab w:val="left" w:pos="630"/>
        </w:tabs>
        <w:spacing w:after="0"/>
        <w:ind w:left="630"/>
        <w:rPr>
          <w:rFonts w:ascii="Gill Sans MT" w:hAnsi="Gill Sans MT"/>
          <w:color w:val="FF0000"/>
        </w:rPr>
      </w:pPr>
      <w:r w:rsidRPr="009A6940">
        <w:rPr>
          <w:rFonts w:ascii="Gill Sans MT" w:hAnsi="Gill Sans MT"/>
          <w:b/>
        </w:rPr>
        <w:t xml:space="preserve">GORE Real Estate Developments: </w:t>
      </w:r>
      <w:r w:rsidRPr="009A6940">
        <w:rPr>
          <w:rFonts w:ascii="Gill Sans MT" w:hAnsi="Gill Sans MT"/>
        </w:rPr>
        <w:t xml:space="preserve">GreenOak continued to execute on its business growth strategy, including the addition of significant new investment management and advisory engagements. The company had a second closing of its U.S. fund and the first closing of a Japanese fund in Q1 2012. </w:t>
      </w:r>
      <w:r w:rsidRPr="004A3986">
        <w:rPr>
          <w:rFonts w:ascii="Gill Sans MT" w:hAnsi="Gill Sans MT"/>
        </w:rPr>
        <w:t>GreenOak also added significant assets under management by winning a mandate to manage a large portfolio of European real estate</w:t>
      </w:r>
      <w:r>
        <w:rPr>
          <w:rFonts w:ascii="Gill Sans MT" w:hAnsi="Gill Sans MT"/>
        </w:rPr>
        <w:t xml:space="preserve"> related securities</w:t>
      </w:r>
      <w:r w:rsidRPr="004A3986">
        <w:rPr>
          <w:rFonts w:ascii="Gill Sans MT" w:hAnsi="Gill Sans MT"/>
        </w:rPr>
        <w:t xml:space="preserve">. </w:t>
      </w:r>
      <w:r>
        <w:rPr>
          <w:rFonts w:ascii="Gill Sans MT" w:hAnsi="Gill Sans MT"/>
        </w:rPr>
        <w:t xml:space="preserve"> </w:t>
      </w:r>
      <w:r w:rsidRPr="004A3986">
        <w:rPr>
          <w:rFonts w:ascii="Gill Sans MT" w:hAnsi="Gill Sans MT"/>
        </w:rPr>
        <w:t xml:space="preserve">Additionally, GreenOak brought on certain </w:t>
      </w:r>
      <w:r>
        <w:rPr>
          <w:rFonts w:ascii="Gill Sans MT" w:hAnsi="Gill Sans MT"/>
        </w:rPr>
        <w:t>investment professionals</w:t>
      </w:r>
      <w:r w:rsidRPr="004A3986">
        <w:rPr>
          <w:rFonts w:ascii="Gill Sans MT" w:hAnsi="Gill Sans MT"/>
        </w:rPr>
        <w:t xml:space="preserve"> </w:t>
      </w:r>
      <w:r>
        <w:rPr>
          <w:rFonts w:ascii="Gill Sans MT" w:hAnsi="Gill Sans MT"/>
        </w:rPr>
        <w:t xml:space="preserve">which </w:t>
      </w:r>
      <w:r w:rsidRPr="004A3986">
        <w:rPr>
          <w:rFonts w:ascii="Gill Sans MT" w:hAnsi="Gill Sans MT"/>
        </w:rPr>
        <w:t>previously manag</w:t>
      </w:r>
      <w:r>
        <w:rPr>
          <w:rFonts w:ascii="Gill Sans MT" w:hAnsi="Gill Sans MT"/>
        </w:rPr>
        <w:t>ed t</w:t>
      </w:r>
      <w:r w:rsidRPr="004A3986">
        <w:rPr>
          <w:rFonts w:ascii="Gill Sans MT" w:hAnsi="Gill Sans MT"/>
        </w:rPr>
        <w:t>hose assets.</w:t>
      </w:r>
    </w:p>
    <w:p w:rsidR="00E8582A" w:rsidRPr="0072556E" w:rsidRDefault="00E8582A" w:rsidP="00D05A07">
      <w:pPr>
        <w:pStyle w:val="ListParagraph"/>
        <w:tabs>
          <w:tab w:val="left" w:pos="630"/>
        </w:tabs>
        <w:spacing w:after="0"/>
        <w:ind w:left="634"/>
        <w:rPr>
          <w:rFonts w:ascii="Gill Sans MT" w:hAnsi="Gill Sans MT"/>
          <w:b/>
          <w:color w:val="FF0000"/>
          <w:sz w:val="16"/>
          <w:szCs w:val="16"/>
        </w:rPr>
      </w:pPr>
      <w:r w:rsidRPr="0072556E">
        <w:rPr>
          <w:rFonts w:ascii="Gill Sans MT" w:hAnsi="Gill Sans MT"/>
          <w:b/>
          <w:color w:val="FF0000"/>
          <w:sz w:val="16"/>
          <w:szCs w:val="16"/>
        </w:rPr>
        <w:t xml:space="preserve"> </w:t>
      </w:r>
    </w:p>
    <w:p w:rsidR="00E8582A" w:rsidRDefault="00E8582A" w:rsidP="000A5B77">
      <w:pPr>
        <w:tabs>
          <w:tab w:val="left" w:pos="90"/>
          <w:tab w:val="left" w:pos="630"/>
        </w:tabs>
        <w:spacing w:after="0"/>
        <w:ind w:left="630"/>
        <w:rPr>
          <w:rFonts w:ascii="Gill Sans MT" w:hAnsi="Gill Sans MT"/>
        </w:rPr>
      </w:pPr>
      <w:r>
        <w:rPr>
          <w:rFonts w:ascii="Gill Sans MT" w:hAnsi="Gill Sans MT"/>
        </w:rPr>
        <w:t>GreenOak’s investment team is actively building a pipeline of interesting opportunities in the United States, Japan and Europe, which we expect to continue to materialize over the next several quarters.</w:t>
      </w:r>
    </w:p>
    <w:p w:rsidR="00E8582A" w:rsidRDefault="00E8582A" w:rsidP="000A5B77">
      <w:pPr>
        <w:tabs>
          <w:tab w:val="left" w:pos="90"/>
          <w:tab w:val="left" w:pos="630"/>
        </w:tabs>
        <w:spacing w:after="0"/>
        <w:ind w:left="630"/>
        <w:rPr>
          <w:rFonts w:ascii="Gill Sans MT" w:hAnsi="Gill Sans MT"/>
        </w:rPr>
      </w:pPr>
    </w:p>
    <w:p w:rsidR="00E8582A" w:rsidRPr="00F761BA" w:rsidRDefault="00E8582A" w:rsidP="000A5B77">
      <w:pPr>
        <w:tabs>
          <w:tab w:val="left" w:pos="0"/>
          <w:tab w:val="left" w:pos="90"/>
        </w:tabs>
        <w:spacing w:after="0"/>
        <w:rPr>
          <w:rFonts w:ascii="Gill Sans MT" w:hAnsi="Gill Sans MT"/>
        </w:rPr>
      </w:pPr>
      <w:r>
        <w:rPr>
          <w:rFonts w:ascii="Gill Sans MT" w:hAnsi="Gill Sans MT"/>
        </w:rPr>
        <w:t xml:space="preserve">We continue to seek to grow and expand our asset management businesses and capabilities as we further our efforts to transition the company to a broadly diversified financial services firm that benefits from diverse income streams.  </w:t>
      </w:r>
      <w:r w:rsidRPr="00F761BA">
        <w:rPr>
          <w:rFonts w:ascii="Gill Sans MT" w:hAnsi="Gill Sans MT"/>
        </w:rPr>
        <w:t>We continue to review potential market opportunities in this regard.</w:t>
      </w: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Default="00E8582A" w:rsidP="000A5B77">
      <w:pPr>
        <w:tabs>
          <w:tab w:val="left" w:pos="0"/>
        </w:tabs>
        <w:spacing w:after="0"/>
        <w:jc w:val="center"/>
        <w:rPr>
          <w:rFonts w:ascii="Gill Sans MT" w:hAnsi="Gill Sans MT"/>
          <w:smallCaps/>
          <w:sz w:val="16"/>
          <w:szCs w:val="16"/>
        </w:rPr>
      </w:pPr>
    </w:p>
    <w:p w:rsidR="00E8582A" w:rsidRPr="00D0253C" w:rsidRDefault="00E8582A" w:rsidP="00356DF9">
      <w:pPr>
        <w:pStyle w:val="ListParagraph"/>
        <w:numPr>
          <w:ilvl w:val="0"/>
          <w:numId w:val="40"/>
        </w:numPr>
        <w:spacing w:after="0"/>
        <w:ind w:left="360"/>
        <w:jc w:val="left"/>
        <w:rPr>
          <w:rFonts w:ascii="Gill Sans MT" w:hAnsi="Gill Sans MT"/>
          <w:u w:val="single"/>
        </w:rPr>
      </w:pPr>
      <w:r w:rsidRPr="00356DF9">
        <w:rPr>
          <w:rFonts w:ascii="Gill Sans MT" w:hAnsi="Gill Sans MT"/>
          <w:b/>
          <w:u w:val="single"/>
        </w:rPr>
        <w:br w:type="page"/>
      </w:r>
    </w:p>
    <w:p w:rsidR="00E8582A" w:rsidRPr="00356DF9" w:rsidRDefault="00E8582A" w:rsidP="00356DF9">
      <w:pPr>
        <w:pStyle w:val="ListParagraph"/>
        <w:numPr>
          <w:ilvl w:val="0"/>
          <w:numId w:val="40"/>
        </w:numPr>
        <w:spacing w:after="0"/>
        <w:ind w:left="360"/>
        <w:jc w:val="left"/>
        <w:rPr>
          <w:rFonts w:ascii="Gill Sans MT" w:hAnsi="Gill Sans MT"/>
          <w:u w:val="single"/>
        </w:rPr>
      </w:pPr>
      <w:r w:rsidRPr="00356DF9">
        <w:rPr>
          <w:rFonts w:ascii="Gill Sans MT" w:hAnsi="Gill Sans MT"/>
          <w:b/>
          <w:u w:val="single"/>
        </w:rPr>
        <w:t>Loan and CLO Market Developments</w:t>
      </w:r>
      <w:r w:rsidRPr="00356DF9">
        <w:rPr>
          <w:rFonts w:ascii="Gill Sans MT" w:hAnsi="Gill Sans MT"/>
          <w:b/>
        </w:rPr>
        <w:t>:</w:t>
      </w:r>
    </w:p>
    <w:p w:rsidR="00E8582A" w:rsidRPr="005A3176" w:rsidRDefault="00E8582A" w:rsidP="00422581">
      <w:pPr>
        <w:pStyle w:val="ListParagraph"/>
        <w:tabs>
          <w:tab w:val="left" w:pos="90"/>
        </w:tabs>
        <w:spacing w:after="0"/>
        <w:ind w:left="547"/>
        <w:rPr>
          <w:rFonts w:ascii="Gill Sans MT" w:hAnsi="Gill Sans MT"/>
          <w:sz w:val="16"/>
          <w:szCs w:val="16"/>
        </w:rPr>
      </w:pPr>
    </w:p>
    <w:p w:rsidR="00E8582A" w:rsidRPr="004B6601" w:rsidRDefault="00E8582A" w:rsidP="00356DF9">
      <w:pPr>
        <w:pStyle w:val="ListParagraph"/>
        <w:numPr>
          <w:ilvl w:val="0"/>
          <w:numId w:val="9"/>
        </w:numPr>
        <w:tabs>
          <w:tab w:val="left" w:pos="630"/>
        </w:tabs>
        <w:spacing w:after="120"/>
        <w:ind w:left="630"/>
        <w:rPr>
          <w:rFonts w:ascii="Gill Sans MT" w:hAnsi="Gill Sans MT"/>
          <w:sz w:val="16"/>
          <w:szCs w:val="16"/>
        </w:rPr>
      </w:pPr>
      <w:r w:rsidRPr="00A53306">
        <w:rPr>
          <w:rFonts w:ascii="Gill Sans MT" w:hAnsi="Gill Sans MT"/>
          <w:b/>
        </w:rPr>
        <w:t>U</w:t>
      </w:r>
      <w:r w:rsidRPr="00490A6D">
        <w:rPr>
          <w:rFonts w:ascii="Gill Sans MT" w:hAnsi="Gill Sans MT"/>
          <w:b/>
        </w:rPr>
        <w:t xml:space="preserve">.S. </w:t>
      </w:r>
      <w:r>
        <w:rPr>
          <w:rFonts w:ascii="Gill Sans MT" w:hAnsi="Gill Sans MT"/>
          <w:b/>
        </w:rPr>
        <w:t>leveraged loan defaults pick-up but remain below the historical average</w:t>
      </w:r>
      <w:r w:rsidRPr="00C873C2">
        <w:rPr>
          <w:rFonts w:ascii="Gill Sans MT" w:hAnsi="Gill Sans MT"/>
          <w:b/>
        </w:rPr>
        <w:t xml:space="preserve">: </w:t>
      </w:r>
      <w:r>
        <w:rPr>
          <w:rFonts w:ascii="Gill Sans MT" w:hAnsi="Gill Sans MT"/>
        </w:rPr>
        <w:t>T</w:t>
      </w:r>
      <w:r w:rsidRPr="00C873C2">
        <w:rPr>
          <w:rFonts w:ascii="Gill Sans MT" w:hAnsi="Gill Sans MT"/>
        </w:rPr>
        <w:t xml:space="preserve">he </w:t>
      </w:r>
      <w:r>
        <w:rPr>
          <w:rFonts w:ascii="Gill Sans MT" w:hAnsi="Gill Sans MT"/>
        </w:rPr>
        <w:t xml:space="preserve">U.S. </w:t>
      </w:r>
      <w:r w:rsidRPr="00C873C2">
        <w:rPr>
          <w:rFonts w:ascii="Gill Sans MT" w:hAnsi="Gill Sans MT"/>
        </w:rPr>
        <w:t>lagged 12-mont</w:t>
      </w:r>
      <w:r>
        <w:rPr>
          <w:rFonts w:ascii="Gill Sans MT" w:hAnsi="Gill Sans MT"/>
        </w:rPr>
        <w:t xml:space="preserve">h loan default rate rose to 0.21% by principal amount as of March 31, 2012, up slightly </w:t>
      </w:r>
      <w:r w:rsidRPr="00C873C2">
        <w:rPr>
          <w:rFonts w:ascii="Gill Sans MT" w:hAnsi="Gill Sans MT"/>
        </w:rPr>
        <w:t xml:space="preserve">from </w:t>
      </w:r>
      <w:r>
        <w:rPr>
          <w:rFonts w:ascii="Gill Sans MT" w:hAnsi="Gill Sans MT"/>
        </w:rPr>
        <w:t>0.17</w:t>
      </w:r>
      <w:r w:rsidRPr="00C873C2">
        <w:rPr>
          <w:rFonts w:ascii="Gill Sans MT" w:hAnsi="Gill Sans MT"/>
        </w:rPr>
        <w:t xml:space="preserve">% </w:t>
      </w:r>
      <w:r>
        <w:rPr>
          <w:rFonts w:ascii="Gill Sans MT" w:hAnsi="Gill Sans MT"/>
        </w:rPr>
        <w:t>as of Q4 2011</w:t>
      </w:r>
      <w:r w:rsidRPr="00C873C2">
        <w:rPr>
          <w:rFonts w:ascii="Gill Sans MT" w:hAnsi="Gill Sans MT"/>
        </w:rPr>
        <w:t>.</w:t>
      </w:r>
      <w:r w:rsidRPr="00C873C2">
        <w:rPr>
          <w:rFonts w:ascii="Gill Sans MT" w:hAnsi="Gill Sans MT"/>
          <w:vertAlign w:val="superscript"/>
        </w:rPr>
        <w:t>(</w:t>
      </w:r>
      <w:r w:rsidRPr="00E75518">
        <w:rPr>
          <w:rStyle w:val="EndnoteReference"/>
          <w:rFonts w:ascii="Gill Sans MT" w:hAnsi="Gill Sans MT"/>
        </w:rPr>
        <w:endnoteReference w:id="18"/>
      </w:r>
      <w:r w:rsidRPr="00C873C2">
        <w:rPr>
          <w:rFonts w:ascii="Gill Sans MT" w:hAnsi="Gill Sans MT"/>
          <w:vertAlign w:val="superscript"/>
        </w:rPr>
        <w:t>)</w:t>
      </w:r>
      <w:r w:rsidRPr="00C873C2">
        <w:rPr>
          <w:rFonts w:ascii="Gill Sans MT" w:hAnsi="Gill Sans MT"/>
        </w:rPr>
        <w:t xml:space="preserve"> </w:t>
      </w:r>
      <w:r>
        <w:rPr>
          <w:rFonts w:ascii="Gill Sans MT" w:hAnsi="Gill Sans MT"/>
        </w:rPr>
        <w:t xml:space="preserve">The early April 2012 default of </w:t>
      </w:r>
      <w:r w:rsidRPr="00556B2F">
        <w:rPr>
          <w:rFonts w:ascii="Gill Sans MT" w:hAnsi="Gill Sans MT"/>
          <w:i/>
        </w:rPr>
        <w:t>Hawker Beechcraft</w:t>
      </w:r>
      <w:r>
        <w:rPr>
          <w:rFonts w:ascii="Gill Sans MT" w:hAnsi="Gill Sans MT"/>
        </w:rPr>
        <w:t xml:space="preserve"> caused this rate to rise to 0.51% by principal amount, a level which nonetheless remains well-below the historical average.</w:t>
      </w:r>
      <w:r w:rsidRPr="00A8326C">
        <w:rPr>
          <w:rFonts w:ascii="Gill Sans MT" w:hAnsi="Gill Sans MT"/>
          <w:vertAlign w:val="superscript"/>
        </w:rPr>
        <w:t>(</w:t>
      </w:r>
      <w:r>
        <w:rPr>
          <w:rStyle w:val="EndnoteReference"/>
          <w:rFonts w:ascii="Gill Sans MT" w:hAnsi="Gill Sans MT"/>
        </w:rPr>
        <w:endnoteReference w:id="19"/>
      </w:r>
      <w:r w:rsidRPr="00A8326C">
        <w:rPr>
          <w:rFonts w:ascii="Gill Sans MT" w:hAnsi="Gill Sans MT"/>
          <w:vertAlign w:val="superscript"/>
        </w:rPr>
        <w:t>)</w:t>
      </w:r>
    </w:p>
    <w:p w:rsidR="00E8582A" w:rsidRPr="00872257" w:rsidRDefault="00E8582A" w:rsidP="00872257">
      <w:pPr>
        <w:pStyle w:val="ListParagraph"/>
        <w:tabs>
          <w:tab w:val="left" w:pos="630"/>
          <w:tab w:val="left" w:pos="720"/>
        </w:tabs>
        <w:spacing w:after="120"/>
        <w:ind w:left="630"/>
        <w:rPr>
          <w:rFonts w:ascii="Gill Sans MT" w:hAnsi="Gill Sans MT"/>
          <w:b/>
          <w:sz w:val="16"/>
          <w:szCs w:val="16"/>
        </w:rPr>
      </w:pPr>
    </w:p>
    <w:p w:rsidR="00E8582A" w:rsidRPr="004B6601" w:rsidRDefault="00E8582A" w:rsidP="004B6601">
      <w:pPr>
        <w:pStyle w:val="ListParagraph"/>
        <w:numPr>
          <w:ilvl w:val="0"/>
          <w:numId w:val="9"/>
        </w:numPr>
        <w:tabs>
          <w:tab w:val="left" w:pos="630"/>
        </w:tabs>
        <w:spacing w:after="120"/>
        <w:ind w:left="630"/>
        <w:rPr>
          <w:rFonts w:ascii="Gill Sans MT" w:hAnsi="Gill Sans MT"/>
          <w:sz w:val="16"/>
          <w:szCs w:val="16"/>
        </w:rPr>
      </w:pPr>
      <w:r w:rsidRPr="00A53306">
        <w:rPr>
          <w:rFonts w:ascii="Gill Sans MT" w:hAnsi="Gill Sans MT"/>
          <w:b/>
        </w:rPr>
        <w:t>U</w:t>
      </w:r>
      <w:r w:rsidRPr="00490A6D">
        <w:rPr>
          <w:rFonts w:ascii="Gill Sans MT" w:hAnsi="Gill Sans MT"/>
          <w:b/>
        </w:rPr>
        <w:t>.S. prepayment</w:t>
      </w:r>
      <w:r>
        <w:rPr>
          <w:rFonts w:ascii="Gill Sans MT" w:hAnsi="Gill Sans MT"/>
          <w:b/>
        </w:rPr>
        <w:t xml:space="preserve"> rate accelerates, European repayments slow</w:t>
      </w:r>
      <w:r w:rsidRPr="00490A6D">
        <w:rPr>
          <w:rFonts w:ascii="Gill Sans MT" w:hAnsi="Gill Sans MT"/>
          <w:b/>
        </w:rPr>
        <w:t xml:space="preserve">: </w:t>
      </w:r>
      <w:r w:rsidRPr="00490A6D">
        <w:rPr>
          <w:rFonts w:ascii="Gill Sans MT" w:hAnsi="Gill Sans MT"/>
        </w:rPr>
        <w:t>During Q</w:t>
      </w:r>
      <w:r>
        <w:rPr>
          <w:rFonts w:ascii="Gill Sans MT" w:hAnsi="Gill Sans MT"/>
        </w:rPr>
        <w:t>1</w:t>
      </w:r>
      <w:r w:rsidRPr="00490A6D">
        <w:rPr>
          <w:rFonts w:ascii="Gill Sans MT" w:hAnsi="Gill Sans MT"/>
        </w:rPr>
        <w:t xml:space="preserve"> 201</w:t>
      </w:r>
      <w:r>
        <w:rPr>
          <w:rFonts w:ascii="Gill Sans MT" w:hAnsi="Gill Sans MT"/>
        </w:rPr>
        <w:t>2</w:t>
      </w:r>
      <w:r w:rsidRPr="00490A6D">
        <w:rPr>
          <w:rFonts w:ascii="Gill Sans MT" w:hAnsi="Gill Sans MT"/>
        </w:rPr>
        <w:t>, the</w:t>
      </w:r>
      <w:r w:rsidRPr="00490A6D">
        <w:rPr>
          <w:rFonts w:ascii="Gill Sans MT" w:hAnsi="Gill Sans MT"/>
          <w:b/>
        </w:rPr>
        <w:t xml:space="preserve"> </w:t>
      </w:r>
      <w:r w:rsidRPr="00490A6D">
        <w:rPr>
          <w:rFonts w:ascii="Gill Sans MT" w:hAnsi="Gill Sans MT"/>
        </w:rPr>
        <w:t>U.S. S&amp;P/LSTA Leveraged Loan Index qua</w:t>
      </w:r>
      <w:r>
        <w:rPr>
          <w:rFonts w:ascii="Gill Sans MT" w:hAnsi="Gill Sans MT"/>
        </w:rPr>
        <w:t xml:space="preserve">rterly repayment rate rose </w:t>
      </w:r>
      <w:r w:rsidRPr="00490A6D">
        <w:rPr>
          <w:rFonts w:ascii="Gill Sans MT" w:hAnsi="Gill Sans MT"/>
        </w:rPr>
        <w:t xml:space="preserve">to </w:t>
      </w:r>
      <w:r>
        <w:rPr>
          <w:rFonts w:ascii="Gill Sans MT" w:hAnsi="Gill Sans MT"/>
        </w:rPr>
        <w:t>7.6% from 4.1</w:t>
      </w:r>
      <w:r w:rsidRPr="00490A6D">
        <w:rPr>
          <w:rFonts w:ascii="Gill Sans MT" w:hAnsi="Gill Sans MT"/>
        </w:rPr>
        <w:t xml:space="preserve">% </w:t>
      </w:r>
      <w:r>
        <w:rPr>
          <w:rFonts w:ascii="Gill Sans MT" w:hAnsi="Gill Sans MT"/>
        </w:rPr>
        <w:t>during Q4 2011, fueled by re-financing activity</w:t>
      </w:r>
      <w:r w:rsidRPr="00490A6D">
        <w:rPr>
          <w:rFonts w:ascii="Gill Sans MT" w:hAnsi="Gill Sans MT"/>
        </w:rPr>
        <w:t>.</w:t>
      </w:r>
      <w:r w:rsidRPr="00490A6D">
        <w:rPr>
          <w:rFonts w:ascii="Gill Sans MT" w:hAnsi="Gill Sans MT"/>
          <w:vertAlign w:val="superscript"/>
        </w:rPr>
        <w:t>(</w:t>
      </w:r>
      <w:r w:rsidRPr="00F068EF">
        <w:rPr>
          <w:rStyle w:val="EndnoteReference"/>
          <w:rFonts w:ascii="Gill Sans MT" w:hAnsi="Gill Sans MT"/>
        </w:rPr>
        <w:endnoteReference w:id="20"/>
      </w:r>
      <w:r w:rsidRPr="00490A6D">
        <w:rPr>
          <w:rFonts w:ascii="Gill Sans MT" w:hAnsi="Gill Sans MT"/>
          <w:vertAlign w:val="superscript"/>
        </w:rPr>
        <w:t xml:space="preserve">) </w:t>
      </w:r>
      <w:r>
        <w:rPr>
          <w:rFonts w:ascii="Gill Sans MT" w:hAnsi="Gill Sans MT"/>
          <w:vertAlign w:val="superscript"/>
        </w:rPr>
        <w:t xml:space="preserve"> </w:t>
      </w:r>
      <w:r>
        <w:rPr>
          <w:rFonts w:ascii="Gill Sans MT" w:hAnsi="Gill Sans MT"/>
        </w:rPr>
        <w:t>The S</w:t>
      </w:r>
      <w:r w:rsidRPr="00E768E2">
        <w:rPr>
          <w:rFonts w:ascii="Gill Sans MT" w:hAnsi="Gill Sans MT"/>
        </w:rPr>
        <w:t>&amp;P European Leveraged Loan Index</w:t>
      </w:r>
      <w:r>
        <w:rPr>
          <w:rFonts w:ascii="Gill Sans MT" w:hAnsi="Gill Sans MT"/>
        </w:rPr>
        <w:t xml:space="preserve"> quarterly repayment rate, on the other hand, declined to €2.9 billion during Q1 2012, down from €7.8 billion in Q4 2011.</w:t>
      </w:r>
      <w:r w:rsidRPr="00A53306">
        <w:rPr>
          <w:rFonts w:ascii="Gill Sans MT" w:hAnsi="Gill Sans MT"/>
          <w:vertAlign w:val="superscript"/>
        </w:rPr>
        <w:t>(</w:t>
      </w:r>
      <w:r>
        <w:rPr>
          <w:rStyle w:val="EndnoteReference"/>
          <w:rFonts w:ascii="Gill Sans MT" w:hAnsi="Gill Sans MT"/>
        </w:rPr>
        <w:endnoteReference w:id="21"/>
      </w:r>
      <w:r w:rsidRPr="00A53306">
        <w:rPr>
          <w:rFonts w:ascii="Gill Sans MT" w:hAnsi="Gill Sans MT"/>
          <w:vertAlign w:val="superscript"/>
        </w:rPr>
        <w:t>)</w:t>
      </w:r>
    </w:p>
    <w:p w:rsidR="00E8582A" w:rsidRPr="003C2CA2" w:rsidRDefault="00E8582A" w:rsidP="003C2CA2">
      <w:pPr>
        <w:pStyle w:val="ListParagraph"/>
        <w:tabs>
          <w:tab w:val="left" w:pos="630"/>
        </w:tabs>
        <w:spacing w:after="0"/>
        <w:ind w:left="634"/>
        <w:rPr>
          <w:rFonts w:ascii="Gill Sans MT" w:hAnsi="Gill Sans MT"/>
          <w:sz w:val="16"/>
          <w:szCs w:val="16"/>
        </w:rPr>
      </w:pPr>
    </w:p>
    <w:p w:rsidR="00E8582A" w:rsidRPr="00420D9A" w:rsidRDefault="00E8582A" w:rsidP="003C2CA2">
      <w:pPr>
        <w:pStyle w:val="ListParagraph"/>
        <w:numPr>
          <w:ilvl w:val="0"/>
          <w:numId w:val="9"/>
        </w:numPr>
        <w:tabs>
          <w:tab w:val="left" w:pos="630"/>
        </w:tabs>
        <w:spacing w:after="120"/>
        <w:ind w:left="630"/>
        <w:rPr>
          <w:rFonts w:ascii="Gill Sans MT" w:hAnsi="Gill Sans MT"/>
        </w:rPr>
      </w:pPr>
      <w:r>
        <w:rPr>
          <w:rFonts w:ascii="Gill Sans MT" w:hAnsi="Gill Sans MT"/>
          <w:b/>
        </w:rPr>
        <w:t>“Maturity wall” reduction continues</w:t>
      </w:r>
      <w:r w:rsidRPr="00C873C2">
        <w:rPr>
          <w:rFonts w:ascii="Gill Sans MT" w:hAnsi="Gill Sans MT"/>
          <w:b/>
        </w:rPr>
        <w:t xml:space="preserve">: </w:t>
      </w:r>
      <w:r>
        <w:rPr>
          <w:rFonts w:ascii="Gill Sans MT" w:hAnsi="Gill Sans MT"/>
        </w:rPr>
        <w:t>During Q1 2012, U.S. S&amp;P/LSTA Index issuers repaid or extended approximately $39.0 billion of loan maturities due by the end of 2015, up from $14.4 billion in Q4 2011.</w:t>
      </w:r>
      <w:r w:rsidRPr="00E570B9">
        <w:rPr>
          <w:rFonts w:ascii="Gill Sans MT" w:hAnsi="Gill Sans MT"/>
          <w:vertAlign w:val="superscript"/>
        </w:rPr>
        <w:t>(</w:t>
      </w:r>
      <w:r>
        <w:rPr>
          <w:rStyle w:val="EndnoteReference"/>
          <w:rFonts w:ascii="Gill Sans MT" w:hAnsi="Gill Sans MT"/>
        </w:rPr>
        <w:endnoteReference w:id="22"/>
      </w:r>
      <w:r w:rsidRPr="00E570B9">
        <w:rPr>
          <w:rFonts w:ascii="Gill Sans MT" w:hAnsi="Gill Sans MT"/>
          <w:vertAlign w:val="superscript"/>
        </w:rPr>
        <w:t>)</w:t>
      </w:r>
      <w:r>
        <w:rPr>
          <w:rFonts w:ascii="Gill Sans MT" w:hAnsi="Gill Sans MT"/>
          <w:vertAlign w:val="superscript"/>
        </w:rPr>
        <w:t xml:space="preserve"> </w:t>
      </w:r>
      <w:r>
        <w:rPr>
          <w:rFonts w:ascii="Gill Sans MT" w:hAnsi="Gill Sans MT"/>
        </w:rPr>
        <w:t>This reduction was dominated by amend-to-extends and high yield bond take-outs.</w:t>
      </w:r>
      <w:r w:rsidRPr="00E570B9">
        <w:rPr>
          <w:rFonts w:ascii="Gill Sans MT" w:hAnsi="Gill Sans MT"/>
          <w:vertAlign w:val="superscript"/>
        </w:rPr>
        <w:t>(</w:t>
      </w:r>
      <w:r>
        <w:rPr>
          <w:rStyle w:val="EndnoteReference"/>
          <w:rFonts w:ascii="Gill Sans MT" w:hAnsi="Gill Sans MT"/>
        </w:rPr>
        <w:endnoteReference w:id="23"/>
      </w:r>
      <w:r w:rsidRPr="00E570B9">
        <w:rPr>
          <w:rFonts w:ascii="Gill Sans MT" w:hAnsi="Gill Sans MT"/>
          <w:vertAlign w:val="superscript"/>
        </w:rPr>
        <w:t>)</w:t>
      </w:r>
      <w:r>
        <w:rPr>
          <w:rFonts w:ascii="Gill Sans MT" w:hAnsi="Gill Sans MT"/>
        </w:rPr>
        <w:t xml:space="preserve"> </w:t>
      </w:r>
    </w:p>
    <w:p w:rsidR="00E8582A" w:rsidRPr="00420D9A" w:rsidRDefault="00E8582A" w:rsidP="00420D9A">
      <w:pPr>
        <w:pStyle w:val="ListParagraph"/>
        <w:rPr>
          <w:rFonts w:ascii="Gill Sans MT" w:hAnsi="Gill Sans MT"/>
          <w:sz w:val="16"/>
          <w:szCs w:val="16"/>
        </w:rPr>
      </w:pPr>
    </w:p>
    <w:p w:rsidR="00E8582A" w:rsidRPr="00A03BE0" w:rsidRDefault="00E8582A" w:rsidP="00420D9A">
      <w:pPr>
        <w:pStyle w:val="ListParagraph"/>
        <w:numPr>
          <w:ilvl w:val="0"/>
          <w:numId w:val="9"/>
        </w:numPr>
        <w:tabs>
          <w:tab w:val="left" w:pos="630"/>
        </w:tabs>
        <w:spacing w:after="240"/>
        <w:ind w:left="634"/>
        <w:rPr>
          <w:rFonts w:ascii="Gill Sans MT" w:hAnsi="Gill Sans MT"/>
        </w:rPr>
      </w:pPr>
      <w:r w:rsidRPr="00B86CE5">
        <w:rPr>
          <w:rFonts w:ascii="Gill Sans MT" w:hAnsi="Gill Sans MT"/>
          <w:b/>
        </w:rPr>
        <w:t xml:space="preserve">Loan prices </w:t>
      </w:r>
      <w:r>
        <w:rPr>
          <w:rFonts w:ascii="Gill Sans MT" w:hAnsi="Gill Sans MT"/>
          <w:b/>
        </w:rPr>
        <w:t>rise</w:t>
      </w:r>
      <w:r w:rsidRPr="00B86CE5">
        <w:rPr>
          <w:rFonts w:ascii="Gill Sans MT" w:hAnsi="Gill Sans MT"/>
          <w:b/>
        </w:rPr>
        <w:t xml:space="preserve"> amid strong market conditions: </w:t>
      </w:r>
      <w:r w:rsidRPr="00B86CE5">
        <w:rPr>
          <w:rFonts w:ascii="Gill Sans MT" w:hAnsi="Gill Sans MT"/>
        </w:rPr>
        <w:t>U.S. secondary loan prices rose during Q1 2012 resulting in a 3.76% U.S. S&amp;P/LSTA Leveraged Loan Index return.</w:t>
      </w:r>
      <w:r w:rsidRPr="00B86CE5">
        <w:rPr>
          <w:rFonts w:ascii="Gill Sans MT" w:hAnsi="Gill Sans MT"/>
          <w:vertAlign w:val="superscript"/>
        </w:rPr>
        <w:t>(</w:t>
      </w:r>
      <w:r w:rsidRPr="00B86CE5">
        <w:rPr>
          <w:rStyle w:val="EndnoteReference"/>
          <w:rFonts w:ascii="Gill Sans MT" w:hAnsi="Gill Sans MT"/>
        </w:rPr>
        <w:endnoteReference w:id="24"/>
      </w:r>
      <w:r w:rsidRPr="00B86CE5">
        <w:rPr>
          <w:rFonts w:ascii="Gill Sans MT" w:hAnsi="Gill Sans MT"/>
          <w:vertAlign w:val="superscript"/>
        </w:rPr>
        <w:t>)</w:t>
      </w:r>
      <w:r w:rsidRPr="00B86CE5">
        <w:rPr>
          <w:rFonts w:ascii="Gill Sans MT" w:hAnsi="Gill Sans MT"/>
          <w:color w:val="FF0000"/>
          <w:vertAlign w:val="superscript"/>
        </w:rPr>
        <w:t xml:space="preserve"> </w:t>
      </w:r>
      <w:r>
        <w:rPr>
          <w:rFonts w:ascii="Gill Sans MT" w:hAnsi="Gill Sans MT"/>
          <w:color w:val="FF0000"/>
          <w:vertAlign w:val="superscript"/>
        </w:rPr>
        <w:t xml:space="preserve"> </w:t>
      </w:r>
      <w:r>
        <w:rPr>
          <w:rFonts w:ascii="Gill Sans MT" w:hAnsi="Gill Sans MT"/>
        </w:rPr>
        <w:t>T</w:t>
      </w:r>
      <w:r w:rsidRPr="00A03BE0">
        <w:rPr>
          <w:rFonts w:ascii="Gill Sans MT" w:hAnsi="Gill Sans MT"/>
        </w:rPr>
        <w:t>he S&amp;P European Leveraged Loan Index (“ELLI”) index</w:t>
      </w:r>
      <w:r>
        <w:rPr>
          <w:rFonts w:ascii="Gill Sans MT" w:hAnsi="Gill Sans MT"/>
        </w:rPr>
        <w:t xml:space="preserve"> also gained,</w:t>
      </w:r>
      <w:r w:rsidRPr="00A03BE0">
        <w:rPr>
          <w:rFonts w:ascii="Gill Sans MT" w:hAnsi="Gill Sans MT"/>
        </w:rPr>
        <w:t xml:space="preserve"> return</w:t>
      </w:r>
      <w:r>
        <w:rPr>
          <w:rFonts w:ascii="Gill Sans MT" w:hAnsi="Gill Sans MT"/>
        </w:rPr>
        <w:t xml:space="preserve">ing </w:t>
      </w:r>
      <w:r w:rsidRPr="00A03BE0">
        <w:rPr>
          <w:rFonts w:ascii="Gill Sans MT" w:hAnsi="Gill Sans MT"/>
        </w:rPr>
        <w:t>4.3</w:t>
      </w:r>
      <w:r>
        <w:rPr>
          <w:rFonts w:ascii="Gill Sans MT" w:hAnsi="Gill Sans MT"/>
        </w:rPr>
        <w:t>6% (excluding currency effects)</w:t>
      </w:r>
      <w:r w:rsidRPr="00A03BE0">
        <w:rPr>
          <w:rFonts w:ascii="Gill Sans MT" w:hAnsi="Gill Sans MT"/>
        </w:rPr>
        <w:t xml:space="preserve">, </w:t>
      </w:r>
      <w:r>
        <w:rPr>
          <w:rFonts w:ascii="Gill Sans MT" w:hAnsi="Gill Sans MT"/>
        </w:rPr>
        <w:t>as</w:t>
      </w:r>
      <w:r w:rsidRPr="00E35879">
        <w:rPr>
          <w:rFonts w:ascii="Gill Sans MT" w:hAnsi="Gill Sans MT"/>
        </w:rPr>
        <w:t xml:space="preserve"> </w:t>
      </w:r>
      <w:r>
        <w:rPr>
          <w:rFonts w:ascii="Gill Sans MT" w:hAnsi="Gill Sans MT"/>
        </w:rPr>
        <w:t>investor sentiment improved and as low new issuance volumes and repayments led to a pick-up in demand</w:t>
      </w:r>
      <w:r w:rsidRPr="00A03BE0">
        <w:rPr>
          <w:rFonts w:ascii="Gill Sans MT" w:hAnsi="Gill Sans MT"/>
        </w:rPr>
        <w:t>.</w:t>
      </w:r>
      <w:r w:rsidRPr="00A03BE0">
        <w:rPr>
          <w:rFonts w:ascii="Gill Sans MT" w:hAnsi="Gill Sans MT"/>
          <w:vertAlign w:val="superscript"/>
        </w:rPr>
        <w:t>(</w:t>
      </w:r>
      <w:r w:rsidRPr="00A03BE0">
        <w:rPr>
          <w:rStyle w:val="EndnoteReference"/>
          <w:rFonts w:ascii="Gill Sans MT" w:hAnsi="Gill Sans MT"/>
        </w:rPr>
        <w:endnoteReference w:id="25"/>
      </w:r>
      <w:r w:rsidRPr="00A03BE0">
        <w:rPr>
          <w:rFonts w:ascii="Gill Sans MT" w:hAnsi="Gill Sans MT"/>
          <w:vertAlign w:val="superscript"/>
        </w:rPr>
        <w:t>)</w:t>
      </w:r>
    </w:p>
    <w:p w:rsidR="00E8582A" w:rsidRPr="00031645" w:rsidRDefault="00E8582A" w:rsidP="003C2CA2">
      <w:pPr>
        <w:pStyle w:val="ListParagraph"/>
        <w:spacing w:before="120" w:after="0"/>
        <w:ind w:left="547"/>
        <w:rPr>
          <w:rFonts w:ascii="Gill Sans MT" w:hAnsi="Gill Sans MT"/>
          <w:sz w:val="16"/>
          <w:szCs w:val="16"/>
        </w:rPr>
      </w:pPr>
    </w:p>
    <w:p w:rsidR="00E8582A" w:rsidRPr="004463DE" w:rsidRDefault="00E8582A" w:rsidP="00490A6D">
      <w:pPr>
        <w:pStyle w:val="ListParagraph"/>
        <w:numPr>
          <w:ilvl w:val="0"/>
          <w:numId w:val="9"/>
        </w:numPr>
        <w:tabs>
          <w:tab w:val="left" w:pos="720"/>
        </w:tabs>
        <w:spacing w:after="120"/>
        <w:ind w:left="630"/>
        <w:rPr>
          <w:rFonts w:ascii="Gill Sans MT" w:hAnsi="Gill Sans MT"/>
        </w:rPr>
      </w:pPr>
      <w:r>
        <w:rPr>
          <w:rFonts w:ascii="Gill Sans MT" w:hAnsi="Gill Sans MT"/>
          <w:b/>
        </w:rPr>
        <w:t>U.S. loan issuance up on the quarter, European volumes subdued</w:t>
      </w:r>
      <w:r w:rsidRPr="007F1EF4">
        <w:rPr>
          <w:rFonts w:ascii="Gill Sans MT" w:hAnsi="Gill Sans MT"/>
          <w:b/>
        </w:rPr>
        <w:t>:</w:t>
      </w:r>
      <w:r>
        <w:rPr>
          <w:rFonts w:ascii="Gill Sans MT" w:hAnsi="Gill Sans MT"/>
          <w:b/>
        </w:rPr>
        <w:t xml:space="preserve"> </w:t>
      </w:r>
      <w:r w:rsidRPr="00C23547">
        <w:rPr>
          <w:rFonts w:ascii="Gill Sans MT" w:hAnsi="Gill Sans MT"/>
        </w:rPr>
        <w:t>Institutional</w:t>
      </w:r>
      <w:r>
        <w:rPr>
          <w:rFonts w:ascii="Gill Sans MT" w:hAnsi="Gill Sans MT"/>
        </w:rPr>
        <w:t xml:space="preserve"> U.S.</w:t>
      </w:r>
      <w:r w:rsidRPr="00C23547">
        <w:rPr>
          <w:rFonts w:ascii="Gill Sans MT" w:hAnsi="Gill Sans MT"/>
        </w:rPr>
        <w:t xml:space="preserve"> </w:t>
      </w:r>
      <w:r>
        <w:rPr>
          <w:rFonts w:ascii="Gill Sans MT" w:hAnsi="Gill Sans MT"/>
        </w:rPr>
        <w:t>loan issuance more than doubled to approximately $68.0 billion during Q1 2012, up from $25.5 billion</w:t>
      </w:r>
      <w:r w:rsidRPr="005021B7">
        <w:rPr>
          <w:rFonts w:ascii="Gill Sans MT" w:hAnsi="Gill Sans MT"/>
        </w:rPr>
        <w:t xml:space="preserve"> </w:t>
      </w:r>
      <w:r>
        <w:rPr>
          <w:rFonts w:ascii="Gill Sans MT" w:hAnsi="Gill Sans MT"/>
        </w:rPr>
        <w:t>in Q4 2011.</w:t>
      </w:r>
      <w:r w:rsidRPr="00092B87">
        <w:rPr>
          <w:rFonts w:ascii="Gill Sans MT" w:hAnsi="Gill Sans MT"/>
          <w:vertAlign w:val="superscript"/>
        </w:rPr>
        <w:t>(</w:t>
      </w:r>
      <w:r w:rsidRPr="00092B87">
        <w:rPr>
          <w:rStyle w:val="EndnoteReference"/>
          <w:rFonts w:ascii="Gill Sans MT" w:hAnsi="Gill Sans MT"/>
        </w:rPr>
        <w:endnoteReference w:id="26"/>
      </w:r>
      <w:r w:rsidRPr="00092B87">
        <w:rPr>
          <w:rFonts w:ascii="Gill Sans MT" w:hAnsi="Gill Sans MT"/>
          <w:vertAlign w:val="superscript"/>
        </w:rPr>
        <w:t>)</w:t>
      </w:r>
      <w:r>
        <w:rPr>
          <w:rFonts w:ascii="Gill Sans MT" w:hAnsi="Gill Sans MT"/>
          <w:vertAlign w:val="superscript"/>
        </w:rPr>
        <w:t xml:space="preserve">  </w:t>
      </w:r>
      <w:r>
        <w:rPr>
          <w:rFonts w:ascii="Gill Sans MT" w:hAnsi="Gill Sans MT"/>
        </w:rPr>
        <w:t>E</w:t>
      </w:r>
      <w:r w:rsidRPr="00910147">
        <w:rPr>
          <w:rFonts w:ascii="Gill Sans MT" w:hAnsi="Gill Sans MT"/>
        </w:rPr>
        <w:t>urope</w:t>
      </w:r>
      <w:r>
        <w:rPr>
          <w:rFonts w:ascii="Gill Sans MT" w:hAnsi="Gill Sans MT"/>
        </w:rPr>
        <w:t>an primary institutional loan issuance also rose modestly quarter-over-quarter, with €3.1 billion of leveraged loans issued in Q1 2012, compared with €2.6 billion in Q4 2012.</w:t>
      </w:r>
      <w:r w:rsidRPr="00092B87">
        <w:rPr>
          <w:rFonts w:ascii="Gill Sans MT" w:hAnsi="Gill Sans MT"/>
          <w:vertAlign w:val="superscript"/>
        </w:rPr>
        <w:t>(</w:t>
      </w:r>
      <w:r w:rsidRPr="00092B87">
        <w:rPr>
          <w:rStyle w:val="EndnoteReference"/>
          <w:rFonts w:ascii="Gill Sans MT" w:hAnsi="Gill Sans MT"/>
        </w:rPr>
        <w:endnoteReference w:id="27"/>
      </w:r>
      <w:r w:rsidRPr="00092B87">
        <w:rPr>
          <w:rFonts w:ascii="Gill Sans MT" w:hAnsi="Gill Sans MT"/>
          <w:vertAlign w:val="superscript"/>
        </w:rPr>
        <w:t>)</w:t>
      </w:r>
      <w:r>
        <w:rPr>
          <w:rFonts w:ascii="Gill Sans MT" w:hAnsi="Gill Sans MT"/>
          <w:vertAlign w:val="superscript"/>
        </w:rPr>
        <w:t xml:space="preserve">   </w:t>
      </w:r>
    </w:p>
    <w:p w:rsidR="00E8582A" w:rsidRPr="004B6601" w:rsidRDefault="00E8582A" w:rsidP="004B6601">
      <w:pPr>
        <w:pStyle w:val="ListParagraph"/>
        <w:rPr>
          <w:rFonts w:ascii="Gill Sans MT" w:hAnsi="Gill Sans MT"/>
          <w:sz w:val="16"/>
          <w:szCs w:val="16"/>
        </w:rPr>
      </w:pPr>
    </w:p>
    <w:p w:rsidR="00E8582A" w:rsidRPr="00084B31" w:rsidRDefault="00E8582A" w:rsidP="004B6601">
      <w:pPr>
        <w:pStyle w:val="ListParagraph"/>
        <w:numPr>
          <w:ilvl w:val="0"/>
          <w:numId w:val="9"/>
        </w:numPr>
        <w:tabs>
          <w:tab w:val="left" w:pos="630"/>
        </w:tabs>
        <w:spacing w:after="120"/>
        <w:ind w:left="630"/>
        <w:rPr>
          <w:rFonts w:ascii="Gill Sans MT" w:hAnsi="Gill Sans MT"/>
          <w:b/>
        </w:rPr>
      </w:pPr>
      <w:r>
        <w:rPr>
          <w:rFonts w:ascii="Gill Sans MT" w:hAnsi="Gill Sans MT"/>
          <w:b/>
        </w:rPr>
        <w:t xml:space="preserve">U.S. CLO </w:t>
      </w:r>
      <w:r w:rsidRPr="00084B31">
        <w:rPr>
          <w:rFonts w:ascii="Gill Sans MT" w:hAnsi="Gill Sans MT"/>
          <w:b/>
        </w:rPr>
        <w:t xml:space="preserve">O/C ratios improve </w:t>
      </w:r>
      <w:r>
        <w:rPr>
          <w:rFonts w:ascii="Gill Sans MT" w:hAnsi="Gill Sans MT"/>
          <w:b/>
        </w:rPr>
        <w:t xml:space="preserve">while </w:t>
      </w:r>
      <w:r w:rsidRPr="00084B31">
        <w:rPr>
          <w:rFonts w:ascii="Gill Sans MT" w:hAnsi="Gill Sans MT"/>
          <w:b/>
        </w:rPr>
        <w:t>Europe</w:t>
      </w:r>
      <w:r>
        <w:rPr>
          <w:rFonts w:ascii="Gill Sans MT" w:hAnsi="Gill Sans MT"/>
          <w:b/>
        </w:rPr>
        <w:t>an weakness continues</w:t>
      </w:r>
      <w:r w:rsidRPr="00084B31">
        <w:rPr>
          <w:rFonts w:ascii="Gill Sans MT" w:hAnsi="Gill Sans MT"/>
          <w:b/>
        </w:rPr>
        <w:t xml:space="preserve">: </w:t>
      </w:r>
      <w:r>
        <w:rPr>
          <w:rFonts w:ascii="Gill Sans MT" w:hAnsi="Gill Sans MT"/>
        </w:rPr>
        <w:t>During Q1</w:t>
      </w:r>
      <w:r w:rsidRPr="00084B31">
        <w:rPr>
          <w:rFonts w:ascii="Gill Sans MT" w:hAnsi="Gill Sans MT"/>
        </w:rPr>
        <w:t xml:space="preserve"> 201</w:t>
      </w:r>
      <w:r>
        <w:rPr>
          <w:rFonts w:ascii="Gill Sans MT" w:hAnsi="Gill Sans MT"/>
        </w:rPr>
        <w:t>2</w:t>
      </w:r>
      <w:r w:rsidRPr="00084B31">
        <w:rPr>
          <w:rFonts w:ascii="Gill Sans MT" w:hAnsi="Gill Sans MT"/>
        </w:rPr>
        <w:t xml:space="preserve">, O/C ratios of U.S. CLOs strengthened on average.  According to Morgan Stanley, the median junior O/C test cushion for U.S. CLOs increased to </w:t>
      </w:r>
      <w:r>
        <w:rPr>
          <w:rFonts w:ascii="Gill Sans MT" w:hAnsi="Gill Sans MT"/>
        </w:rPr>
        <w:t>4.09% as of March</w:t>
      </w:r>
      <w:r w:rsidRPr="00084B31">
        <w:rPr>
          <w:rFonts w:ascii="Gill Sans MT" w:hAnsi="Gill Sans MT"/>
        </w:rPr>
        <w:t xml:space="preserve"> 31, 201</w:t>
      </w:r>
      <w:r>
        <w:rPr>
          <w:rFonts w:ascii="Gill Sans MT" w:hAnsi="Gill Sans MT"/>
        </w:rPr>
        <w:t>2</w:t>
      </w:r>
      <w:r w:rsidRPr="00084B31">
        <w:rPr>
          <w:rFonts w:ascii="Gill Sans MT" w:hAnsi="Gill Sans MT"/>
          <w:vertAlign w:val="superscript"/>
        </w:rPr>
        <w:t xml:space="preserve"> (</w:t>
      </w:r>
      <w:r w:rsidRPr="00084B31">
        <w:rPr>
          <w:rStyle w:val="EndnoteReference"/>
          <w:rFonts w:ascii="Gill Sans MT" w:hAnsi="Gill Sans MT"/>
        </w:rPr>
        <w:endnoteReference w:id="28"/>
      </w:r>
      <w:r w:rsidRPr="00084B31">
        <w:rPr>
          <w:rFonts w:ascii="Gill Sans MT" w:hAnsi="Gill Sans MT"/>
          <w:vertAlign w:val="superscript"/>
        </w:rPr>
        <w:t xml:space="preserve">) </w:t>
      </w:r>
      <w:r w:rsidRPr="00084B31">
        <w:rPr>
          <w:rFonts w:ascii="Gill Sans MT" w:hAnsi="Gill Sans MT"/>
        </w:rPr>
        <w:t>up from 3.</w:t>
      </w:r>
      <w:r>
        <w:rPr>
          <w:rFonts w:ascii="Gill Sans MT" w:hAnsi="Gill Sans MT"/>
        </w:rPr>
        <w:t>88</w:t>
      </w:r>
      <w:r w:rsidRPr="00084B31">
        <w:rPr>
          <w:rFonts w:ascii="Gill Sans MT" w:hAnsi="Gill Sans MT"/>
        </w:rPr>
        <w:t>% as of the end of the prior quarter.</w:t>
      </w:r>
      <w:r w:rsidRPr="00084B31">
        <w:rPr>
          <w:rFonts w:ascii="Gill Sans MT" w:hAnsi="Gill Sans MT"/>
          <w:vertAlign w:val="superscript"/>
        </w:rPr>
        <w:t>(</w:t>
      </w:r>
      <w:r w:rsidRPr="00084B31">
        <w:rPr>
          <w:rStyle w:val="EndnoteReference"/>
          <w:rFonts w:ascii="Gill Sans MT" w:hAnsi="Gill Sans MT"/>
        </w:rPr>
        <w:endnoteReference w:id="29"/>
      </w:r>
      <w:r w:rsidRPr="00084B31">
        <w:rPr>
          <w:rFonts w:ascii="Gill Sans MT" w:hAnsi="Gill Sans MT"/>
          <w:vertAlign w:val="superscript"/>
        </w:rPr>
        <w:t>)</w:t>
      </w:r>
      <w:r w:rsidRPr="00084B31">
        <w:rPr>
          <w:rFonts w:ascii="Gill Sans MT" w:hAnsi="Gill Sans MT"/>
        </w:rPr>
        <w:t xml:space="preserve"> The median junior O/C test cushion for European CLOs, however, decreased to </w:t>
      </w:r>
      <w:r>
        <w:rPr>
          <w:rFonts w:ascii="Gill Sans MT" w:hAnsi="Gill Sans MT"/>
        </w:rPr>
        <w:t>0</w:t>
      </w:r>
      <w:r w:rsidRPr="00084B31">
        <w:rPr>
          <w:rFonts w:ascii="Gill Sans MT" w:hAnsi="Gill Sans MT"/>
        </w:rPr>
        <w:t>.</w:t>
      </w:r>
      <w:r>
        <w:rPr>
          <w:rFonts w:ascii="Gill Sans MT" w:hAnsi="Gill Sans MT"/>
        </w:rPr>
        <w:t>95</w:t>
      </w:r>
      <w:r w:rsidRPr="00084B31">
        <w:rPr>
          <w:rFonts w:ascii="Gill Sans MT" w:hAnsi="Gill Sans MT"/>
        </w:rPr>
        <w:t xml:space="preserve">% as of the end of </w:t>
      </w:r>
      <w:r>
        <w:rPr>
          <w:rFonts w:ascii="Gill Sans MT" w:hAnsi="Gill Sans MT"/>
        </w:rPr>
        <w:t>Q1</w:t>
      </w:r>
      <w:r w:rsidRPr="00084B31">
        <w:rPr>
          <w:rFonts w:ascii="Gill Sans MT" w:hAnsi="Gill Sans MT"/>
        </w:rPr>
        <w:t xml:space="preserve"> 201</w:t>
      </w:r>
      <w:r>
        <w:rPr>
          <w:rFonts w:ascii="Gill Sans MT" w:hAnsi="Gill Sans MT"/>
        </w:rPr>
        <w:t>2</w:t>
      </w:r>
      <w:r w:rsidRPr="00084B31">
        <w:rPr>
          <w:rFonts w:ascii="Gill Sans MT" w:hAnsi="Gill Sans MT"/>
        </w:rPr>
        <w:t>,</w:t>
      </w:r>
      <w:r w:rsidRPr="00084B31">
        <w:rPr>
          <w:rFonts w:ascii="Gill Sans MT" w:hAnsi="Gill Sans MT"/>
          <w:vertAlign w:val="superscript"/>
        </w:rPr>
        <w:t xml:space="preserve"> (</w:t>
      </w:r>
      <w:r w:rsidRPr="00084B31">
        <w:rPr>
          <w:rStyle w:val="EndnoteReference"/>
          <w:rFonts w:ascii="Gill Sans MT" w:hAnsi="Gill Sans MT"/>
        </w:rPr>
        <w:endnoteReference w:id="30"/>
      </w:r>
      <w:r w:rsidRPr="00084B31">
        <w:rPr>
          <w:rFonts w:ascii="Gill Sans MT" w:hAnsi="Gill Sans MT"/>
          <w:vertAlign w:val="superscript"/>
        </w:rPr>
        <w:t xml:space="preserve">) </w:t>
      </w:r>
      <w:r w:rsidRPr="00084B31">
        <w:rPr>
          <w:rFonts w:ascii="Gill Sans MT" w:hAnsi="Gill Sans MT"/>
        </w:rPr>
        <w:t xml:space="preserve">down from </w:t>
      </w:r>
      <w:r>
        <w:rPr>
          <w:rFonts w:ascii="Gill Sans MT" w:hAnsi="Gill Sans MT"/>
        </w:rPr>
        <w:t>1.76% as of the end of Q4</w:t>
      </w:r>
      <w:r w:rsidRPr="00084B31">
        <w:rPr>
          <w:rFonts w:ascii="Gill Sans MT" w:hAnsi="Gill Sans MT"/>
        </w:rPr>
        <w:t xml:space="preserve"> 2011.</w:t>
      </w:r>
      <w:r w:rsidRPr="00084B31">
        <w:rPr>
          <w:rFonts w:ascii="Gill Sans MT" w:hAnsi="Gill Sans MT"/>
          <w:vertAlign w:val="superscript"/>
        </w:rPr>
        <w:t>(</w:t>
      </w:r>
      <w:r w:rsidRPr="00084B31">
        <w:rPr>
          <w:rStyle w:val="EndnoteReference"/>
          <w:rFonts w:ascii="Gill Sans MT" w:hAnsi="Gill Sans MT"/>
        </w:rPr>
        <w:endnoteReference w:id="31"/>
      </w:r>
      <w:r w:rsidRPr="00084B31">
        <w:rPr>
          <w:rFonts w:ascii="Gill Sans MT" w:hAnsi="Gill Sans MT"/>
          <w:vertAlign w:val="superscript"/>
        </w:rPr>
        <w:t>)</w:t>
      </w:r>
    </w:p>
    <w:p w:rsidR="00E8582A" w:rsidRPr="00084B31" w:rsidRDefault="00E8582A" w:rsidP="00084B31">
      <w:pPr>
        <w:pStyle w:val="ListParagraph"/>
        <w:rPr>
          <w:rFonts w:ascii="Gill Sans MT" w:hAnsi="Gill Sans MT"/>
          <w:b/>
          <w:color w:val="FF0000"/>
          <w:sz w:val="16"/>
          <w:szCs w:val="16"/>
        </w:rPr>
      </w:pPr>
    </w:p>
    <w:p w:rsidR="00E8582A" w:rsidRPr="00E35879" w:rsidRDefault="00E8582A" w:rsidP="00084B31">
      <w:pPr>
        <w:pStyle w:val="ListParagraph"/>
        <w:numPr>
          <w:ilvl w:val="0"/>
          <w:numId w:val="9"/>
        </w:numPr>
        <w:tabs>
          <w:tab w:val="left" w:pos="630"/>
        </w:tabs>
        <w:spacing w:after="120"/>
        <w:ind w:left="630"/>
        <w:rPr>
          <w:rFonts w:ascii="Gill Sans MT" w:hAnsi="Gill Sans MT"/>
          <w:sz w:val="16"/>
          <w:szCs w:val="16"/>
        </w:rPr>
      </w:pPr>
      <w:r w:rsidRPr="00E35879">
        <w:rPr>
          <w:rFonts w:ascii="Gill Sans MT" w:hAnsi="Gill Sans MT"/>
          <w:b/>
        </w:rPr>
        <w:t>CLO debt prices post quarter-on-quarter gains</w:t>
      </w:r>
      <w:r w:rsidRPr="00E35879">
        <w:rPr>
          <w:rFonts w:ascii="Gill Sans MT" w:hAnsi="Gill Sans MT"/>
        </w:rPr>
        <w:t xml:space="preserve">: Average secondary U.S. CLO debt prices rose </w:t>
      </w:r>
      <w:r>
        <w:rPr>
          <w:rFonts w:ascii="Gill Sans MT" w:hAnsi="Gill Sans MT"/>
        </w:rPr>
        <w:t xml:space="preserve">across the capital structure </w:t>
      </w:r>
      <w:r w:rsidRPr="00E35879">
        <w:rPr>
          <w:rFonts w:ascii="Gill Sans MT" w:hAnsi="Gill Sans MT"/>
        </w:rPr>
        <w:t>at the end of Q</w:t>
      </w:r>
      <w:r>
        <w:rPr>
          <w:rFonts w:ascii="Gill Sans MT" w:hAnsi="Gill Sans MT"/>
        </w:rPr>
        <w:t>1</w:t>
      </w:r>
      <w:r w:rsidRPr="00E35879">
        <w:rPr>
          <w:rFonts w:ascii="Gill Sans MT" w:hAnsi="Gill Sans MT"/>
        </w:rPr>
        <w:t xml:space="preserve"> 201</w:t>
      </w:r>
      <w:r>
        <w:rPr>
          <w:rFonts w:ascii="Gill Sans MT" w:hAnsi="Gill Sans MT"/>
        </w:rPr>
        <w:t>2</w:t>
      </w:r>
      <w:r w:rsidRPr="00E35879">
        <w:rPr>
          <w:rFonts w:ascii="Gill Sans MT" w:hAnsi="Gill Sans MT"/>
        </w:rPr>
        <w:t xml:space="preserve"> versus the prior quarter</w:t>
      </w:r>
      <w:r>
        <w:rPr>
          <w:rFonts w:ascii="Gill Sans MT" w:hAnsi="Gill Sans MT"/>
        </w:rPr>
        <w:t>, with particularly significant price gains registered by mezzanine tranches, originally rated A to BB.</w:t>
      </w:r>
      <w:r w:rsidRPr="00E35879">
        <w:rPr>
          <w:rFonts w:ascii="Gill Sans MT" w:hAnsi="Gill Sans MT"/>
          <w:vertAlign w:val="superscript"/>
        </w:rPr>
        <w:t>(</w:t>
      </w:r>
      <w:r w:rsidRPr="00E35879">
        <w:rPr>
          <w:rStyle w:val="EndnoteReference"/>
          <w:rFonts w:ascii="Gill Sans MT" w:hAnsi="Gill Sans MT"/>
        </w:rPr>
        <w:endnoteReference w:id="32"/>
      </w:r>
      <w:r w:rsidRPr="00E35879">
        <w:rPr>
          <w:rFonts w:ascii="Gill Sans MT" w:hAnsi="Gill Sans MT"/>
          <w:vertAlign w:val="superscript"/>
        </w:rPr>
        <w:t xml:space="preserve">) </w:t>
      </w:r>
    </w:p>
    <w:p w:rsidR="00E8582A" w:rsidRPr="00B86CE5" w:rsidRDefault="00E8582A" w:rsidP="00E4644C">
      <w:pPr>
        <w:pStyle w:val="ListParagraph"/>
        <w:tabs>
          <w:tab w:val="left" w:pos="360"/>
        </w:tabs>
        <w:spacing w:after="0"/>
        <w:ind w:left="547"/>
        <w:rPr>
          <w:rFonts w:ascii="Gill Sans MT" w:hAnsi="Gill Sans MT"/>
          <w:color w:val="FF0000"/>
          <w:sz w:val="16"/>
          <w:szCs w:val="16"/>
        </w:rPr>
      </w:pPr>
    </w:p>
    <w:p w:rsidR="00E8582A" w:rsidRDefault="00E8582A" w:rsidP="001E73FD">
      <w:pPr>
        <w:pStyle w:val="Default"/>
        <w:numPr>
          <w:ilvl w:val="0"/>
          <w:numId w:val="9"/>
        </w:numPr>
        <w:ind w:left="630"/>
        <w:jc w:val="both"/>
        <w:rPr>
          <w:rFonts w:cs="Times New Roman"/>
          <w:color w:val="auto"/>
        </w:rPr>
      </w:pPr>
      <w:r w:rsidRPr="00EC02C2">
        <w:rPr>
          <w:b/>
          <w:color w:val="auto"/>
        </w:rPr>
        <w:t xml:space="preserve">Primary arbitrage CLO issuance momentum builds: </w:t>
      </w:r>
      <w:r>
        <w:rPr>
          <w:rFonts w:cs="Times New Roman"/>
          <w:color w:val="auto"/>
        </w:rPr>
        <w:t>U.S. arbitrage</w:t>
      </w:r>
      <w:r w:rsidRPr="00EC02C2">
        <w:rPr>
          <w:rFonts w:cs="Times New Roman"/>
          <w:color w:val="auto"/>
        </w:rPr>
        <w:t xml:space="preserve"> CLO issuance </w:t>
      </w:r>
      <w:r>
        <w:rPr>
          <w:rFonts w:cs="Times New Roman"/>
          <w:color w:val="auto"/>
        </w:rPr>
        <w:t xml:space="preserve">rose </w:t>
      </w:r>
      <w:r w:rsidRPr="00EC02C2">
        <w:rPr>
          <w:rFonts w:cs="Times New Roman"/>
          <w:color w:val="auto"/>
        </w:rPr>
        <w:t>during Q</w:t>
      </w:r>
      <w:r>
        <w:rPr>
          <w:rFonts w:cs="Times New Roman"/>
          <w:color w:val="auto"/>
        </w:rPr>
        <w:t>1</w:t>
      </w:r>
      <w:r w:rsidRPr="00EC02C2">
        <w:rPr>
          <w:rFonts w:cs="Times New Roman"/>
          <w:color w:val="auto"/>
        </w:rPr>
        <w:t xml:space="preserve"> 201</w:t>
      </w:r>
      <w:r>
        <w:rPr>
          <w:rFonts w:cs="Times New Roman"/>
          <w:color w:val="auto"/>
        </w:rPr>
        <w:t>2</w:t>
      </w:r>
      <w:r w:rsidRPr="00EC02C2">
        <w:rPr>
          <w:rFonts w:cs="Times New Roman"/>
          <w:color w:val="auto"/>
        </w:rPr>
        <w:t xml:space="preserve"> as </w:t>
      </w:r>
      <w:r>
        <w:rPr>
          <w:rFonts w:cs="Times New Roman"/>
          <w:color w:val="auto"/>
        </w:rPr>
        <w:t>16 t</w:t>
      </w:r>
      <w:r w:rsidRPr="00EC02C2">
        <w:rPr>
          <w:rFonts w:cs="Times New Roman"/>
          <w:color w:val="auto"/>
        </w:rPr>
        <w:t xml:space="preserve">ransactions totaling </w:t>
      </w:r>
      <w:r>
        <w:rPr>
          <w:rFonts w:cs="Times New Roman"/>
          <w:color w:val="auto"/>
        </w:rPr>
        <w:t xml:space="preserve">approximately </w:t>
      </w:r>
      <w:r w:rsidRPr="00EC02C2">
        <w:rPr>
          <w:rFonts w:cs="Times New Roman"/>
          <w:color w:val="auto"/>
        </w:rPr>
        <w:t>$</w:t>
      </w:r>
      <w:r>
        <w:rPr>
          <w:rFonts w:cs="Times New Roman"/>
          <w:color w:val="auto"/>
        </w:rPr>
        <w:t>6.4</w:t>
      </w:r>
      <w:r w:rsidRPr="00EC02C2">
        <w:rPr>
          <w:rFonts w:cs="Times New Roman"/>
          <w:color w:val="auto"/>
        </w:rPr>
        <w:t xml:space="preserve"> billion were priced</w:t>
      </w:r>
      <w:r>
        <w:rPr>
          <w:rFonts w:cs="Times New Roman"/>
          <w:color w:val="auto"/>
        </w:rPr>
        <w:t xml:space="preserve">, up from 10 </w:t>
      </w:r>
      <w:r w:rsidRPr="00EC02C2">
        <w:rPr>
          <w:rFonts w:cs="Times New Roman"/>
          <w:color w:val="auto"/>
        </w:rPr>
        <w:t>deals totaling $</w:t>
      </w:r>
      <w:r>
        <w:rPr>
          <w:rFonts w:cs="Times New Roman"/>
          <w:color w:val="auto"/>
        </w:rPr>
        <w:t>4.3</w:t>
      </w:r>
      <w:r w:rsidRPr="00EC02C2">
        <w:rPr>
          <w:rFonts w:cs="Times New Roman"/>
          <w:color w:val="auto"/>
        </w:rPr>
        <w:t xml:space="preserve"> billion issued during Q</w:t>
      </w:r>
      <w:r>
        <w:rPr>
          <w:rFonts w:cs="Times New Roman"/>
          <w:color w:val="auto"/>
        </w:rPr>
        <w:t>4</w:t>
      </w:r>
      <w:r w:rsidRPr="00EC02C2">
        <w:rPr>
          <w:rFonts w:cs="Times New Roman"/>
          <w:color w:val="auto"/>
        </w:rPr>
        <w:t xml:space="preserve"> 2011.</w:t>
      </w:r>
      <w:r w:rsidRPr="00EC02C2">
        <w:rPr>
          <w:rFonts w:cs="Times New Roman"/>
          <w:color w:val="auto"/>
          <w:vertAlign w:val="superscript"/>
        </w:rPr>
        <w:t>(</w:t>
      </w:r>
      <w:r w:rsidRPr="00EC02C2">
        <w:rPr>
          <w:rStyle w:val="EndnoteReference"/>
          <w:color w:val="auto"/>
        </w:rPr>
        <w:endnoteReference w:id="33"/>
      </w:r>
      <w:r w:rsidRPr="00EC02C2">
        <w:rPr>
          <w:rFonts w:cs="Times New Roman"/>
          <w:color w:val="auto"/>
          <w:vertAlign w:val="superscript"/>
        </w:rPr>
        <w:t xml:space="preserve">) </w:t>
      </w:r>
      <w:r>
        <w:rPr>
          <w:rFonts w:cs="Times New Roman"/>
          <w:color w:val="auto"/>
          <w:vertAlign w:val="superscript"/>
        </w:rPr>
        <w:t xml:space="preserve"> </w:t>
      </w:r>
      <w:r>
        <w:rPr>
          <w:rFonts w:cs="Times New Roman"/>
          <w:color w:val="auto"/>
        </w:rPr>
        <w:t xml:space="preserve">Furthermore, as noted by multiple research desks, the relative steepness of the current new issue U.S. CLO credit curve versus comparable asset classes leaves potential for both further spread tightening and credit curve flattening in new issue CLO spreads, which may be expected to support CLO issuance volumes by enhancing arbitrage levels. </w:t>
      </w:r>
    </w:p>
    <w:p w:rsidR="00E8582A" w:rsidRPr="00EB521E" w:rsidRDefault="00E8582A" w:rsidP="00EB521E">
      <w:pPr>
        <w:pStyle w:val="Default"/>
        <w:ind w:left="630"/>
        <w:jc w:val="both"/>
        <w:rPr>
          <w:rFonts w:cs="Times New Roman"/>
          <w:color w:val="auto"/>
          <w:sz w:val="16"/>
          <w:szCs w:val="16"/>
        </w:rPr>
      </w:pPr>
    </w:p>
    <w:p w:rsidR="00E8582A" w:rsidRPr="00F11A62" w:rsidRDefault="00E8582A" w:rsidP="00F11A62">
      <w:pPr>
        <w:pStyle w:val="ListParagraph"/>
        <w:numPr>
          <w:ilvl w:val="0"/>
          <w:numId w:val="9"/>
        </w:numPr>
        <w:tabs>
          <w:tab w:val="left" w:pos="630"/>
        </w:tabs>
        <w:spacing w:after="120"/>
        <w:ind w:left="630"/>
        <w:rPr>
          <w:rFonts w:ascii="Gill Sans MT" w:hAnsi="Gill Sans MT"/>
          <w:sz w:val="16"/>
          <w:szCs w:val="16"/>
        </w:rPr>
      </w:pPr>
      <w:r w:rsidRPr="004E4CB6">
        <w:rPr>
          <w:rFonts w:ascii="Gill Sans MT" w:hAnsi="Gill Sans MT"/>
          <w:b/>
        </w:rPr>
        <w:t>U.S. CLO equity</w:t>
      </w:r>
      <w:r>
        <w:rPr>
          <w:rFonts w:ascii="Gill Sans MT" w:hAnsi="Gill Sans MT"/>
          <w:b/>
        </w:rPr>
        <w:t xml:space="preserve"> distributions remain robust</w:t>
      </w:r>
      <w:r w:rsidRPr="004E4CB6">
        <w:rPr>
          <w:rFonts w:ascii="Gill Sans MT" w:hAnsi="Gill Sans MT"/>
          <w:b/>
        </w:rPr>
        <w:t xml:space="preserve">: </w:t>
      </w:r>
      <w:r w:rsidRPr="004E4CB6">
        <w:rPr>
          <w:rFonts w:ascii="Gill Sans MT" w:hAnsi="Gill Sans MT"/>
        </w:rPr>
        <w:t xml:space="preserve">U.S. CLO equity tranches saw continued </w:t>
      </w:r>
      <w:r>
        <w:rPr>
          <w:rFonts w:ascii="Gill Sans MT" w:hAnsi="Gill Sans MT"/>
        </w:rPr>
        <w:t xml:space="preserve">strong </w:t>
      </w:r>
      <w:r w:rsidRPr="004E4CB6">
        <w:rPr>
          <w:rFonts w:ascii="Gill Sans MT" w:hAnsi="Gill Sans MT"/>
        </w:rPr>
        <w:t xml:space="preserve">distributions, </w:t>
      </w:r>
      <w:r>
        <w:rPr>
          <w:rFonts w:ascii="Gill Sans MT" w:hAnsi="Gill Sans MT"/>
        </w:rPr>
        <w:t xml:space="preserve">supported by a low default environment, </w:t>
      </w:r>
      <w:r w:rsidRPr="004E4CB6">
        <w:rPr>
          <w:rFonts w:ascii="Gill Sans MT" w:hAnsi="Gill Sans MT"/>
        </w:rPr>
        <w:t>LIBOR floors, and the ability of managers to build excess spread and par via below-par reinvestments, among other factors.</w:t>
      </w:r>
    </w:p>
    <w:p w:rsidR="00E8582A" w:rsidRDefault="00E8582A" w:rsidP="000D0876">
      <w:pPr>
        <w:pStyle w:val="ListParagraph"/>
        <w:tabs>
          <w:tab w:val="left" w:pos="630"/>
        </w:tabs>
        <w:spacing w:after="120"/>
        <w:ind w:left="630"/>
        <w:rPr>
          <w:rFonts w:ascii="Gill Sans MT" w:hAnsi="Gill Sans MT"/>
          <w:color w:val="FF0000"/>
          <w:sz w:val="16"/>
          <w:szCs w:val="16"/>
        </w:rPr>
      </w:pPr>
    </w:p>
    <w:p w:rsidR="00E8582A" w:rsidRPr="00F02AB9" w:rsidRDefault="00E8582A" w:rsidP="002716BC">
      <w:pPr>
        <w:pStyle w:val="ListParagraph"/>
        <w:numPr>
          <w:ilvl w:val="0"/>
          <w:numId w:val="11"/>
        </w:numPr>
        <w:tabs>
          <w:tab w:val="left" w:pos="630"/>
        </w:tabs>
        <w:spacing w:after="120"/>
        <w:rPr>
          <w:rFonts w:ascii="Gill Sans MT" w:hAnsi="Gill Sans MT"/>
          <w:b/>
          <w:bCs/>
          <w:u w:val="single"/>
        </w:rPr>
      </w:pPr>
      <w:r w:rsidRPr="00F02AB9">
        <w:rPr>
          <w:rFonts w:ascii="Gill Sans MT" w:hAnsi="Gill Sans MT"/>
          <w:b/>
          <w:u w:val="single"/>
        </w:rPr>
        <w:t>Fair</w:t>
      </w:r>
      <w:r w:rsidRPr="00F02AB9">
        <w:rPr>
          <w:rFonts w:ascii="Gill Sans MT" w:hAnsi="Gill Sans MT"/>
          <w:b/>
          <w:bCs/>
          <w:u w:val="single"/>
        </w:rPr>
        <w:t xml:space="preserve"> Value Determination for TFG’s CLO</w:t>
      </w:r>
      <w:r>
        <w:rPr>
          <w:rFonts w:ascii="Gill Sans MT" w:hAnsi="Gill Sans MT"/>
          <w:b/>
          <w:bCs/>
          <w:u w:val="single"/>
        </w:rPr>
        <w:t xml:space="preserve"> Equity </w:t>
      </w:r>
      <w:r w:rsidRPr="00F02AB9">
        <w:rPr>
          <w:rFonts w:ascii="Gill Sans MT" w:hAnsi="Gill Sans MT"/>
          <w:b/>
          <w:bCs/>
          <w:u w:val="single"/>
        </w:rPr>
        <w:t>Investments</w:t>
      </w:r>
      <w:r w:rsidRPr="00F02AB9">
        <w:rPr>
          <w:rFonts w:ascii="Gill Sans MT" w:hAnsi="Gill Sans MT"/>
          <w:b/>
          <w:bCs/>
        </w:rPr>
        <w:t>:</w:t>
      </w:r>
    </w:p>
    <w:p w:rsidR="00E8582A" w:rsidRPr="00F02AB9" w:rsidRDefault="00E8582A" w:rsidP="002716BC">
      <w:pPr>
        <w:pStyle w:val="ListParagraph"/>
        <w:tabs>
          <w:tab w:val="left" w:pos="630"/>
        </w:tabs>
        <w:spacing w:after="120"/>
        <w:ind w:left="360"/>
        <w:rPr>
          <w:rFonts w:ascii="Gill Sans MT" w:hAnsi="Gill Sans MT"/>
          <w:b/>
          <w:bCs/>
          <w:sz w:val="12"/>
          <w:szCs w:val="12"/>
          <w:u w:val="single"/>
        </w:rPr>
      </w:pPr>
    </w:p>
    <w:p w:rsidR="00E8582A" w:rsidRDefault="00E8582A" w:rsidP="00E367E4">
      <w:pPr>
        <w:pStyle w:val="ListParagraph"/>
        <w:numPr>
          <w:ilvl w:val="0"/>
          <w:numId w:val="9"/>
        </w:numPr>
        <w:tabs>
          <w:tab w:val="left" w:pos="567"/>
        </w:tabs>
        <w:spacing w:after="120"/>
        <w:ind w:left="567"/>
        <w:rPr>
          <w:rFonts w:ascii="Gill Sans MT" w:hAnsi="Gill Sans MT"/>
        </w:rPr>
      </w:pPr>
      <w:r w:rsidRPr="005066F8">
        <w:rPr>
          <w:rFonts w:ascii="Gill Sans MT" w:hAnsi="Gill Sans MT"/>
        </w:rPr>
        <w:t xml:space="preserve">In accordance with the </w:t>
      </w:r>
      <w:r>
        <w:rPr>
          <w:rFonts w:ascii="Gill Sans MT" w:hAnsi="Gill Sans MT"/>
        </w:rPr>
        <w:t>TFG</w:t>
      </w:r>
      <w:r w:rsidRPr="005066F8">
        <w:rPr>
          <w:rFonts w:ascii="Gill Sans MT" w:hAnsi="Gill Sans MT"/>
        </w:rPr>
        <w:t xml:space="preserve">’s valuation policies as set forth on the company’s website, the values of TFG’s CLO </w:t>
      </w:r>
      <w:r>
        <w:rPr>
          <w:rFonts w:ascii="Gill Sans MT" w:hAnsi="Gill Sans MT"/>
        </w:rPr>
        <w:t xml:space="preserve">equity </w:t>
      </w:r>
      <w:r w:rsidRPr="005066F8">
        <w:rPr>
          <w:rFonts w:ascii="Gill Sans MT" w:hAnsi="Gill Sans MT"/>
        </w:rPr>
        <w:t xml:space="preserve">investments are determined using a third-party cash flow modeling tool. The model contains certain assumption inputs that are reviewed and adjusted as appropriate to factor in </w:t>
      </w:r>
      <w:r>
        <w:rPr>
          <w:rFonts w:ascii="Gill Sans MT" w:hAnsi="Gill Sans MT"/>
        </w:rPr>
        <w:t xml:space="preserve">how </w:t>
      </w:r>
      <w:r w:rsidRPr="005066F8">
        <w:rPr>
          <w:rFonts w:ascii="Gill Sans MT" w:hAnsi="Gill Sans MT"/>
        </w:rPr>
        <w:t xml:space="preserve">historic, current and </w:t>
      </w:r>
      <w:r>
        <w:rPr>
          <w:rFonts w:ascii="Gill Sans MT" w:hAnsi="Gill Sans MT"/>
        </w:rPr>
        <w:t xml:space="preserve">potential market developments (examined through, for example, forward-looking observable data) might </w:t>
      </w:r>
      <w:r w:rsidRPr="005066F8">
        <w:rPr>
          <w:rFonts w:ascii="Gill Sans MT" w:hAnsi="Gill Sans MT"/>
        </w:rPr>
        <w:t>potential</w:t>
      </w:r>
      <w:r>
        <w:rPr>
          <w:rFonts w:ascii="Gill Sans MT" w:hAnsi="Gill Sans MT"/>
        </w:rPr>
        <w:t>ly impact</w:t>
      </w:r>
      <w:r w:rsidRPr="005066F8">
        <w:rPr>
          <w:rFonts w:ascii="Gill Sans MT" w:hAnsi="Gill Sans MT"/>
        </w:rPr>
        <w:t xml:space="preserve"> the performance of TFG’s CLO </w:t>
      </w:r>
      <w:r>
        <w:rPr>
          <w:rFonts w:ascii="Gill Sans MT" w:hAnsi="Gill Sans MT"/>
        </w:rPr>
        <w:t xml:space="preserve">equity </w:t>
      </w:r>
      <w:r w:rsidRPr="005066F8">
        <w:rPr>
          <w:rFonts w:ascii="Gill Sans MT" w:hAnsi="Gill Sans MT"/>
        </w:rPr>
        <w:t xml:space="preserve">investments. Since this involves modeling, among other things, forward projections over multiple years, this is not an exercise in recalibrating future assumptions to the latest quarter’s historical data. </w:t>
      </w:r>
    </w:p>
    <w:p w:rsidR="00E8582A" w:rsidRPr="004226CB" w:rsidRDefault="00E8582A" w:rsidP="00F11A62">
      <w:pPr>
        <w:pStyle w:val="ListParagraph"/>
        <w:tabs>
          <w:tab w:val="left" w:pos="567"/>
        </w:tabs>
        <w:spacing w:after="120"/>
        <w:ind w:left="567"/>
        <w:rPr>
          <w:rFonts w:ascii="Gill Sans MT" w:hAnsi="Gill Sans MT"/>
          <w:sz w:val="16"/>
          <w:szCs w:val="16"/>
        </w:rPr>
      </w:pPr>
    </w:p>
    <w:p w:rsidR="00E8582A" w:rsidRPr="00F11A62" w:rsidRDefault="00E8582A" w:rsidP="00F11A62">
      <w:pPr>
        <w:pStyle w:val="ListParagraph"/>
        <w:numPr>
          <w:ilvl w:val="0"/>
          <w:numId w:val="9"/>
        </w:numPr>
        <w:tabs>
          <w:tab w:val="left" w:pos="567"/>
        </w:tabs>
        <w:spacing w:after="120"/>
        <w:ind w:left="567"/>
        <w:rPr>
          <w:rFonts w:ascii="Gill Sans MT" w:hAnsi="Gill Sans MT"/>
        </w:rPr>
      </w:pPr>
      <w:r w:rsidRPr="00BA3155">
        <w:rPr>
          <w:rFonts w:ascii="Gill Sans MT" w:hAnsi="Gill Sans MT"/>
        </w:rPr>
        <w:t>Subject to the foregoing, when determining the U.S. GAAP-compliant fair</w:t>
      </w:r>
      <w:r>
        <w:rPr>
          <w:rFonts w:ascii="Gill Sans MT" w:hAnsi="Gill Sans MT"/>
        </w:rPr>
        <w:t xml:space="preserve"> value of TFG’s portfolio, the c</w:t>
      </w:r>
      <w:r w:rsidRPr="00BA3155">
        <w:rPr>
          <w:rFonts w:ascii="Gill Sans MT" w:hAnsi="Gill Sans MT"/>
        </w:rPr>
        <w:t>ompany seeks to derive a value at which market participants could transact in an orderly market and also seeks to benchmark the model inputs and resulting outputs to observable market data when available and appropriate.</w:t>
      </w:r>
      <w:r>
        <w:rPr>
          <w:rFonts w:ascii="GillSansMT" w:hAnsi="GillSansMT"/>
          <w:sz w:val="20"/>
          <w:szCs w:val="20"/>
        </w:rPr>
        <w:t xml:space="preserve"> </w:t>
      </w:r>
      <w:r>
        <w:rPr>
          <w:rFonts w:ascii="Gill Sans MT" w:hAnsi="Gill Sans MT"/>
        </w:rPr>
        <w:t>Please refer to the Annual Report for a more detailed description of the cash flow projection and discounting process.</w:t>
      </w:r>
    </w:p>
    <w:p w:rsidR="00E8582A" w:rsidRPr="0021313E" w:rsidRDefault="00E8582A" w:rsidP="00E367E4">
      <w:pPr>
        <w:pStyle w:val="ListParagraph"/>
        <w:tabs>
          <w:tab w:val="left" w:pos="630"/>
        </w:tabs>
        <w:spacing w:after="120"/>
        <w:ind w:left="630"/>
        <w:rPr>
          <w:rFonts w:ascii="Gill Sans MT" w:hAnsi="Gill Sans MT"/>
          <w:sz w:val="16"/>
          <w:szCs w:val="16"/>
        </w:rPr>
      </w:pPr>
    </w:p>
    <w:p w:rsidR="00E8582A" w:rsidRPr="002716BC" w:rsidRDefault="00E8582A" w:rsidP="006C71C8">
      <w:pPr>
        <w:pStyle w:val="ListParagraph"/>
        <w:numPr>
          <w:ilvl w:val="0"/>
          <w:numId w:val="11"/>
        </w:numPr>
        <w:tabs>
          <w:tab w:val="left" w:pos="630"/>
        </w:tabs>
        <w:spacing w:after="0"/>
        <w:rPr>
          <w:rFonts w:ascii="Gill Sans MT" w:hAnsi="Gill Sans MT"/>
          <w:b/>
          <w:bCs/>
          <w:u w:val="single"/>
        </w:rPr>
      </w:pPr>
      <w:r w:rsidRPr="002716BC">
        <w:rPr>
          <w:rFonts w:ascii="Gill Sans MT" w:hAnsi="Gill Sans MT"/>
          <w:b/>
          <w:bCs/>
          <w:u w:val="single"/>
        </w:rPr>
        <w:t xml:space="preserve">Forward-looking </w:t>
      </w:r>
      <w:r>
        <w:rPr>
          <w:rFonts w:ascii="Gill Sans MT" w:hAnsi="Gill Sans MT"/>
          <w:b/>
          <w:bCs/>
          <w:u w:val="single"/>
        </w:rPr>
        <w:t>CLO Equity Cash F</w:t>
      </w:r>
      <w:r w:rsidRPr="002716BC">
        <w:rPr>
          <w:rFonts w:ascii="Gill Sans MT" w:hAnsi="Gill Sans MT"/>
          <w:b/>
          <w:bCs/>
          <w:u w:val="single"/>
        </w:rPr>
        <w:t xml:space="preserve">low </w:t>
      </w:r>
      <w:r>
        <w:rPr>
          <w:rFonts w:ascii="Gill Sans MT" w:hAnsi="Gill Sans MT"/>
          <w:b/>
          <w:bCs/>
          <w:u w:val="single"/>
        </w:rPr>
        <w:t>M</w:t>
      </w:r>
      <w:r w:rsidRPr="002716BC">
        <w:rPr>
          <w:rFonts w:ascii="Gill Sans MT" w:hAnsi="Gill Sans MT"/>
          <w:b/>
          <w:bCs/>
          <w:u w:val="single"/>
        </w:rPr>
        <w:t xml:space="preserve">odeling </w:t>
      </w:r>
      <w:r>
        <w:rPr>
          <w:rFonts w:ascii="Gill Sans MT" w:hAnsi="Gill Sans MT"/>
          <w:b/>
          <w:bCs/>
          <w:u w:val="single"/>
        </w:rPr>
        <w:t>A</w:t>
      </w:r>
      <w:r w:rsidRPr="002716BC">
        <w:rPr>
          <w:rFonts w:ascii="Gill Sans MT" w:hAnsi="Gill Sans MT"/>
          <w:b/>
          <w:bCs/>
          <w:u w:val="single"/>
        </w:rPr>
        <w:t xml:space="preserve">ssumptions </w:t>
      </w:r>
      <w:r>
        <w:rPr>
          <w:rFonts w:ascii="Gill Sans MT" w:hAnsi="Gill Sans MT"/>
          <w:b/>
          <w:bCs/>
          <w:u w:val="single"/>
        </w:rPr>
        <w:t>Unchanged vs.</w:t>
      </w:r>
      <w:r w:rsidRPr="002716BC">
        <w:rPr>
          <w:rFonts w:ascii="Gill Sans MT" w:hAnsi="Gill Sans MT"/>
          <w:b/>
          <w:bCs/>
          <w:u w:val="single"/>
        </w:rPr>
        <w:t xml:space="preserve"> Q</w:t>
      </w:r>
      <w:r>
        <w:rPr>
          <w:rFonts w:ascii="Gill Sans MT" w:hAnsi="Gill Sans MT"/>
          <w:b/>
          <w:bCs/>
          <w:u w:val="single"/>
        </w:rPr>
        <w:t>4 2011:</w:t>
      </w:r>
    </w:p>
    <w:p w:rsidR="00E8582A" w:rsidRPr="006C71C8" w:rsidRDefault="00E8582A" w:rsidP="007612C3">
      <w:pPr>
        <w:pStyle w:val="ListParagraph"/>
        <w:spacing w:after="0"/>
        <w:rPr>
          <w:rFonts w:ascii="Gill Sans MT" w:hAnsi="Gill Sans MT"/>
          <w:b/>
          <w:bCs/>
          <w:sz w:val="12"/>
          <w:szCs w:val="12"/>
        </w:rPr>
      </w:pPr>
    </w:p>
    <w:p w:rsidR="00E8582A" w:rsidRPr="00E367E4" w:rsidRDefault="00E8582A" w:rsidP="00E367E4">
      <w:pPr>
        <w:pStyle w:val="ListParagraph"/>
        <w:numPr>
          <w:ilvl w:val="0"/>
          <w:numId w:val="9"/>
        </w:numPr>
        <w:tabs>
          <w:tab w:val="left" w:pos="567"/>
        </w:tabs>
        <w:spacing w:after="0"/>
        <w:ind w:left="567" w:hanging="293"/>
        <w:rPr>
          <w:rFonts w:ascii="Gill Sans MT" w:hAnsi="Gill Sans MT"/>
          <w:sz w:val="16"/>
          <w:szCs w:val="16"/>
        </w:rPr>
      </w:pPr>
      <w:r w:rsidRPr="00E367E4">
        <w:rPr>
          <w:rFonts w:ascii="Gill Sans MT" w:hAnsi="Gill Sans MT"/>
        </w:rPr>
        <w:t xml:space="preserve">The Investment Manager reviews, and adjusts in consultation with </w:t>
      </w:r>
      <w:r>
        <w:rPr>
          <w:rFonts w:ascii="Gill Sans MT" w:hAnsi="Gill Sans MT"/>
        </w:rPr>
        <w:t>TFG</w:t>
      </w:r>
      <w:r w:rsidRPr="00E367E4">
        <w:rPr>
          <w:rFonts w:ascii="Gill Sans MT" w:hAnsi="Gill Sans MT"/>
        </w:rPr>
        <w:t xml:space="preserve">’s audit committee, as appropriate, the CLO equity investment portfolio’s modeling assumptions </w:t>
      </w:r>
      <w:r>
        <w:rPr>
          <w:rFonts w:ascii="Gill Sans MT" w:hAnsi="Gill Sans MT"/>
        </w:rPr>
        <w:t>as described above. At the end of Q1</w:t>
      </w:r>
      <w:r w:rsidRPr="008A6E8A">
        <w:rPr>
          <w:rFonts w:ascii="Gill Sans MT" w:hAnsi="Gill Sans MT"/>
        </w:rPr>
        <w:t xml:space="preserve"> 201</w:t>
      </w:r>
      <w:r>
        <w:rPr>
          <w:rFonts w:ascii="Gill Sans MT" w:hAnsi="Gill Sans MT"/>
        </w:rPr>
        <w:t>2</w:t>
      </w:r>
      <w:r w:rsidRPr="008A6E8A">
        <w:rPr>
          <w:rFonts w:ascii="Gill Sans MT" w:hAnsi="Gill Sans MT"/>
        </w:rPr>
        <w:t xml:space="preserve">, </w:t>
      </w:r>
      <w:r>
        <w:rPr>
          <w:rFonts w:ascii="Gill Sans MT" w:hAnsi="Gill Sans MT"/>
        </w:rPr>
        <w:t>these key assumptions were unchanged from the previous quarter.</w:t>
      </w:r>
    </w:p>
    <w:p w:rsidR="00E8582A" w:rsidRPr="004226CB" w:rsidRDefault="00E8582A" w:rsidP="00E07A6E">
      <w:pPr>
        <w:tabs>
          <w:tab w:val="left" w:pos="567"/>
          <w:tab w:val="left" w:pos="630"/>
        </w:tabs>
        <w:spacing w:after="0"/>
        <w:rPr>
          <w:rFonts w:ascii="Gill Sans MT" w:hAnsi="Gill Sans MT"/>
          <w:sz w:val="16"/>
          <w:szCs w:val="16"/>
        </w:rPr>
      </w:pPr>
    </w:p>
    <w:p w:rsidR="00E8582A" w:rsidRPr="00E367E4" w:rsidRDefault="00E8582A" w:rsidP="00E367E4">
      <w:pPr>
        <w:pStyle w:val="ListParagraph"/>
        <w:numPr>
          <w:ilvl w:val="0"/>
          <w:numId w:val="9"/>
        </w:numPr>
        <w:tabs>
          <w:tab w:val="left" w:pos="567"/>
        </w:tabs>
        <w:ind w:left="567"/>
        <w:rPr>
          <w:rFonts w:ascii="Gill Sans MT" w:hAnsi="Gill Sans MT"/>
        </w:rPr>
      </w:pPr>
      <w:r w:rsidRPr="00E367E4">
        <w:rPr>
          <w:rFonts w:ascii="Gill Sans MT" w:hAnsi="Gill Sans MT"/>
        </w:rPr>
        <w:t xml:space="preserve">The key average assumption variables have been </w:t>
      </w:r>
      <w:r>
        <w:rPr>
          <w:rFonts w:ascii="Gill Sans MT" w:hAnsi="Gill Sans MT"/>
        </w:rPr>
        <w:t xml:space="preserve">summarized in the table below. </w:t>
      </w:r>
      <w:r w:rsidRPr="00E367E4">
        <w:rPr>
          <w:rFonts w:ascii="Gill Sans MT" w:hAnsi="Gill Sans MT"/>
        </w:rPr>
        <w:t>The modeling assumptions disclosed below are a weighted average (by U.S. dollar amount) of the individual deal assumptions, aggregated by geography (i.e., U.S. and European). Each individual deal’s assumptions may differ from this geographical average and vary across the portfolio.</w:t>
      </w:r>
    </w:p>
    <w:p w:rsidR="00E8582A" w:rsidRDefault="00E8582A">
      <w:pPr>
        <w:spacing w:after="0"/>
        <w:jc w:val="left"/>
        <w:rPr>
          <w:rFonts w:ascii="Gill Sans MT" w:hAnsi="Gill Sans MT"/>
          <w:b/>
          <w:bCs/>
          <w:u w:val="single"/>
        </w:rPr>
      </w:pPr>
    </w:p>
    <w:p w:rsidR="00E8582A" w:rsidRPr="00FC591E" w:rsidRDefault="00E8582A" w:rsidP="008A6E8A">
      <w:pPr>
        <w:tabs>
          <w:tab w:val="left" w:pos="630"/>
        </w:tabs>
        <w:spacing w:after="0"/>
        <w:ind w:left="180" w:firstLine="90"/>
        <w:rPr>
          <w:rFonts w:ascii="Gill Sans MT" w:hAnsi="Gill Sans MT"/>
          <w:b/>
          <w:bCs/>
          <w:u w:val="single"/>
        </w:rPr>
      </w:pPr>
      <w:r>
        <w:rPr>
          <w:rFonts w:ascii="Gill Sans MT" w:hAnsi="Gill Sans MT"/>
          <w:b/>
          <w:bCs/>
          <w:u w:val="single"/>
        </w:rPr>
        <w:t xml:space="preserve">U.S. CLOs – Unchanged </w:t>
      </w:r>
    </w:p>
    <w:p w:rsidR="00E8582A" w:rsidRPr="000101DF" w:rsidRDefault="00E8582A" w:rsidP="008A6E8A">
      <w:pPr>
        <w:pStyle w:val="ListParagraph"/>
        <w:spacing w:after="0"/>
        <w:rPr>
          <w:rFonts w:ascii="Gill Sans MT" w:hAnsi="Gill Sans MT"/>
          <w:sz w:val="16"/>
          <w:szCs w:val="16"/>
        </w:rPr>
      </w:pPr>
    </w:p>
    <w:tbl>
      <w:tblPr>
        <w:tblW w:w="10201"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3060"/>
        <w:gridCol w:w="4164"/>
      </w:tblGrid>
      <w:tr w:rsidR="00E8582A" w:rsidRPr="00551DD2" w:rsidTr="00DD2F28">
        <w:trPr>
          <w:jc w:val="center"/>
        </w:trPr>
        <w:tc>
          <w:tcPr>
            <w:tcW w:w="2977" w:type="dxa"/>
            <w:shd w:val="clear" w:color="auto" w:fill="1F4D4D"/>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rPr>
              <w:t xml:space="preserve"> </w:t>
            </w:r>
            <w:r w:rsidRPr="00DD2F28">
              <w:rPr>
                <w:rFonts w:ascii="Gill Sans MT" w:hAnsi="Gill Sans MT"/>
                <w:b/>
                <w:color w:val="FFFFFF"/>
                <w:sz w:val="20"/>
                <w:szCs w:val="20"/>
              </w:rPr>
              <w:t>Variable</w:t>
            </w:r>
          </w:p>
        </w:tc>
        <w:tc>
          <w:tcPr>
            <w:tcW w:w="3060" w:type="dxa"/>
            <w:shd w:val="clear" w:color="auto" w:fill="1F4D4D"/>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b/>
                <w:color w:val="FFFFFF"/>
                <w:sz w:val="20"/>
                <w:szCs w:val="20"/>
              </w:rPr>
              <w:t>Year</w:t>
            </w:r>
          </w:p>
        </w:tc>
        <w:tc>
          <w:tcPr>
            <w:tcW w:w="4164" w:type="dxa"/>
            <w:shd w:val="clear" w:color="auto" w:fill="1F4D4D"/>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b/>
                <w:color w:val="FFFFFF"/>
                <w:sz w:val="20"/>
                <w:szCs w:val="20"/>
              </w:rPr>
              <w:t>Current  Assumptions</w:t>
            </w:r>
          </w:p>
        </w:tc>
      </w:tr>
      <w:tr w:rsidR="00E8582A" w:rsidRPr="00C46E90" w:rsidTr="00DD2F28">
        <w:trPr>
          <w:jc w:val="center"/>
        </w:trPr>
        <w:tc>
          <w:tcPr>
            <w:tcW w:w="10201" w:type="dxa"/>
            <w:gridSpan w:val="3"/>
            <w:shd w:val="pct10" w:color="auto" w:fill="auto"/>
          </w:tcPr>
          <w:p w:rsidR="00E8582A" w:rsidRPr="00DD2F28" w:rsidRDefault="00E8582A" w:rsidP="00DD2F28">
            <w:pPr>
              <w:spacing w:line="300" w:lineRule="exact"/>
              <w:rPr>
                <w:rFonts w:ascii="Gill Sans MT" w:hAnsi="Gill Sans MT"/>
                <w:sz w:val="20"/>
                <w:szCs w:val="20"/>
              </w:rPr>
            </w:pPr>
            <w:r w:rsidRPr="00DD2F28">
              <w:rPr>
                <w:rFonts w:ascii="Gill Sans MT" w:hAnsi="Gill Sans MT"/>
                <w:b/>
                <w:sz w:val="20"/>
                <w:szCs w:val="20"/>
              </w:rPr>
              <w:t xml:space="preserve">CADR </w:t>
            </w:r>
          </w:p>
        </w:tc>
      </w:tr>
      <w:tr w:rsidR="00E8582A" w:rsidRPr="00275C02" w:rsidTr="00DD2F28">
        <w:trPr>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2012-2013</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1.0x WARF-implied default rate (2.2%) </w:t>
            </w:r>
          </w:p>
        </w:tc>
      </w:tr>
      <w:tr w:rsidR="00E8582A" w:rsidRPr="00275C02" w:rsidTr="00DD2F28">
        <w:trPr>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2014</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1.5x WARF-implied default rate (3.3%) </w:t>
            </w:r>
          </w:p>
        </w:tc>
      </w:tr>
      <w:tr w:rsidR="00E8582A" w:rsidRPr="00275C02" w:rsidTr="00DD2F28">
        <w:trPr>
          <w:trHeight w:val="161"/>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2015-2016</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1.5x WARF-implied default rate (3.3%)</w:t>
            </w:r>
          </w:p>
        </w:tc>
      </w:tr>
      <w:tr w:rsidR="00E8582A" w:rsidRPr="00275C02" w:rsidTr="00DD2F28">
        <w:trPr>
          <w:trHeight w:val="161"/>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Thereafter</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1.0x WARF-implied default rate (2.2%) </w:t>
            </w:r>
          </w:p>
        </w:tc>
      </w:tr>
      <w:tr w:rsidR="00E8582A" w:rsidRPr="00C46E90" w:rsidTr="00DD2F28">
        <w:trPr>
          <w:jc w:val="center"/>
        </w:trPr>
        <w:tc>
          <w:tcPr>
            <w:tcW w:w="1020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 xml:space="preserve">Recovery Rate </w:t>
            </w:r>
          </w:p>
        </w:tc>
      </w:tr>
      <w:tr w:rsidR="00E8582A" w:rsidRPr="00275C02" w:rsidTr="00DD2F28">
        <w:trPr>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jc w:val="left"/>
              <w:rPr>
                <w:rFonts w:ascii="Gill Sans MT" w:hAnsi="Gill Sans MT"/>
                <w:b/>
                <w:sz w:val="20"/>
                <w:szCs w:val="20"/>
              </w:rPr>
            </w:pPr>
            <w:r w:rsidRPr="00DD2F28">
              <w:rPr>
                <w:rFonts w:ascii="Gill Sans MT" w:hAnsi="Gill Sans MT"/>
                <w:b/>
                <w:sz w:val="20"/>
                <w:szCs w:val="20"/>
              </w:rPr>
              <w:t>Until deal maturity</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72%   </w:t>
            </w:r>
          </w:p>
        </w:tc>
      </w:tr>
      <w:tr w:rsidR="00E8582A" w:rsidRPr="00C46E90" w:rsidTr="00DD2F28">
        <w:trPr>
          <w:jc w:val="center"/>
        </w:trPr>
        <w:tc>
          <w:tcPr>
            <w:tcW w:w="1020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Prepayment Rate</w:t>
            </w:r>
          </w:p>
        </w:tc>
      </w:tr>
      <w:tr w:rsidR="00E8582A" w:rsidRPr="00275C02" w:rsidTr="00DD2F28">
        <w:trPr>
          <w:trHeight w:val="107"/>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jc w:val="left"/>
              <w:rPr>
                <w:rFonts w:ascii="Gill Sans MT" w:hAnsi="Gill Sans MT"/>
                <w:b/>
                <w:sz w:val="20"/>
                <w:szCs w:val="20"/>
              </w:rPr>
            </w:pPr>
            <w:r w:rsidRPr="00DD2F28">
              <w:rPr>
                <w:rFonts w:ascii="Gill Sans MT" w:hAnsi="Gill Sans MT"/>
                <w:b/>
                <w:sz w:val="20"/>
                <w:szCs w:val="20"/>
              </w:rPr>
              <w:t>Until deal maturity</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20.0% p.a. on loans; 0.0% on bonds</w:t>
            </w:r>
          </w:p>
        </w:tc>
      </w:tr>
      <w:tr w:rsidR="00E8582A" w:rsidRPr="00C46E90" w:rsidTr="00DD2F28">
        <w:trPr>
          <w:trHeight w:val="107"/>
          <w:jc w:val="center"/>
        </w:trPr>
        <w:tc>
          <w:tcPr>
            <w:tcW w:w="1020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Reinvestment Price</w:t>
            </w:r>
          </w:p>
        </w:tc>
      </w:tr>
      <w:tr w:rsidR="00E8582A" w:rsidRPr="00275C02" w:rsidTr="00DD2F28">
        <w:trPr>
          <w:trHeight w:val="107"/>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2012</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98%</w:t>
            </w:r>
          </w:p>
        </w:tc>
      </w:tr>
      <w:tr w:rsidR="00E8582A" w:rsidRPr="00275C02" w:rsidTr="00DD2F28">
        <w:trPr>
          <w:trHeight w:val="107"/>
          <w:jc w:val="center"/>
        </w:trPr>
        <w:tc>
          <w:tcPr>
            <w:tcW w:w="2977" w:type="dxa"/>
          </w:tcPr>
          <w:p w:rsidR="00E8582A" w:rsidRPr="00DD2F28" w:rsidRDefault="00E8582A" w:rsidP="00DD2F28">
            <w:pPr>
              <w:spacing w:after="20" w:line="300" w:lineRule="exact"/>
              <w:rPr>
                <w:rFonts w:ascii="Gill Sans MT" w:hAnsi="Gill Sans MT"/>
                <w:b/>
                <w:sz w:val="20"/>
                <w:szCs w:val="20"/>
              </w:rPr>
            </w:pPr>
          </w:p>
        </w:tc>
        <w:tc>
          <w:tcPr>
            <w:tcW w:w="3060"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Thereafter</w:t>
            </w:r>
          </w:p>
        </w:tc>
        <w:tc>
          <w:tcPr>
            <w:tcW w:w="4164"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100%</w:t>
            </w:r>
          </w:p>
        </w:tc>
      </w:tr>
    </w:tbl>
    <w:p w:rsidR="00E8582A" w:rsidRDefault="00E8582A" w:rsidP="008A6E8A">
      <w:pPr>
        <w:pStyle w:val="ListParagraph"/>
        <w:tabs>
          <w:tab w:val="left" w:pos="450"/>
        </w:tabs>
        <w:spacing w:after="0"/>
        <w:ind w:left="446"/>
        <w:rPr>
          <w:rFonts w:ascii="Gill Sans MT" w:hAnsi="Gill Sans MT"/>
          <w:sz w:val="20"/>
          <w:szCs w:val="20"/>
        </w:rPr>
      </w:pPr>
    </w:p>
    <w:p w:rsidR="00E8582A" w:rsidRPr="002716BC" w:rsidRDefault="00E8582A" w:rsidP="006B1119">
      <w:pPr>
        <w:pStyle w:val="ListParagraph"/>
        <w:numPr>
          <w:ilvl w:val="0"/>
          <w:numId w:val="11"/>
        </w:numPr>
        <w:tabs>
          <w:tab w:val="left" w:pos="630"/>
        </w:tabs>
        <w:spacing w:after="0"/>
        <w:rPr>
          <w:rFonts w:ascii="Gill Sans MT" w:hAnsi="Gill Sans MT"/>
          <w:b/>
          <w:bCs/>
          <w:u w:val="single"/>
        </w:rPr>
      </w:pPr>
      <w:r w:rsidRPr="002716BC">
        <w:rPr>
          <w:rFonts w:ascii="Gill Sans MT" w:hAnsi="Gill Sans MT"/>
          <w:b/>
          <w:bCs/>
          <w:u w:val="single"/>
        </w:rPr>
        <w:t xml:space="preserve">Forward-looking </w:t>
      </w:r>
      <w:r>
        <w:rPr>
          <w:rFonts w:ascii="Gill Sans MT" w:hAnsi="Gill Sans MT"/>
          <w:b/>
          <w:bCs/>
          <w:u w:val="single"/>
        </w:rPr>
        <w:t>CLO Equity Cash F</w:t>
      </w:r>
      <w:r w:rsidRPr="002716BC">
        <w:rPr>
          <w:rFonts w:ascii="Gill Sans MT" w:hAnsi="Gill Sans MT"/>
          <w:b/>
          <w:bCs/>
          <w:u w:val="single"/>
        </w:rPr>
        <w:t xml:space="preserve">low </w:t>
      </w:r>
      <w:r>
        <w:rPr>
          <w:rFonts w:ascii="Gill Sans MT" w:hAnsi="Gill Sans MT"/>
          <w:b/>
          <w:bCs/>
          <w:u w:val="single"/>
        </w:rPr>
        <w:t>M</w:t>
      </w:r>
      <w:r w:rsidRPr="002716BC">
        <w:rPr>
          <w:rFonts w:ascii="Gill Sans MT" w:hAnsi="Gill Sans MT"/>
          <w:b/>
          <w:bCs/>
          <w:u w:val="single"/>
        </w:rPr>
        <w:t xml:space="preserve">odeling </w:t>
      </w:r>
      <w:r>
        <w:rPr>
          <w:rFonts w:ascii="Gill Sans MT" w:hAnsi="Gill Sans MT"/>
          <w:b/>
          <w:bCs/>
          <w:u w:val="single"/>
        </w:rPr>
        <w:t>A</w:t>
      </w:r>
      <w:r w:rsidRPr="002716BC">
        <w:rPr>
          <w:rFonts w:ascii="Gill Sans MT" w:hAnsi="Gill Sans MT"/>
          <w:b/>
          <w:bCs/>
          <w:u w:val="single"/>
        </w:rPr>
        <w:t xml:space="preserve">ssumptions </w:t>
      </w:r>
      <w:r>
        <w:rPr>
          <w:rFonts w:ascii="Gill Sans MT" w:hAnsi="Gill Sans MT"/>
          <w:b/>
          <w:bCs/>
          <w:u w:val="single"/>
        </w:rPr>
        <w:t>Unchanged vs.</w:t>
      </w:r>
      <w:r w:rsidRPr="002716BC">
        <w:rPr>
          <w:rFonts w:ascii="Gill Sans MT" w:hAnsi="Gill Sans MT"/>
          <w:b/>
          <w:bCs/>
          <w:u w:val="single"/>
        </w:rPr>
        <w:t xml:space="preserve"> Q</w:t>
      </w:r>
      <w:r>
        <w:rPr>
          <w:rFonts w:ascii="Gill Sans MT" w:hAnsi="Gill Sans MT"/>
          <w:b/>
          <w:bCs/>
          <w:u w:val="single"/>
        </w:rPr>
        <w:t>4 2011 (continued):</w:t>
      </w:r>
    </w:p>
    <w:p w:rsidR="00E8582A" w:rsidRDefault="00E8582A" w:rsidP="00014D9A">
      <w:pPr>
        <w:tabs>
          <w:tab w:val="left" w:pos="630"/>
        </w:tabs>
        <w:spacing w:after="0"/>
        <w:ind w:left="180" w:firstLine="90"/>
        <w:rPr>
          <w:rFonts w:ascii="Gill Sans MT" w:hAnsi="Gill Sans MT"/>
          <w:b/>
          <w:bCs/>
          <w:u w:val="single"/>
        </w:rPr>
      </w:pPr>
    </w:p>
    <w:p w:rsidR="00E8582A" w:rsidRPr="00FC591E" w:rsidRDefault="00E8582A" w:rsidP="00014D9A">
      <w:pPr>
        <w:tabs>
          <w:tab w:val="left" w:pos="630"/>
        </w:tabs>
        <w:spacing w:after="0"/>
        <w:ind w:left="180" w:firstLine="90"/>
        <w:rPr>
          <w:rFonts w:ascii="Gill Sans MT" w:hAnsi="Gill Sans MT"/>
          <w:b/>
          <w:bCs/>
          <w:u w:val="single"/>
        </w:rPr>
      </w:pPr>
      <w:r>
        <w:rPr>
          <w:rFonts w:ascii="Gill Sans MT" w:hAnsi="Gill Sans MT"/>
          <w:b/>
          <w:bCs/>
          <w:u w:val="single"/>
        </w:rPr>
        <w:t>European CLOs - Unchanged</w:t>
      </w:r>
    </w:p>
    <w:p w:rsidR="00E8582A" w:rsidRPr="000101DF" w:rsidRDefault="00E8582A" w:rsidP="00014D9A">
      <w:pPr>
        <w:pStyle w:val="ListParagraph"/>
        <w:spacing w:after="0"/>
        <w:rPr>
          <w:rFonts w:ascii="Gill Sans MT" w:hAnsi="Gill Sans MT"/>
          <w:sz w:val="16"/>
          <w:szCs w:val="16"/>
        </w:rPr>
      </w:pPr>
    </w:p>
    <w:tbl>
      <w:tblPr>
        <w:tblW w:w="10211" w:type="dxa"/>
        <w:jc w:val="center"/>
        <w:tblInd w:w="-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7"/>
        <w:gridCol w:w="2256"/>
        <w:gridCol w:w="4468"/>
      </w:tblGrid>
      <w:tr w:rsidR="00E8582A" w:rsidRPr="00551DD2" w:rsidTr="00DD2F28">
        <w:trPr>
          <w:jc w:val="center"/>
        </w:trPr>
        <w:tc>
          <w:tcPr>
            <w:tcW w:w="3487" w:type="dxa"/>
            <w:shd w:val="clear" w:color="auto" w:fill="348482"/>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rPr>
              <w:t xml:space="preserve"> </w:t>
            </w:r>
            <w:r w:rsidRPr="00DD2F28">
              <w:rPr>
                <w:rFonts w:ascii="Gill Sans MT" w:hAnsi="Gill Sans MT"/>
                <w:b/>
                <w:color w:val="FFFFFF"/>
                <w:sz w:val="20"/>
                <w:szCs w:val="20"/>
              </w:rPr>
              <w:t>Variable</w:t>
            </w:r>
          </w:p>
        </w:tc>
        <w:tc>
          <w:tcPr>
            <w:tcW w:w="2256" w:type="dxa"/>
            <w:shd w:val="clear" w:color="auto" w:fill="348482"/>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b/>
                <w:color w:val="FFFFFF"/>
                <w:sz w:val="20"/>
                <w:szCs w:val="20"/>
              </w:rPr>
              <w:t>Year</w:t>
            </w:r>
          </w:p>
        </w:tc>
        <w:tc>
          <w:tcPr>
            <w:tcW w:w="4468" w:type="dxa"/>
            <w:shd w:val="clear" w:color="auto" w:fill="348482"/>
            <w:vAlign w:val="center"/>
          </w:tcPr>
          <w:p w:rsidR="00E8582A" w:rsidRPr="00DD2F28" w:rsidRDefault="00E8582A" w:rsidP="00DD2F28">
            <w:pPr>
              <w:spacing w:before="80" w:after="80" w:line="240" w:lineRule="exact"/>
              <w:jc w:val="center"/>
              <w:rPr>
                <w:rFonts w:ascii="Gill Sans MT" w:hAnsi="Gill Sans MT"/>
                <w:b/>
                <w:color w:val="FFFFFF"/>
                <w:sz w:val="20"/>
                <w:szCs w:val="20"/>
              </w:rPr>
            </w:pPr>
            <w:r w:rsidRPr="00DD2F28">
              <w:rPr>
                <w:rFonts w:ascii="Gill Sans MT" w:hAnsi="Gill Sans MT"/>
                <w:b/>
                <w:color w:val="FFFFFF"/>
                <w:sz w:val="20"/>
                <w:szCs w:val="20"/>
              </w:rPr>
              <w:t>Current Assumptions</w:t>
            </w:r>
          </w:p>
        </w:tc>
      </w:tr>
      <w:tr w:rsidR="00E8582A" w:rsidRPr="00C46E90" w:rsidTr="00DD2F28">
        <w:trPr>
          <w:jc w:val="center"/>
        </w:trPr>
        <w:tc>
          <w:tcPr>
            <w:tcW w:w="10211" w:type="dxa"/>
            <w:gridSpan w:val="3"/>
            <w:shd w:val="pct10" w:color="auto" w:fill="auto"/>
          </w:tcPr>
          <w:p w:rsidR="00E8582A" w:rsidRPr="00DD2F28" w:rsidRDefault="00E8582A" w:rsidP="00DD2F28">
            <w:pPr>
              <w:spacing w:line="300" w:lineRule="exact"/>
              <w:rPr>
                <w:rFonts w:ascii="Gill Sans MT" w:hAnsi="Gill Sans MT"/>
                <w:sz w:val="20"/>
                <w:szCs w:val="20"/>
              </w:rPr>
            </w:pPr>
            <w:r w:rsidRPr="00DD2F28">
              <w:rPr>
                <w:rFonts w:ascii="Gill Sans MT" w:hAnsi="Gill Sans MT"/>
                <w:b/>
                <w:sz w:val="20"/>
                <w:szCs w:val="20"/>
              </w:rPr>
              <w:t xml:space="preserve">CADR </w:t>
            </w:r>
          </w:p>
        </w:tc>
      </w:tr>
      <w:tr w:rsidR="00E8582A" w:rsidRPr="00275C02" w:rsidTr="00DD2F28">
        <w:trPr>
          <w:jc w:val="center"/>
        </w:trPr>
        <w:tc>
          <w:tcPr>
            <w:tcW w:w="3487" w:type="dxa"/>
          </w:tcPr>
          <w:p w:rsidR="00E8582A" w:rsidRPr="00DD2F28" w:rsidRDefault="00E8582A" w:rsidP="00DD2F28">
            <w:pPr>
              <w:spacing w:after="20" w:line="300" w:lineRule="exact"/>
              <w:rPr>
                <w:rFonts w:ascii="Gill Sans MT" w:hAnsi="Gill Sans MT"/>
                <w:b/>
                <w:sz w:val="20"/>
                <w:szCs w:val="20"/>
              </w:rPr>
            </w:pPr>
          </w:p>
        </w:tc>
        <w:tc>
          <w:tcPr>
            <w:tcW w:w="2256"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2012-2014</w:t>
            </w:r>
          </w:p>
        </w:tc>
        <w:tc>
          <w:tcPr>
            <w:tcW w:w="4468"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1.5x WARF-implied default rate (3.1%)</w:t>
            </w:r>
          </w:p>
        </w:tc>
      </w:tr>
      <w:tr w:rsidR="00E8582A" w:rsidRPr="00275C02" w:rsidTr="00DD2F28">
        <w:trPr>
          <w:trHeight w:val="161"/>
          <w:jc w:val="center"/>
        </w:trPr>
        <w:tc>
          <w:tcPr>
            <w:tcW w:w="3487" w:type="dxa"/>
          </w:tcPr>
          <w:p w:rsidR="00E8582A" w:rsidRPr="00DD2F28" w:rsidRDefault="00E8582A" w:rsidP="00DD2F28">
            <w:pPr>
              <w:spacing w:after="20" w:line="300" w:lineRule="exact"/>
              <w:rPr>
                <w:rFonts w:ascii="Gill Sans MT" w:hAnsi="Gill Sans MT"/>
                <w:b/>
                <w:sz w:val="20"/>
                <w:szCs w:val="20"/>
              </w:rPr>
            </w:pPr>
          </w:p>
        </w:tc>
        <w:tc>
          <w:tcPr>
            <w:tcW w:w="2256" w:type="dxa"/>
          </w:tcPr>
          <w:p w:rsidR="00E8582A" w:rsidRPr="00DD2F28" w:rsidRDefault="00E8582A" w:rsidP="00DD2F28">
            <w:pPr>
              <w:spacing w:after="20" w:line="300" w:lineRule="exact"/>
              <w:rPr>
                <w:rFonts w:ascii="Gill Sans MT" w:hAnsi="Gill Sans MT"/>
                <w:b/>
                <w:sz w:val="20"/>
                <w:szCs w:val="20"/>
              </w:rPr>
            </w:pPr>
            <w:r w:rsidRPr="00DD2F28">
              <w:rPr>
                <w:rFonts w:ascii="Gill Sans MT" w:hAnsi="Gill Sans MT"/>
                <w:b/>
                <w:sz w:val="20"/>
                <w:szCs w:val="20"/>
              </w:rPr>
              <w:t>Thereafter</w:t>
            </w:r>
          </w:p>
        </w:tc>
        <w:tc>
          <w:tcPr>
            <w:tcW w:w="4468"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1.0x WARF-implied default rate (2.1%) </w:t>
            </w:r>
          </w:p>
        </w:tc>
      </w:tr>
      <w:tr w:rsidR="00E8582A" w:rsidRPr="00C46E90" w:rsidTr="00DD2F28">
        <w:trPr>
          <w:jc w:val="center"/>
        </w:trPr>
        <w:tc>
          <w:tcPr>
            <w:tcW w:w="1021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 xml:space="preserve">Recovery Rate </w:t>
            </w:r>
          </w:p>
        </w:tc>
      </w:tr>
      <w:tr w:rsidR="00E8582A" w:rsidRPr="00275C02" w:rsidTr="00DD2F28">
        <w:trPr>
          <w:jc w:val="center"/>
        </w:trPr>
        <w:tc>
          <w:tcPr>
            <w:tcW w:w="3487" w:type="dxa"/>
          </w:tcPr>
          <w:p w:rsidR="00E8582A" w:rsidRPr="00DD2F28" w:rsidRDefault="00E8582A" w:rsidP="00DD2F28">
            <w:pPr>
              <w:spacing w:after="20" w:line="300" w:lineRule="exact"/>
              <w:rPr>
                <w:rFonts w:ascii="Gill Sans MT" w:hAnsi="Gill Sans MT"/>
                <w:b/>
                <w:sz w:val="20"/>
                <w:szCs w:val="20"/>
              </w:rPr>
            </w:pPr>
          </w:p>
        </w:tc>
        <w:tc>
          <w:tcPr>
            <w:tcW w:w="2256" w:type="dxa"/>
          </w:tcPr>
          <w:p w:rsidR="00E8582A" w:rsidRPr="00DD2F28" w:rsidRDefault="00E8582A" w:rsidP="00DD2F28">
            <w:pPr>
              <w:spacing w:after="20" w:line="300" w:lineRule="exact"/>
              <w:jc w:val="left"/>
              <w:rPr>
                <w:rFonts w:ascii="Gill Sans MT" w:hAnsi="Gill Sans MT"/>
                <w:b/>
                <w:sz w:val="20"/>
                <w:szCs w:val="20"/>
              </w:rPr>
            </w:pPr>
            <w:r w:rsidRPr="00DD2F28">
              <w:rPr>
                <w:rFonts w:ascii="Gill Sans MT" w:hAnsi="Gill Sans MT"/>
                <w:b/>
                <w:sz w:val="20"/>
                <w:szCs w:val="20"/>
              </w:rPr>
              <w:t>Until deal maturity</w:t>
            </w:r>
          </w:p>
        </w:tc>
        <w:tc>
          <w:tcPr>
            <w:tcW w:w="4468"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 xml:space="preserve">68% </w:t>
            </w:r>
          </w:p>
        </w:tc>
      </w:tr>
      <w:tr w:rsidR="00E8582A" w:rsidRPr="00C46E90" w:rsidTr="00DD2F28">
        <w:trPr>
          <w:jc w:val="center"/>
        </w:trPr>
        <w:tc>
          <w:tcPr>
            <w:tcW w:w="1021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Prepayment Rate</w:t>
            </w:r>
          </w:p>
        </w:tc>
      </w:tr>
      <w:tr w:rsidR="00E8582A" w:rsidRPr="00275C02" w:rsidTr="00DD2F28">
        <w:trPr>
          <w:trHeight w:val="107"/>
          <w:jc w:val="center"/>
        </w:trPr>
        <w:tc>
          <w:tcPr>
            <w:tcW w:w="3487" w:type="dxa"/>
          </w:tcPr>
          <w:p w:rsidR="00E8582A" w:rsidRPr="00DD2F28" w:rsidRDefault="00E8582A" w:rsidP="00DD2F28">
            <w:pPr>
              <w:spacing w:after="20" w:line="300" w:lineRule="exact"/>
              <w:rPr>
                <w:rFonts w:ascii="Gill Sans MT" w:hAnsi="Gill Sans MT"/>
                <w:b/>
                <w:sz w:val="20"/>
                <w:szCs w:val="20"/>
              </w:rPr>
            </w:pPr>
          </w:p>
        </w:tc>
        <w:tc>
          <w:tcPr>
            <w:tcW w:w="2256" w:type="dxa"/>
          </w:tcPr>
          <w:p w:rsidR="00E8582A" w:rsidRPr="00DD2F28" w:rsidRDefault="00E8582A" w:rsidP="00DD2F28">
            <w:pPr>
              <w:spacing w:after="20" w:line="300" w:lineRule="exact"/>
              <w:jc w:val="left"/>
              <w:rPr>
                <w:rFonts w:ascii="Gill Sans MT" w:hAnsi="Gill Sans MT"/>
                <w:b/>
                <w:sz w:val="20"/>
                <w:szCs w:val="20"/>
              </w:rPr>
            </w:pPr>
            <w:r w:rsidRPr="00DD2F28">
              <w:rPr>
                <w:rFonts w:ascii="Gill Sans MT" w:hAnsi="Gill Sans MT"/>
                <w:b/>
                <w:sz w:val="20"/>
                <w:szCs w:val="20"/>
              </w:rPr>
              <w:t>Until deal maturity</w:t>
            </w:r>
          </w:p>
        </w:tc>
        <w:tc>
          <w:tcPr>
            <w:tcW w:w="4468"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20.0% p.a. on loans; 0.0% on bonds</w:t>
            </w:r>
          </w:p>
        </w:tc>
      </w:tr>
      <w:tr w:rsidR="00E8582A" w:rsidRPr="00C46E90" w:rsidTr="00DD2F28">
        <w:trPr>
          <w:trHeight w:val="107"/>
          <w:jc w:val="center"/>
        </w:trPr>
        <w:tc>
          <w:tcPr>
            <w:tcW w:w="10211" w:type="dxa"/>
            <w:gridSpan w:val="3"/>
            <w:shd w:val="pct10" w:color="auto" w:fill="auto"/>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b/>
                <w:sz w:val="20"/>
                <w:szCs w:val="20"/>
              </w:rPr>
              <w:t>Reinvestment Price</w:t>
            </w:r>
          </w:p>
        </w:tc>
      </w:tr>
      <w:tr w:rsidR="00E8582A" w:rsidRPr="00275C02" w:rsidTr="00DD2F28">
        <w:trPr>
          <w:trHeight w:val="107"/>
          <w:jc w:val="center"/>
        </w:trPr>
        <w:tc>
          <w:tcPr>
            <w:tcW w:w="3487" w:type="dxa"/>
          </w:tcPr>
          <w:p w:rsidR="00E8582A" w:rsidRPr="00DD2F28" w:rsidRDefault="00E8582A" w:rsidP="00DD2F28">
            <w:pPr>
              <w:spacing w:after="20" w:line="300" w:lineRule="exact"/>
              <w:rPr>
                <w:rFonts w:ascii="Gill Sans MT" w:hAnsi="Gill Sans MT"/>
                <w:b/>
                <w:sz w:val="20"/>
                <w:szCs w:val="20"/>
              </w:rPr>
            </w:pPr>
          </w:p>
        </w:tc>
        <w:tc>
          <w:tcPr>
            <w:tcW w:w="2256" w:type="dxa"/>
          </w:tcPr>
          <w:p w:rsidR="00E8582A" w:rsidRPr="00DD2F28" w:rsidRDefault="00E8582A" w:rsidP="00DD2F28">
            <w:pPr>
              <w:spacing w:after="20" w:line="300" w:lineRule="exact"/>
              <w:jc w:val="left"/>
              <w:rPr>
                <w:rFonts w:ascii="Gill Sans MT" w:hAnsi="Gill Sans MT"/>
                <w:b/>
                <w:sz w:val="20"/>
                <w:szCs w:val="20"/>
              </w:rPr>
            </w:pPr>
            <w:r w:rsidRPr="00DD2F28">
              <w:rPr>
                <w:rFonts w:ascii="Gill Sans MT" w:hAnsi="Gill Sans MT"/>
                <w:b/>
                <w:sz w:val="20"/>
                <w:szCs w:val="20"/>
              </w:rPr>
              <w:t>Until deal maturity</w:t>
            </w:r>
          </w:p>
        </w:tc>
        <w:tc>
          <w:tcPr>
            <w:tcW w:w="4468" w:type="dxa"/>
          </w:tcPr>
          <w:p w:rsidR="00E8582A" w:rsidRPr="00DD2F28" w:rsidRDefault="00E8582A" w:rsidP="00DD2F28">
            <w:pPr>
              <w:spacing w:after="20" w:line="300" w:lineRule="exact"/>
              <w:rPr>
                <w:rFonts w:ascii="Gill Sans MT" w:hAnsi="Gill Sans MT"/>
                <w:sz w:val="20"/>
                <w:szCs w:val="20"/>
              </w:rPr>
            </w:pPr>
            <w:r w:rsidRPr="00DD2F28">
              <w:rPr>
                <w:rFonts w:ascii="Gill Sans MT" w:hAnsi="Gill Sans MT"/>
                <w:sz w:val="20"/>
                <w:szCs w:val="20"/>
              </w:rPr>
              <w:t>100%</w:t>
            </w:r>
          </w:p>
        </w:tc>
      </w:tr>
    </w:tbl>
    <w:p w:rsidR="00E8582A" w:rsidRPr="00E367E4" w:rsidRDefault="00E8582A" w:rsidP="00E367E4">
      <w:pPr>
        <w:rPr>
          <w:rFonts w:ascii="Gill Sans MT" w:hAnsi="Gill Sans MT"/>
          <w:sz w:val="16"/>
          <w:szCs w:val="16"/>
        </w:rPr>
      </w:pPr>
    </w:p>
    <w:p w:rsidR="00E8582A" w:rsidRPr="00DD1C30" w:rsidRDefault="00E8582A" w:rsidP="002716BC">
      <w:pPr>
        <w:pStyle w:val="ListParagraph"/>
        <w:numPr>
          <w:ilvl w:val="0"/>
          <w:numId w:val="11"/>
        </w:numPr>
        <w:tabs>
          <w:tab w:val="left" w:pos="630"/>
        </w:tabs>
        <w:spacing w:after="120"/>
        <w:rPr>
          <w:rFonts w:ascii="Gill Sans MT" w:hAnsi="Gill Sans MT"/>
          <w:b/>
          <w:bCs/>
          <w:u w:val="single"/>
        </w:rPr>
      </w:pPr>
      <w:r w:rsidRPr="00DD1C30">
        <w:rPr>
          <w:rFonts w:ascii="Gill Sans MT" w:hAnsi="Gill Sans MT"/>
          <w:b/>
          <w:bCs/>
          <w:u w:val="single"/>
        </w:rPr>
        <w:t xml:space="preserve">Application of Discount Rate to Projected </w:t>
      </w:r>
      <w:r>
        <w:rPr>
          <w:rFonts w:ascii="Gill Sans MT" w:hAnsi="Gill Sans MT"/>
          <w:b/>
          <w:bCs/>
          <w:u w:val="single"/>
        </w:rPr>
        <w:t xml:space="preserve">CLO Equity </w:t>
      </w:r>
      <w:r w:rsidRPr="00DD1C30">
        <w:rPr>
          <w:rFonts w:ascii="Gill Sans MT" w:hAnsi="Gill Sans MT"/>
          <w:b/>
          <w:bCs/>
          <w:u w:val="single"/>
        </w:rPr>
        <w:t>Cash Flows and ALR</w:t>
      </w:r>
      <w:r>
        <w:rPr>
          <w:rFonts w:ascii="Gill Sans MT" w:hAnsi="Gill Sans MT"/>
          <w:b/>
          <w:bCs/>
          <w:u w:val="single"/>
        </w:rPr>
        <w:t>:</w:t>
      </w:r>
    </w:p>
    <w:p w:rsidR="00E8582A" w:rsidRPr="00DD1C30" w:rsidRDefault="00E8582A">
      <w:pPr>
        <w:pStyle w:val="ListParagraph"/>
        <w:spacing w:after="0"/>
        <w:ind w:left="630"/>
        <w:rPr>
          <w:rFonts w:ascii="Gill Sans MT" w:hAnsi="Gill Sans MT"/>
          <w:sz w:val="16"/>
          <w:szCs w:val="16"/>
        </w:rPr>
      </w:pPr>
    </w:p>
    <w:p w:rsidR="00E8582A" w:rsidRPr="00E367E4" w:rsidRDefault="00E8582A" w:rsidP="00ED6C56">
      <w:pPr>
        <w:pStyle w:val="ListParagraph"/>
        <w:numPr>
          <w:ilvl w:val="0"/>
          <w:numId w:val="35"/>
        </w:numPr>
        <w:spacing w:after="0"/>
        <w:ind w:left="567" w:hanging="283"/>
        <w:rPr>
          <w:rFonts w:ascii="Gill Sans MT" w:hAnsi="Gill Sans MT"/>
        </w:rPr>
      </w:pPr>
      <w:r w:rsidRPr="00E367E4">
        <w:rPr>
          <w:rFonts w:ascii="Gill Sans MT" w:hAnsi="Gill Sans MT"/>
        </w:rPr>
        <w:t xml:space="preserve">In determining the </w:t>
      </w:r>
      <w:r>
        <w:rPr>
          <w:rFonts w:ascii="Gill Sans MT" w:hAnsi="Gill Sans MT"/>
        </w:rPr>
        <w:t>applicable rates to use to discount projected cash flows,</w:t>
      </w:r>
      <w:r w:rsidRPr="00E367E4">
        <w:rPr>
          <w:rFonts w:ascii="Gill Sans MT" w:hAnsi="Gill Sans MT"/>
        </w:rPr>
        <w:t xml:space="preserve"> an analysis of observable ri</w:t>
      </w:r>
      <w:r>
        <w:rPr>
          <w:rFonts w:ascii="Gill Sans MT" w:hAnsi="Gill Sans MT"/>
        </w:rPr>
        <w:t xml:space="preserve">sk premium data is undertaken. During </w:t>
      </w:r>
      <w:r w:rsidRPr="00E367E4">
        <w:rPr>
          <w:rFonts w:ascii="Gill Sans MT" w:hAnsi="Gill Sans MT"/>
        </w:rPr>
        <w:t xml:space="preserve">Q1 </w:t>
      </w:r>
      <w:r>
        <w:rPr>
          <w:rFonts w:ascii="Gill Sans MT" w:hAnsi="Gill Sans MT"/>
        </w:rPr>
        <w:t xml:space="preserve">2012 </w:t>
      </w:r>
      <w:r w:rsidRPr="00E367E4">
        <w:rPr>
          <w:rFonts w:ascii="Gill Sans MT" w:hAnsi="Gill Sans MT"/>
        </w:rPr>
        <w:t>certain observable data and research, covering</w:t>
      </w:r>
      <w:r>
        <w:rPr>
          <w:rFonts w:ascii="Gill Sans MT" w:hAnsi="Gill Sans MT"/>
        </w:rPr>
        <w:t xml:space="preserve"> both CLO equity and debt</w:t>
      </w:r>
      <w:r w:rsidRPr="00E367E4">
        <w:rPr>
          <w:rFonts w:ascii="Gill Sans MT" w:hAnsi="Gill Sans MT"/>
        </w:rPr>
        <w:t xml:space="preserve"> tranches (including </w:t>
      </w:r>
      <w:r>
        <w:rPr>
          <w:rFonts w:ascii="Gill Sans MT" w:hAnsi="Gill Sans MT"/>
        </w:rPr>
        <w:t xml:space="preserve">originally </w:t>
      </w:r>
      <w:r w:rsidRPr="00E367E4">
        <w:rPr>
          <w:rFonts w:ascii="Gill Sans MT" w:hAnsi="Gill Sans MT"/>
        </w:rPr>
        <w:t>BB and BBB</w:t>
      </w:r>
      <w:r>
        <w:rPr>
          <w:rFonts w:ascii="Gill Sans MT" w:hAnsi="Gill Sans MT"/>
        </w:rPr>
        <w:t>-</w:t>
      </w:r>
      <w:r w:rsidRPr="00E367E4">
        <w:rPr>
          <w:rFonts w:ascii="Gill Sans MT" w:hAnsi="Gill Sans MT"/>
        </w:rPr>
        <w:t>rated debt tranc</w:t>
      </w:r>
      <w:r>
        <w:rPr>
          <w:rFonts w:ascii="Gill Sans MT" w:hAnsi="Gill Sans MT"/>
        </w:rPr>
        <w:t>hes), suggested that risk premia on</w:t>
      </w:r>
      <w:r w:rsidRPr="00E367E4">
        <w:rPr>
          <w:rFonts w:ascii="Gill Sans MT" w:hAnsi="Gill Sans MT"/>
        </w:rPr>
        <w:t xml:space="preserve"> U</w:t>
      </w:r>
      <w:r>
        <w:rPr>
          <w:rFonts w:ascii="Gill Sans MT" w:hAnsi="Gill Sans MT"/>
        </w:rPr>
        <w:t>.</w:t>
      </w:r>
      <w:r w:rsidRPr="00E367E4">
        <w:rPr>
          <w:rFonts w:ascii="Gill Sans MT" w:hAnsi="Gill Sans MT"/>
        </w:rPr>
        <w:t>S</w:t>
      </w:r>
      <w:r>
        <w:rPr>
          <w:rFonts w:ascii="Gill Sans MT" w:hAnsi="Gill Sans MT"/>
        </w:rPr>
        <w:t>. CLO e</w:t>
      </w:r>
      <w:r w:rsidRPr="00E367E4">
        <w:rPr>
          <w:rFonts w:ascii="Gill Sans MT" w:hAnsi="Gill Sans MT"/>
        </w:rPr>
        <w:t>quity</w:t>
      </w:r>
      <w:r>
        <w:rPr>
          <w:rFonts w:ascii="Gill Sans MT" w:hAnsi="Gill Sans MT"/>
        </w:rPr>
        <w:t xml:space="preserve"> declined</w:t>
      </w:r>
      <w:r w:rsidRPr="00E367E4">
        <w:rPr>
          <w:rFonts w:ascii="Gill Sans MT" w:hAnsi="Gill Sans MT"/>
        </w:rPr>
        <w:t xml:space="preserve">. For example, according to Citibank research, the spread on </w:t>
      </w:r>
      <w:r>
        <w:rPr>
          <w:rFonts w:ascii="Gill Sans MT" w:hAnsi="Gill Sans MT"/>
        </w:rPr>
        <w:t xml:space="preserve">originally </w:t>
      </w:r>
      <w:r w:rsidRPr="00E367E4">
        <w:rPr>
          <w:rFonts w:ascii="Gill Sans MT" w:hAnsi="Gill Sans MT"/>
        </w:rPr>
        <w:t>BB</w:t>
      </w:r>
      <w:r>
        <w:rPr>
          <w:rFonts w:ascii="Gill Sans MT" w:hAnsi="Gill Sans MT"/>
        </w:rPr>
        <w:t xml:space="preserve">-rated tranches declined </w:t>
      </w:r>
      <w:r w:rsidRPr="00E367E4">
        <w:rPr>
          <w:rFonts w:ascii="Gill Sans MT" w:hAnsi="Gill Sans MT"/>
        </w:rPr>
        <w:t>from approximately 11.5% at the end of 2011 to 10</w:t>
      </w:r>
      <w:r>
        <w:rPr>
          <w:rFonts w:ascii="Gill Sans MT" w:hAnsi="Gill Sans MT"/>
        </w:rPr>
        <w:t>.0</w:t>
      </w:r>
      <w:r w:rsidRPr="00E367E4">
        <w:rPr>
          <w:rFonts w:ascii="Gill Sans MT" w:hAnsi="Gill Sans MT"/>
        </w:rPr>
        <w:t>% at the end of Q1 2012. We believe that TFG’s discount rates for U</w:t>
      </w:r>
      <w:r>
        <w:rPr>
          <w:rFonts w:ascii="Gill Sans MT" w:hAnsi="Gill Sans MT"/>
        </w:rPr>
        <w:t>.</w:t>
      </w:r>
      <w:r w:rsidRPr="00E367E4">
        <w:rPr>
          <w:rFonts w:ascii="Gill Sans MT" w:hAnsi="Gill Sans MT"/>
        </w:rPr>
        <w:t>S</w:t>
      </w:r>
      <w:r>
        <w:rPr>
          <w:rFonts w:ascii="Gill Sans MT" w:hAnsi="Gill Sans MT"/>
        </w:rPr>
        <w:t>.</w:t>
      </w:r>
      <w:r w:rsidRPr="00E367E4">
        <w:rPr>
          <w:rFonts w:ascii="Gill Sans MT" w:hAnsi="Gill Sans MT"/>
        </w:rPr>
        <w:t xml:space="preserve"> CLOs of 20</w:t>
      </w:r>
      <w:r>
        <w:rPr>
          <w:rFonts w:ascii="Gill Sans MT" w:hAnsi="Gill Sans MT"/>
        </w:rPr>
        <w:t>.0</w:t>
      </w:r>
      <w:r w:rsidRPr="00E367E4">
        <w:rPr>
          <w:rFonts w:ascii="Gill Sans MT" w:hAnsi="Gill Sans MT"/>
        </w:rPr>
        <w:t>% for s</w:t>
      </w:r>
      <w:r>
        <w:rPr>
          <w:rFonts w:ascii="Gill Sans MT" w:hAnsi="Gill Sans MT"/>
        </w:rPr>
        <w:t>trong deals, and 25.0% for the others</w:t>
      </w:r>
      <w:r w:rsidRPr="00E367E4">
        <w:rPr>
          <w:rFonts w:ascii="Gill Sans MT" w:hAnsi="Gill Sans MT"/>
        </w:rPr>
        <w:t>, continued to repres</w:t>
      </w:r>
      <w:r>
        <w:rPr>
          <w:rFonts w:ascii="Gill Sans MT" w:hAnsi="Gill Sans MT"/>
        </w:rPr>
        <w:t>ent an appropriate spread over m</w:t>
      </w:r>
      <w:r w:rsidRPr="00E367E4">
        <w:rPr>
          <w:rFonts w:ascii="Gill Sans MT" w:hAnsi="Gill Sans MT"/>
        </w:rPr>
        <w:t xml:space="preserve">ezzanine tranches. </w:t>
      </w:r>
    </w:p>
    <w:p w:rsidR="00E8582A" w:rsidRPr="00E367E4" w:rsidRDefault="00E8582A" w:rsidP="00ED6C56">
      <w:pPr>
        <w:pStyle w:val="ListParagraph"/>
        <w:spacing w:after="0"/>
        <w:ind w:left="567" w:hanging="283"/>
        <w:rPr>
          <w:rFonts w:ascii="Gill Sans MT" w:hAnsi="Gill Sans MT"/>
          <w:sz w:val="16"/>
          <w:szCs w:val="16"/>
        </w:rPr>
      </w:pPr>
    </w:p>
    <w:p w:rsidR="00E8582A" w:rsidRPr="00DB71B2" w:rsidRDefault="00E8582A" w:rsidP="00ED6C56">
      <w:pPr>
        <w:pStyle w:val="ListParagraph"/>
        <w:numPr>
          <w:ilvl w:val="0"/>
          <w:numId w:val="26"/>
        </w:numPr>
        <w:spacing w:after="0"/>
        <w:ind w:left="567" w:hanging="283"/>
        <w:rPr>
          <w:rFonts w:ascii="Gill Sans MT" w:hAnsi="Gill Sans MT"/>
        </w:rPr>
      </w:pPr>
      <w:r>
        <w:rPr>
          <w:rFonts w:ascii="Gill Sans MT" w:hAnsi="Gill Sans MT"/>
        </w:rPr>
        <w:t xml:space="preserve">Per Citibank, </w:t>
      </w:r>
      <w:r w:rsidRPr="00466D56">
        <w:rPr>
          <w:rFonts w:ascii="Gill Sans MT" w:hAnsi="Gill Sans MT"/>
        </w:rPr>
        <w:t xml:space="preserve">European </w:t>
      </w:r>
      <w:r>
        <w:rPr>
          <w:rFonts w:ascii="Gill Sans MT" w:hAnsi="Gill Sans MT"/>
        </w:rPr>
        <w:t xml:space="preserve">originally BB-rated tranche yields </w:t>
      </w:r>
      <w:r w:rsidRPr="00466D56">
        <w:rPr>
          <w:rFonts w:ascii="Gill Sans MT" w:hAnsi="Gill Sans MT"/>
        </w:rPr>
        <w:t>also moved tighter to less than 21</w:t>
      </w:r>
      <w:r>
        <w:rPr>
          <w:rFonts w:ascii="Gill Sans MT" w:hAnsi="Gill Sans MT"/>
        </w:rPr>
        <w:t>.0</w:t>
      </w:r>
      <w:r w:rsidRPr="00466D56">
        <w:rPr>
          <w:rFonts w:ascii="Gill Sans MT" w:hAnsi="Gill Sans MT"/>
        </w:rPr>
        <w:t>% from 23.5% at 2011 year</w:t>
      </w:r>
      <w:r>
        <w:rPr>
          <w:rFonts w:ascii="Gill Sans MT" w:hAnsi="Gill Sans MT"/>
        </w:rPr>
        <w:t>-</w:t>
      </w:r>
      <w:r w:rsidRPr="00466D56">
        <w:rPr>
          <w:rFonts w:ascii="Gill Sans MT" w:hAnsi="Gill Sans MT"/>
        </w:rPr>
        <w:t xml:space="preserve">end. </w:t>
      </w:r>
      <w:r>
        <w:rPr>
          <w:rFonts w:ascii="Gill Sans MT" w:hAnsi="Gill Sans MT"/>
        </w:rPr>
        <w:t>Given the ongoing uncertainty surrounding Europe, TFG maintained its discount rate for all European deals at 30.0%.</w:t>
      </w:r>
    </w:p>
    <w:p w:rsidR="00E8582A" w:rsidRPr="004226CB" w:rsidRDefault="00E8582A" w:rsidP="00ED6C56">
      <w:pPr>
        <w:pStyle w:val="ListParagraph"/>
        <w:spacing w:after="0"/>
        <w:ind w:left="567" w:hanging="283"/>
        <w:rPr>
          <w:rFonts w:ascii="Gill Sans MT" w:hAnsi="Gill Sans MT"/>
          <w:sz w:val="16"/>
          <w:szCs w:val="16"/>
        </w:rPr>
      </w:pPr>
    </w:p>
    <w:p w:rsidR="00E8582A" w:rsidRDefault="00E8582A" w:rsidP="00ED6C56">
      <w:pPr>
        <w:pStyle w:val="ListParagraph"/>
        <w:numPr>
          <w:ilvl w:val="0"/>
          <w:numId w:val="26"/>
        </w:numPr>
        <w:spacing w:after="0"/>
        <w:ind w:left="567" w:hanging="283"/>
        <w:rPr>
          <w:rFonts w:ascii="Gill Sans MT" w:hAnsi="Gill Sans MT"/>
        </w:rPr>
      </w:pPr>
      <w:r>
        <w:rPr>
          <w:rFonts w:ascii="Gill Sans MT" w:hAnsi="Gill Sans MT"/>
        </w:rPr>
        <w:t xml:space="preserve">As a general rule, where the discount rate being applied to the future cash flows is greater than the IRR on a particular deal, the fair value for that deal will be lower than its amortized cost. The difference between these two figures, on an aggregate basis across the CLO equity portfolio has been characterized as the “ALR Fair Value Adjustment” or “ALR”.  </w:t>
      </w:r>
      <w:r w:rsidRPr="00E367E4">
        <w:rPr>
          <w:rFonts w:ascii="Gill Sans MT" w:hAnsi="Gill Sans MT"/>
        </w:rPr>
        <w:t>Through the process desc</w:t>
      </w:r>
      <w:r>
        <w:rPr>
          <w:rFonts w:ascii="Gill Sans MT" w:hAnsi="Gill Sans MT"/>
        </w:rPr>
        <w:t>ribed above, as of the end of Q1 2012</w:t>
      </w:r>
      <w:r w:rsidRPr="00E367E4">
        <w:rPr>
          <w:rFonts w:ascii="Gill Sans MT" w:hAnsi="Gill Sans MT"/>
        </w:rPr>
        <w:t>, the total ALR stands at $120.7 million, consisting of $16.5 million for U.S. deals and $104.2 million for European deals, as compared to $128.7 million at the end of Q4 2011 ($20.4 million for U.S. deals and $108.3 million for European deals).</w:t>
      </w:r>
    </w:p>
    <w:p w:rsidR="00E8582A" w:rsidRPr="004226CB" w:rsidRDefault="00E8582A" w:rsidP="00ED6C56">
      <w:pPr>
        <w:pStyle w:val="ListParagraph"/>
        <w:ind w:left="567" w:hanging="283"/>
        <w:rPr>
          <w:rFonts w:ascii="Gill Sans MT" w:hAnsi="Gill Sans MT"/>
          <w:sz w:val="16"/>
          <w:szCs w:val="16"/>
        </w:rPr>
      </w:pPr>
    </w:p>
    <w:p w:rsidR="00E8582A" w:rsidRDefault="00E8582A" w:rsidP="00ED6C56">
      <w:pPr>
        <w:pStyle w:val="ListParagraph"/>
        <w:numPr>
          <w:ilvl w:val="0"/>
          <w:numId w:val="26"/>
        </w:numPr>
        <w:spacing w:after="0"/>
        <w:ind w:left="567" w:hanging="283"/>
        <w:rPr>
          <w:rFonts w:ascii="Gill Sans MT" w:hAnsi="Gill Sans MT"/>
        </w:rPr>
      </w:pPr>
      <w:r w:rsidRPr="00E07A6E">
        <w:rPr>
          <w:rFonts w:ascii="Gill Sans MT" w:hAnsi="Gill Sans MT"/>
        </w:rPr>
        <w:t>The average carrying value of TFG’s U.S. CLO equity investments, which a</w:t>
      </w:r>
      <w:r>
        <w:rPr>
          <w:rFonts w:ascii="Gill Sans MT" w:hAnsi="Gill Sans MT"/>
        </w:rPr>
        <w:t>ccounted for approximately 90.0</w:t>
      </w:r>
      <w:r w:rsidRPr="00E07A6E">
        <w:rPr>
          <w:rFonts w:ascii="Gill Sans MT" w:hAnsi="Gill Sans MT"/>
        </w:rPr>
        <w:t>% of the CLO equity investment portfolio by fair value, was approximately $0.77 on the dollar at end of Q1 2012, down from $0.78 on the dollar at the end of Q4 2011</w:t>
      </w:r>
      <w:r>
        <w:rPr>
          <w:rFonts w:ascii="Gill Sans MT" w:hAnsi="Gill Sans MT"/>
        </w:rPr>
        <w:t xml:space="preserve">. </w:t>
      </w:r>
    </w:p>
    <w:p w:rsidR="00E8582A" w:rsidRPr="00DA0BCD" w:rsidRDefault="00E8582A" w:rsidP="00DA0BCD">
      <w:pPr>
        <w:pStyle w:val="ListParagraph"/>
        <w:rPr>
          <w:rFonts w:ascii="Gill Sans MT" w:hAnsi="Gill Sans MT"/>
        </w:rPr>
      </w:pPr>
    </w:p>
    <w:p w:rsidR="00E8582A" w:rsidRDefault="00E8582A" w:rsidP="00DA0BCD">
      <w:pPr>
        <w:pStyle w:val="ListParagraph"/>
        <w:spacing w:after="0"/>
        <w:ind w:left="567"/>
        <w:rPr>
          <w:rFonts w:ascii="Gill Sans MT" w:hAnsi="Gill Sans MT"/>
        </w:rPr>
      </w:pPr>
    </w:p>
    <w:p w:rsidR="00E8582A" w:rsidRDefault="00E8582A" w:rsidP="0010005C">
      <w:pPr>
        <w:pStyle w:val="ListParagraph"/>
        <w:numPr>
          <w:ilvl w:val="0"/>
          <w:numId w:val="11"/>
        </w:numPr>
        <w:tabs>
          <w:tab w:val="left" w:pos="630"/>
        </w:tabs>
        <w:spacing w:after="120"/>
        <w:rPr>
          <w:rFonts w:ascii="Gill Sans MT" w:hAnsi="Gill Sans MT"/>
          <w:b/>
          <w:bCs/>
          <w:u w:val="single"/>
        </w:rPr>
      </w:pPr>
      <w:r w:rsidRPr="00E07A6E">
        <w:rPr>
          <w:rFonts w:ascii="Gill Sans MT" w:hAnsi="Gill Sans MT"/>
          <w:b/>
          <w:bCs/>
          <w:u w:val="single"/>
        </w:rPr>
        <w:t>Application of Discount Rate to Projected CLO Equity Cash Flows and ALR</w:t>
      </w:r>
      <w:r>
        <w:rPr>
          <w:rFonts w:ascii="Gill Sans MT" w:hAnsi="Gill Sans MT"/>
          <w:b/>
          <w:bCs/>
          <w:u w:val="single"/>
        </w:rPr>
        <w:t xml:space="preserve"> (continued)</w:t>
      </w:r>
      <w:r w:rsidRPr="00E07A6E">
        <w:rPr>
          <w:rFonts w:ascii="Gill Sans MT" w:hAnsi="Gill Sans MT"/>
          <w:b/>
          <w:bCs/>
          <w:u w:val="single"/>
        </w:rPr>
        <w:t>:</w:t>
      </w:r>
    </w:p>
    <w:p w:rsidR="00E8582A" w:rsidRPr="004226CB" w:rsidRDefault="00E8582A" w:rsidP="004226CB">
      <w:pPr>
        <w:tabs>
          <w:tab w:val="left" w:pos="630"/>
        </w:tabs>
        <w:spacing w:after="0"/>
        <w:rPr>
          <w:rFonts w:ascii="Gill Sans MT" w:hAnsi="Gill Sans MT"/>
          <w:b/>
          <w:bCs/>
          <w:sz w:val="16"/>
          <w:szCs w:val="16"/>
          <w:u w:val="single"/>
        </w:rPr>
      </w:pPr>
    </w:p>
    <w:p w:rsidR="00E8582A" w:rsidRPr="00C67FE1" w:rsidRDefault="00E8582A" w:rsidP="000C13D2">
      <w:pPr>
        <w:pStyle w:val="ListParagraph"/>
        <w:numPr>
          <w:ilvl w:val="0"/>
          <w:numId w:val="46"/>
        </w:numPr>
        <w:spacing w:after="0"/>
        <w:ind w:left="630"/>
        <w:rPr>
          <w:rFonts w:ascii="Gill Sans MT" w:hAnsi="Gill Sans MT"/>
        </w:rPr>
      </w:pPr>
      <w:r w:rsidRPr="00C67FE1">
        <w:rPr>
          <w:rFonts w:ascii="Gill Sans MT" w:hAnsi="Gill Sans MT"/>
        </w:rPr>
        <w:t>The average carrying value of the European deals fell from €0.44 per Euro as of the end of Q4 2011 to €0.40 per Euro as of the end of Q1 2012.  It is important to note, however, that significant dispersion of carrying values exists across transactions within each geographic grouping, particularly in the case of Europe, with a range of carrying values of €0.04 to €0.67 per Euro.</w:t>
      </w:r>
    </w:p>
    <w:p w:rsidR="00E8582A" w:rsidRPr="004226CB" w:rsidRDefault="00E8582A" w:rsidP="00C67FE1">
      <w:pPr>
        <w:spacing w:after="0"/>
        <w:ind w:left="450" w:hanging="270"/>
        <w:rPr>
          <w:rFonts w:ascii="Gill Sans MT" w:hAnsi="Gill Sans MT"/>
          <w:b/>
          <w:sz w:val="16"/>
          <w:szCs w:val="16"/>
          <w:u w:val="single"/>
        </w:rPr>
      </w:pPr>
    </w:p>
    <w:p w:rsidR="00E8582A" w:rsidRPr="00C67FE1" w:rsidRDefault="00E8582A" w:rsidP="000C13D2">
      <w:pPr>
        <w:pStyle w:val="ListParagraph"/>
        <w:numPr>
          <w:ilvl w:val="0"/>
          <w:numId w:val="46"/>
        </w:numPr>
        <w:spacing w:after="0"/>
        <w:ind w:left="630"/>
        <w:rPr>
          <w:rFonts w:ascii="Gill Sans MT" w:hAnsi="Gill Sans MT"/>
          <w:b/>
          <w:u w:val="single"/>
        </w:rPr>
      </w:pPr>
      <w:r w:rsidRPr="00C67FE1">
        <w:rPr>
          <w:rFonts w:ascii="Gill Sans MT" w:hAnsi="Gill Sans MT"/>
        </w:rPr>
        <w:t>As discussed in the Annual Report, the applicable discount rate for the new vintage deals (issued after 2010) is determined with reference to each deal’s specific IRR, which, in the absence of other observable data points, is deemed to be the most appropriate indication of the current risk premium on these structures. At the end of Q1 2012, the weighted average discount rate (and IRR) on these deals was 13.2%. Such deals represented approximately 9.4% of the CLO equity portfolio by fair value.  We will continue to monitor observable data on these newer vintage transactions to determine whether the IRR remains the appropriate discount rate.</w:t>
      </w:r>
    </w:p>
    <w:p w:rsidR="00E8582A" w:rsidRDefault="00E8582A" w:rsidP="00E367E4">
      <w:pPr>
        <w:pStyle w:val="ListParagraph"/>
        <w:rPr>
          <w:rFonts w:ascii="Gill Sans MT" w:hAnsi="Gill Sans MT"/>
          <w:b/>
          <w:u w:val="single"/>
        </w:rPr>
      </w:pPr>
    </w:p>
    <w:p w:rsidR="00E8582A" w:rsidRPr="00E367E4" w:rsidRDefault="00E8582A" w:rsidP="00E367E4">
      <w:pPr>
        <w:pStyle w:val="ListParagraph"/>
        <w:rPr>
          <w:rFonts w:ascii="Gill Sans MT" w:hAnsi="Gill Sans MT"/>
          <w:b/>
          <w:u w:val="single"/>
        </w:rPr>
      </w:pPr>
    </w:p>
    <w:p w:rsidR="00E8582A" w:rsidRPr="00A37001" w:rsidRDefault="00E8582A" w:rsidP="001C5254">
      <w:pPr>
        <w:pStyle w:val="ListParagraph"/>
        <w:numPr>
          <w:ilvl w:val="0"/>
          <w:numId w:val="11"/>
        </w:numPr>
        <w:spacing w:after="120"/>
        <w:rPr>
          <w:rFonts w:ascii="Gill Sans MT" w:hAnsi="Gill Sans MT"/>
          <w:b/>
          <w:bCs/>
          <w:u w:val="single"/>
        </w:rPr>
      </w:pPr>
      <w:r>
        <w:rPr>
          <w:rFonts w:ascii="Gill Sans MT" w:hAnsi="Gill Sans MT"/>
          <w:b/>
          <w:bCs/>
          <w:u w:val="single"/>
        </w:rPr>
        <w:t xml:space="preserve">Hedging Activity: </w:t>
      </w:r>
    </w:p>
    <w:p w:rsidR="00E8582A" w:rsidRDefault="00E8582A" w:rsidP="000C13D2">
      <w:pPr>
        <w:tabs>
          <w:tab w:val="left" w:pos="630"/>
        </w:tabs>
        <w:ind w:left="630"/>
        <w:rPr>
          <w:rFonts w:ascii="Gill Sans MT" w:hAnsi="Gill Sans MT"/>
        </w:rPr>
      </w:pPr>
      <w:r>
        <w:rPr>
          <w:rFonts w:ascii="Gill Sans MT" w:hAnsi="Gill Sans MT"/>
        </w:rPr>
        <w:t>As of March 31, 2012, TFG had no direct credit hedges in place, but employed certain foreign exchange rate and “tail risk” interest rate hedges to seek to mitigate its exposure to Euro-USD foreign exchange risk and a potential significant increase in U.S. inflation and/or nominal interest rates, respectively. We review our hedging strategy on an on-going basis as we seek to address identified risks to the extent practicable and in a cost-effective manner.</w:t>
      </w:r>
    </w:p>
    <w:p w:rsidR="00E8582A" w:rsidRDefault="00E8582A" w:rsidP="001C5254">
      <w:pPr>
        <w:rPr>
          <w:rFonts w:ascii="Gill Sans MT" w:hAnsi="Gill Sans MT"/>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4E4802">
      <w:pPr>
        <w:pStyle w:val="ListParagraph"/>
        <w:numPr>
          <w:ilvl w:val="0"/>
          <w:numId w:val="11"/>
        </w:numPr>
        <w:tabs>
          <w:tab w:val="left" w:pos="630"/>
        </w:tabs>
        <w:spacing w:after="120"/>
        <w:rPr>
          <w:rFonts w:ascii="Gill Sans MT" w:hAnsi="Gill Sans MT"/>
          <w:b/>
          <w:u w:val="single"/>
        </w:rPr>
      </w:pPr>
      <w:r>
        <w:rPr>
          <w:rFonts w:ascii="Gill Sans MT" w:hAnsi="Gill Sans MT"/>
          <w:b/>
          <w:u w:val="single"/>
        </w:rPr>
        <w:t>Further Notice</w:t>
      </w:r>
    </w:p>
    <w:p w:rsidR="00E8582A" w:rsidRPr="009E6F88" w:rsidRDefault="00E8582A" w:rsidP="000C13D2">
      <w:pPr>
        <w:tabs>
          <w:tab w:val="left" w:pos="630"/>
        </w:tabs>
        <w:spacing w:after="120"/>
        <w:ind w:left="630"/>
        <w:rPr>
          <w:rFonts w:ascii="Gill Sans MT" w:hAnsi="Gill Sans MT"/>
        </w:rPr>
      </w:pPr>
      <w:r>
        <w:rPr>
          <w:rFonts w:ascii="Gill Sans MT" w:hAnsi="Gill Sans MT"/>
        </w:rPr>
        <w:t>Please be advised that the Investment Manager is now registered as an investment adviser under U.S. Investment Advisers Act of 1940.</w:t>
      </w: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Default="00E8582A" w:rsidP="002716BC">
      <w:pPr>
        <w:pStyle w:val="ListParagraph"/>
        <w:tabs>
          <w:tab w:val="left" w:pos="630"/>
        </w:tabs>
        <w:spacing w:after="120"/>
        <w:ind w:left="360"/>
        <w:rPr>
          <w:rFonts w:ascii="Gill Sans MT" w:hAnsi="Gill Sans MT"/>
          <w:b/>
          <w:sz w:val="16"/>
          <w:szCs w:val="16"/>
          <w:u w:val="single"/>
        </w:rPr>
      </w:pPr>
    </w:p>
    <w:p w:rsidR="00E8582A" w:rsidRPr="00BA296A" w:rsidRDefault="00E8582A" w:rsidP="0010005C">
      <w:pPr>
        <w:pStyle w:val="ListParagraph"/>
        <w:numPr>
          <w:ilvl w:val="0"/>
          <w:numId w:val="11"/>
        </w:numPr>
        <w:tabs>
          <w:tab w:val="left" w:pos="630"/>
        </w:tabs>
        <w:spacing w:after="120"/>
        <w:rPr>
          <w:rFonts w:ascii="Gill Sans MT" w:hAnsi="Gill Sans MT"/>
          <w:b/>
          <w:bCs/>
          <w:u w:val="single"/>
        </w:rPr>
      </w:pPr>
      <w:r>
        <w:rPr>
          <w:rFonts w:ascii="Gill Sans MT" w:hAnsi="Gill Sans MT"/>
          <w:b/>
          <w:bCs/>
          <w:u w:val="single"/>
        </w:rPr>
        <w:t>Summary and Outlook:</w:t>
      </w:r>
    </w:p>
    <w:p w:rsidR="00E8582A" w:rsidRPr="00F379F2" w:rsidRDefault="00E8582A" w:rsidP="00B502CE">
      <w:pPr>
        <w:autoSpaceDE w:val="0"/>
        <w:autoSpaceDN w:val="0"/>
        <w:adjustRightInd w:val="0"/>
        <w:spacing w:after="0"/>
        <w:rPr>
          <w:rFonts w:ascii="Gill Sans MT" w:hAnsi="Gill Sans MT"/>
          <w:sz w:val="16"/>
          <w:szCs w:val="16"/>
        </w:rPr>
      </w:pPr>
    </w:p>
    <w:p w:rsidR="00E8582A" w:rsidRDefault="00E8582A" w:rsidP="00C352E0">
      <w:pPr>
        <w:autoSpaceDE w:val="0"/>
        <w:autoSpaceDN w:val="0"/>
        <w:ind w:left="360"/>
        <w:rPr>
          <w:rFonts w:ascii="Gill Sans MT" w:hAnsi="Gill Sans MT"/>
        </w:rPr>
      </w:pPr>
      <w:r>
        <w:rPr>
          <w:rFonts w:ascii="Gill Sans MT" w:hAnsi="Gill Sans MT"/>
        </w:rPr>
        <w:t>Q1 2012 saw TFG post another strong quarter of results with each segment of the business performing well. Although the pace of NAV growth slowed during Q1 2012 compared with the growth seen during 2011, this was not unexpected as some of the conditions which had driven prior performance in the CLO portfolio began to normalize. Strong cash flows from the CLO portfolio also continued to underpin capital distributions to shareholders through the dividend and ongoing share buyback program.</w:t>
      </w:r>
    </w:p>
    <w:p w:rsidR="00E8582A" w:rsidRPr="00356DF9" w:rsidRDefault="00E8582A" w:rsidP="00C352E0">
      <w:pPr>
        <w:autoSpaceDE w:val="0"/>
        <w:autoSpaceDN w:val="0"/>
        <w:ind w:left="360"/>
        <w:rPr>
          <w:rFonts w:ascii="Gill Sans MT" w:hAnsi="Gill Sans MT"/>
          <w:sz w:val="16"/>
          <w:szCs w:val="16"/>
        </w:rPr>
      </w:pPr>
    </w:p>
    <w:p w:rsidR="00E8582A" w:rsidRDefault="00E8582A" w:rsidP="00C352E0">
      <w:pPr>
        <w:autoSpaceDE w:val="0"/>
        <w:autoSpaceDN w:val="0"/>
        <w:ind w:left="360"/>
        <w:rPr>
          <w:rFonts w:ascii="Gill Sans MT" w:hAnsi="Gill Sans MT"/>
        </w:rPr>
      </w:pPr>
      <w:r>
        <w:rPr>
          <w:rFonts w:ascii="Gill Sans MT" w:hAnsi="Gill Sans MT"/>
        </w:rPr>
        <w:t xml:space="preserve">LCM and GreenOak continued to add assets during the quarter. LCM’s assets under management increased to over $3.7 billion whilst GreenOak, the other component of our asset management platform, further strengthened its business and </w:t>
      </w:r>
      <w:r w:rsidRPr="00A47493">
        <w:rPr>
          <w:rFonts w:ascii="Gill Sans MT" w:hAnsi="Gill Sans MT"/>
        </w:rPr>
        <w:t xml:space="preserve">added </w:t>
      </w:r>
      <w:r>
        <w:rPr>
          <w:rFonts w:ascii="Gill Sans MT" w:hAnsi="Gill Sans MT"/>
        </w:rPr>
        <w:t>approximately $1.1</w:t>
      </w:r>
      <w:r w:rsidRPr="00A47493">
        <w:rPr>
          <w:rFonts w:ascii="Gill Sans MT" w:hAnsi="Gill Sans MT"/>
        </w:rPr>
        <w:t xml:space="preserve"> billion</w:t>
      </w:r>
      <w:r>
        <w:rPr>
          <w:rFonts w:ascii="Gill Sans MT" w:hAnsi="Gill Sans MT"/>
        </w:rPr>
        <w:t xml:space="preserve"> in assets under management during Q1 2012.</w:t>
      </w:r>
    </w:p>
    <w:p w:rsidR="00E8582A" w:rsidRPr="00356DF9" w:rsidRDefault="00E8582A" w:rsidP="00C352E0">
      <w:pPr>
        <w:autoSpaceDE w:val="0"/>
        <w:autoSpaceDN w:val="0"/>
        <w:ind w:left="360"/>
        <w:rPr>
          <w:rFonts w:ascii="Gill Sans MT" w:hAnsi="Gill Sans MT"/>
          <w:sz w:val="16"/>
          <w:szCs w:val="16"/>
        </w:rPr>
      </w:pPr>
    </w:p>
    <w:p w:rsidR="00E8582A" w:rsidRDefault="00E8582A" w:rsidP="00C352E0">
      <w:pPr>
        <w:autoSpaceDE w:val="0"/>
        <w:autoSpaceDN w:val="0"/>
        <w:ind w:left="360"/>
        <w:rPr>
          <w:rFonts w:ascii="Gill Sans MT" w:hAnsi="Gill Sans MT"/>
        </w:rPr>
      </w:pPr>
      <w:r>
        <w:rPr>
          <w:rFonts w:ascii="Gill Sans MT" w:hAnsi="Gill Sans MT"/>
        </w:rPr>
        <w:t>Going forward, the improved tone of the capital markets as well as continued positive trends in the U.S. leveraged loan and CLO markets, support our constructive view on the performance outlook for our existing U.S. CLO and direct loan portfolios, despite lingering global macroeconomic downside risks. We expect that our European CLO equity portfolio, however, may continue to face headwinds resulting from the region’s poor growth prospects and residual fiscal issues. As stated previously TFG will continue to seek to take steps to diversify its investment portfolio across asset classes, types and geographies.</w:t>
      </w:r>
    </w:p>
    <w:p w:rsidR="00E8582A" w:rsidRPr="00356DF9" w:rsidRDefault="00E8582A" w:rsidP="00C352E0">
      <w:pPr>
        <w:autoSpaceDE w:val="0"/>
        <w:autoSpaceDN w:val="0"/>
        <w:ind w:left="360"/>
        <w:rPr>
          <w:rFonts w:ascii="Gill Sans MT" w:hAnsi="Gill Sans MT"/>
          <w:sz w:val="16"/>
          <w:szCs w:val="16"/>
        </w:rPr>
      </w:pPr>
    </w:p>
    <w:p w:rsidR="00E8582A" w:rsidRPr="006E66A1" w:rsidRDefault="00E8582A" w:rsidP="0010005C">
      <w:pPr>
        <w:autoSpaceDE w:val="0"/>
        <w:autoSpaceDN w:val="0"/>
        <w:ind w:left="360"/>
        <w:rPr>
          <w:rFonts w:ascii="Gill Sans MT" w:hAnsi="Gill Sans MT"/>
        </w:rPr>
      </w:pPr>
      <w:r>
        <w:rPr>
          <w:rFonts w:ascii="Gill Sans MT" w:hAnsi="Gill Sans MT"/>
        </w:rPr>
        <w:t xml:space="preserve">In addition to providing TFG with attractive new investment opportunities, the positive U.S. loan market may be beneficial for our asset management platform, as LCM seeks to raise fresh third party capital via CLO issuance during the remainder of 2012. So long as the CLO market is conducive to new deals, we believe that LCM may be able to bring to market further transactions, as it seeks to replace deals that are currently amortizing and increase its fee-generating assets under management. The growth of TFG’s asset management platform remains a central goal for us, as we believe that it will strengthen and diversify TFG’s income streams, creating value for the company’s shareholders. </w:t>
      </w:r>
      <w:r w:rsidRPr="006E66A1">
        <w:rPr>
          <w:rFonts w:ascii="Gill Sans MT" w:hAnsi="Gill Sans MT"/>
        </w:rPr>
        <w:t xml:space="preserve"> </w:t>
      </w:r>
      <w:r w:rsidRPr="00592765">
        <w:rPr>
          <w:rFonts w:ascii="Gill Sans MT" w:hAnsi="Gill Sans MT"/>
        </w:rPr>
        <w:t>We believe that TFG is well-positioned to capitalize on future opportunities in this space and to gain from potential synergies across the investment and asset management businesses.</w:t>
      </w:r>
    </w:p>
    <w:p w:rsidR="00E8582A" w:rsidRDefault="00E8582A" w:rsidP="00EE15AF">
      <w:pPr>
        <w:autoSpaceDE w:val="0"/>
        <w:autoSpaceDN w:val="0"/>
        <w:adjustRightInd w:val="0"/>
        <w:spacing w:after="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7C62E4">
      <w:pPr>
        <w:autoSpaceDE w:val="0"/>
        <w:autoSpaceDN w:val="0"/>
        <w:adjustRightInd w:val="0"/>
        <w:spacing w:after="0"/>
        <w:ind w:left="360"/>
        <w:rPr>
          <w:rFonts w:ascii="Gill Sans MT" w:hAnsi="Gill Sans MT"/>
        </w:rPr>
      </w:pPr>
    </w:p>
    <w:p w:rsidR="00E8582A" w:rsidRDefault="00E8582A" w:rsidP="002716BC">
      <w:pPr>
        <w:pStyle w:val="ListParagraph"/>
        <w:numPr>
          <w:ilvl w:val="0"/>
          <w:numId w:val="11"/>
        </w:numPr>
        <w:tabs>
          <w:tab w:val="left" w:pos="630"/>
        </w:tabs>
        <w:spacing w:after="120"/>
        <w:rPr>
          <w:rFonts w:ascii="Gill Sans MT" w:hAnsi="Gill Sans MT"/>
          <w:b/>
          <w:u w:val="single"/>
        </w:rPr>
      </w:pPr>
      <w:r w:rsidRPr="00955A54">
        <w:rPr>
          <w:rFonts w:ascii="Gill Sans MT" w:hAnsi="Gill Sans MT"/>
          <w:b/>
          <w:u w:val="single"/>
        </w:rPr>
        <w:t>Quarterly Investor Call</w:t>
      </w:r>
    </w:p>
    <w:p w:rsidR="00E8582A" w:rsidRPr="000F79A2" w:rsidRDefault="00E8582A" w:rsidP="00A96E26">
      <w:pPr>
        <w:rPr>
          <w:rFonts w:ascii="Gill Sans MT" w:hAnsi="Gill Sans MT"/>
        </w:rPr>
      </w:pPr>
      <w:r w:rsidRPr="000F79A2">
        <w:rPr>
          <w:rFonts w:ascii="Gill Sans MT" w:hAnsi="Gill Sans MT"/>
        </w:rPr>
        <w:t>We will host a c</w:t>
      </w:r>
      <w:r>
        <w:rPr>
          <w:rFonts w:ascii="Gill Sans MT" w:hAnsi="Gill Sans MT"/>
        </w:rPr>
        <w:t>onference call for investors on May 2,</w:t>
      </w:r>
      <w:r w:rsidRPr="000F79A2">
        <w:rPr>
          <w:rFonts w:ascii="Gill Sans MT" w:hAnsi="Gill Sans MT"/>
        </w:rPr>
        <w:t xml:space="preserve"> 2012</w:t>
      </w:r>
      <w:r>
        <w:rPr>
          <w:rFonts w:ascii="Gill Sans MT" w:hAnsi="Gill Sans MT"/>
        </w:rPr>
        <w:t xml:space="preserve"> at 15:00 BST/10:00 ED</w:t>
      </w:r>
      <w:r w:rsidRPr="000F79A2">
        <w:rPr>
          <w:rFonts w:ascii="Gill Sans MT" w:hAnsi="Gill Sans MT"/>
        </w:rPr>
        <w:t>T to discuss Q</w:t>
      </w:r>
      <w:r>
        <w:rPr>
          <w:rFonts w:ascii="Gill Sans MT" w:hAnsi="Gill Sans MT"/>
        </w:rPr>
        <w:t>1</w:t>
      </w:r>
      <w:r w:rsidRPr="000F79A2">
        <w:rPr>
          <w:rFonts w:ascii="Gill Sans MT" w:hAnsi="Gill Sans MT"/>
        </w:rPr>
        <w:t xml:space="preserve"> 201</w:t>
      </w:r>
      <w:r>
        <w:rPr>
          <w:rFonts w:ascii="Gill Sans MT" w:hAnsi="Gill Sans MT"/>
        </w:rPr>
        <w:t>2</w:t>
      </w:r>
      <w:r w:rsidRPr="000F79A2">
        <w:rPr>
          <w:rFonts w:ascii="Gill Sans MT" w:hAnsi="Gill Sans MT"/>
        </w:rPr>
        <w:t xml:space="preserve"> results and to provide a company update.  </w:t>
      </w:r>
    </w:p>
    <w:p w:rsidR="00E8582A" w:rsidRPr="000F79A2" w:rsidRDefault="00E8582A" w:rsidP="00A96E26">
      <w:pPr>
        <w:rPr>
          <w:rFonts w:ascii="Gill Sans MT" w:hAnsi="Gill Sans MT"/>
        </w:rPr>
      </w:pPr>
    </w:p>
    <w:p w:rsidR="00E8582A" w:rsidRPr="000F79A2" w:rsidRDefault="00E8582A" w:rsidP="005F0321">
      <w:pPr>
        <w:rPr>
          <w:rFonts w:ascii="Gill Sans MT" w:hAnsi="Gill Sans MT"/>
        </w:rPr>
      </w:pPr>
      <w:r w:rsidRPr="000F79A2">
        <w:rPr>
          <w:rFonts w:ascii="Gill Sans MT" w:hAnsi="Gill Sans MT"/>
        </w:rPr>
        <w:t xml:space="preserve">The conference call may be accessed by dialing +44 (0)20 7162 0025 and +1 334 323 6201 (a passcode is not required). Participants may also register for the conference call in advance via the following link </w:t>
      </w:r>
      <w:hyperlink r:id="rId17" w:history="1">
        <w:r w:rsidRPr="00334C7F">
          <w:rPr>
            <w:rStyle w:val="Hyperlink"/>
            <w:rFonts w:ascii="Gill Sans MT" w:hAnsi="Gill Sans MT"/>
          </w:rPr>
          <w:t>https://eventreg1.conferencing.com/webportal3/reg.html?Acc=247751&amp;Conf=183416</w:t>
        </w:r>
      </w:hyperlink>
      <w:r w:rsidRPr="00334C7F">
        <w:rPr>
          <w:rFonts w:ascii="Gill Sans MT" w:hAnsi="Gill Sans MT"/>
        </w:rPr>
        <w:t xml:space="preserve">. </w:t>
      </w:r>
      <w:r w:rsidRPr="00334C7F">
        <w:rPr>
          <w:rFonts w:ascii="Gill Sans MT" w:hAnsi="Gill Sans MT"/>
        </w:rPr>
        <w:br/>
      </w:r>
    </w:p>
    <w:p w:rsidR="00E8582A" w:rsidRPr="000F79A2" w:rsidRDefault="00E8582A" w:rsidP="005F0321">
      <w:pPr>
        <w:rPr>
          <w:rFonts w:ascii="Gill Sans MT" w:hAnsi="Gill Sans MT"/>
        </w:rPr>
      </w:pPr>
    </w:p>
    <w:p w:rsidR="00E8582A" w:rsidRPr="000F79A2" w:rsidRDefault="00E8582A" w:rsidP="005F0321">
      <w:pPr>
        <w:rPr>
          <w:rFonts w:ascii="Gill Sans MT" w:hAnsi="Gill Sans MT"/>
        </w:rPr>
      </w:pPr>
      <w:r w:rsidRPr="000F79A2">
        <w:rPr>
          <w:rFonts w:ascii="Gill Sans MT" w:hAnsi="Gill Sans MT"/>
        </w:rPr>
        <w:t xml:space="preserve">A replay of the call will be available for 30 days by dialing +44 (0) 20 7031 4064 and +1 954 334 0342, access code </w:t>
      </w:r>
      <w:r w:rsidRPr="000F79A2">
        <w:rPr>
          <w:rFonts w:ascii="Gill Sans MT" w:hAnsi="Gill Sans MT" w:cs="Arial"/>
          <w:color w:val="000000"/>
        </w:rPr>
        <w:t>91</w:t>
      </w:r>
      <w:r>
        <w:rPr>
          <w:rFonts w:ascii="Gill Sans MT" w:hAnsi="Gill Sans MT" w:cs="Arial"/>
          <w:color w:val="000000"/>
        </w:rPr>
        <w:t>5874</w:t>
      </w:r>
      <w:r w:rsidRPr="000F79A2">
        <w:rPr>
          <w:rFonts w:ascii="Gill Sans MT" w:hAnsi="Gill Sans MT"/>
        </w:rPr>
        <w:t xml:space="preserve"> and as an MP3 recording on the TFG website.</w:t>
      </w:r>
    </w:p>
    <w:p w:rsidR="00E8582A" w:rsidRDefault="00E8582A" w:rsidP="005F0321">
      <w:pPr>
        <w:rPr>
          <w:rFonts w:ascii="Gill Sans MT" w:hAnsi="Gill Sans MT"/>
        </w:rPr>
      </w:pPr>
    </w:p>
    <w:tbl>
      <w:tblPr>
        <w:tblW w:w="0" w:type="auto"/>
        <w:tblInd w:w="288" w:type="dxa"/>
        <w:tblLook w:val="01E0"/>
      </w:tblPr>
      <w:tblGrid>
        <w:gridCol w:w="5228"/>
        <w:gridCol w:w="5229"/>
      </w:tblGrid>
      <w:tr w:rsidR="00E8582A" w:rsidRPr="00660840" w:rsidTr="0089503A">
        <w:trPr>
          <w:trHeight w:val="425"/>
        </w:trPr>
        <w:tc>
          <w:tcPr>
            <w:tcW w:w="5228" w:type="dxa"/>
          </w:tcPr>
          <w:p w:rsidR="00E8582A" w:rsidRPr="00660840" w:rsidRDefault="00E8582A" w:rsidP="00A96E26">
            <w:pPr>
              <w:spacing w:after="120"/>
              <w:rPr>
                <w:rFonts w:ascii="Gill Sans MT" w:hAnsi="Gill Sans MT"/>
              </w:rPr>
            </w:pPr>
            <w:r w:rsidRPr="00660840">
              <w:rPr>
                <w:rFonts w:ascii="Gill Sans MT" w:hAnsi="Gill Sans MT"/>
              </w:rPr>
              <w:t>For further information, please contact:</w:t>
            </w:r>
          </w:p>
        </w:tc>
        <w:tc>
          <w:tcPr>
            <w:tcW w:w="5229" w:type="dxa"/>
          </w:tcPr>
          <w:p w:rsidR="00E8582A" w:rsidRPr="00660840" w:rsidRDefault="00E8582A" w:rsidP="00A96E26">
            <w:pPr>
              <w:spacing w:after="120"/>
              <w:rPr>
                <w:rFonts w:ascii="Gill Sans MT" w:hAnsi="Gill Sans MT"/>
              </w:rPr>
            </w:pPr>
          </w:p>
        </w:tc>
      </w:tr>
      <w:tr w:rsidR="00E8582A" w:rsidRPr="00660840" w:rsidTr="0089503A">
        <w:trPr>
          <w:trHeight w:val="1291"/>
        </w:trPr>
        <w:tc>
          <w:tcPr>
            <w:tcW w:w="5228" w:type="dxa"/>
          </w:tcPr>
          <w:p w:rsidR="00E8582A" w:rsidRPr="00660840" w:rsidRDefault="00E8582A" w:rsidP="00A96E26">
            <w:pPr>
              <w:spacing w:after="120"/>
              <w:rPr>
                <w:rFonts w:ascii="Gill Sans MT" w:hAnsi="Gill Sans MT"/>
              </w:rPr>
            </w:pPr>
            <w:r w:rsidRPr="00660840">
              <w:rPr>
                <w:rFonts w:ascii="Gill Sans MT" w:hAnsi="Gill Sans MT"/>
              </w:rPr>
              <w:t>TFG:</w:t>
            </w:r>
          </w:p>
          <w:p w:rsidR="00E8582A" w:rsidRPr="00660840" w:rsidRDefault="00E8582A" w:rsidP="00A96E26">
            <w:pPr>
              <w:rPr>
                <w:rFonts w:ascii="Gill Sans MT" w:hAnsi="Gill Sans MT"/>
              </w:rPr>
            </w:pPr>
            <w:r>
              <w:rPr>
                <w:rFonts w:ascii="Gill Sans MT" w:hAnsi="Gill Sans MT"/>
              </w:rPr>
              <w:t>David Wishnow</w:t>
            </w:r>
            <w:r w:rsidRPr="00660840">
              <w:rPr>
                <w:rFonts w:ascii="Gill Sans MT" w:hAnsi="Gill Sans MT"/>
              </w:rPr>
              <w:t>/Yuko Thomas</w:t>
            </w:r>
          </w:p>
          <w:p w:rsidR="00E8582A" w:rsidRPr="00660840" w:rsidRDefault="00E8582A" w:rsidP="00A96E26">
            <w:pPr>
              <w:rPr>
                <w:rFonts w:ascii="Gill Sans MT" w:hAnsi="Gill Sans MT"/>
              </w:rPr>
            </w:pPr>
            <w:r w:rsidRPr="00660840">
              <w:rPr>
                <w:rFonts w:ascii="Gill Sans MT" w:hAnsi="Gill Sans MT"/>
              </w:rPr>
              <w:t>Investor Relations</w:t>
            </w:r>
          </w:p>
          <w:p w:rsidR="00E8582A" w:rsidRPr="00660840" w:rsidRDefault="00E8582A" w:rsidP="00B42C06">
            <w:pPr>
              <w:rPr>
                <w:rFonts w:ascii="Gill Sans MT" w:hAnsi="Gill Sans MT"/>
              </w:rPr>
            </w:pPr>
            <w:hyperlink r:id="rId18" w:history="1">
              <w:r w:rsidRPr="00660840">
                <w:rPr>
                  <w:rStyle w:val="Hyperlink"/>
                  <w:rFonts w:ascii="Gill Sans MT" w:hAnsi="Gill Sans MT"/>
                  <w:color w:val="336600"/>
                </w:rPr>
                <w:t>ir@</w:t>
              </w:r>
              <w:r>
                <w:rPr>
                  <w:rStyle w:val="Hyperlink"/>
                  <w:rFonts w:ascii="Gill Sans MT" w:hAnsi="Gill Sans MT"/>
                  <w:color w:val="336600"/>
                </w:rPr>
                <w:t>tetragoninv</w:t>
              </w:r>
              <w:r w:rsidRPr="00660840">
                <w:rPr>
                  <w:rStyle w:val="Hyperlink"/>
                  <w:rFonts w:ascii="Gill Sans MT" w:hAnsi="Gill Sans MT"/>
                  <w:color w:val="336600"/>
                </w:rPr>
                <w:t>.com</w:t>
              </w:r>
            </w:hyperlink>
          </w:p>
        </w:tc>
        <w:tc>
          <w:tcPr>
            <w:tcW w:w="5229" w:type="dxa"/>
          </w:tcPr>
          <w:p w:rsidR="00E8582A" w:rsidRPr="00660840" w:rsidRDefault="00E8582A" w:rsidP="00A96E26">
            <w:pPr>
              <w:spacing w:after="120"/>
              <w:rPr>
                <w:rFonts w:ascii="Gill Sans MT" w:hAnsi="Gill Sans MT"/>
              </w:rPr>
            </w:pPr>
            <w:r w:rsidRPr="00660840">
              <w:rPr>
                <w:rFonts w:ascii="Gill Sans MT" w:hAnsi="Gill Sans MT"/>
              </w:rPr>
              <w:t>Press Inquiries:</w:t>
            </w:r>
          </w:p>
          <w:p w:rsidR="00E8582A" w:rsidRPr="00660840" w:rsidRDefault="00E8582A" w:rsidP="00A96E26">
            <w:pPr>
              <w:rPr>
                <w:rFonts w:ascii="Gill Sans MT" w:hAnsi="Gill Sans MT"/>
              </w:rPr>
            </w:pPr>
            <w:r>
              <w:rPr>
                <w:rFonts w:ascii="Gill Sans MT" w:hAnsi="Gill Sans MT"/>
              </w:rPr>
              <w:t>Brunswick Group</w:t>
            </w:r>
          </w:p>
          <w:p w:rsidR="00E8582A" w:rsidRDefault="00E8582A" w:rsidP="00492399">
            <w:pPr>
              <w:rPr>
                <w:rFonts w:ascii="Gill Sans MT" w:hAnsi="Gill Sans MT"/>
              </w:rPr>
            </w:pPr>
            <w:r>
              <w:rPr>
                <w:rFonts w:ascii="Gill Sans MT" w:hAnsi="Gill Sans MT"/>
              </w:rPr>
              <w:t>Andrew Garfield/Gill Ackers/ Pip Green</w:t>
            </w:r>
          </w:p>
          <w:p w:rsidR="00E8582A" w:rsidRPr="00481437" w:rsidRDefault="00E8582A" w:rsidP="00492399">
            <w:pPr>
              <w:rPr>
                <w:rFonts w:ascii="Gill Sans MT" w:hAnsi="Gill Sans MT"/>
              </w:rPr>
            </w:pPr>
            <w:r>
              <w:rPr>
                <w:rStyle w:val="Hyperlink"/>
                <w:rFonts w:ascii="Gill Sans MT" w:hAnsi="Gill Sans MT"/>
                <w:color w:val="336600"/>
              </w:rPr>
              <w:t>tetragon@brunswickgroup.com</w:t>
            </w:r>
          </w:p>
        </w:tc>
      </w:tr>
    </w:tbl>
    <w:p w:rsidR="00E8582A" w:rsidRDefault="00E8582A" w:rsidP="00461428">
      <w:pPr>
        <w:rPr>
          <w:szCs w:val="20"/>
        </w:rPr>
      </w:pPr>
    </w:p>
    <w:tbl>
      <w:tblPr>
        <w:tblW w:w="10320" w:type="dxa"/>
        <w:jc w:val="center"/>
        <w:tblLook w:val="0000"/>
      </w:tblPr>
      <w:tblGrid>
        <w:gridCol w:w="6840"/>
        <w:gridCol w:w="3480"/>
      </w:tblGrid>
      <w:tr w:rsidR="00E8582A" w:rsidTr="002C606B">
        <w:trPr>
          <w:trHeight w:val="480"/>
          <w:jc w:val="center"/>
        </w:trPr>
        <w:tc>
          <w:tcPr>
            <w:tcW w:w="6840" w:type="dxa"/>
            <w:tcBorders>
              <w:top w:val="single" w:sz="4" w:space="0" w:color="auto"/>
              <w:left w:val="single" w:sz="4" w:space="0" w:color="auto"/>
              <w:bottom w:val="single" w:sz="4" w:space="0" w:color="auto"/>
            </w:tcBorders>
            <w:shd w:val="clear" w:color="auto" w:fill="1F4D4D"/>
            <w:vAlign w:val="center"/>
          </w:tcPr>
          <w:p w:rsidR="00E8582A" w:rsidRDefault="00E8582A" w:rsidP="00E8582A">
            <w:pPr>
              <w:ind w:firstLineChars="100" w:firstLine="31680"/>
              <w:rPr>
                <w:rFonts w:ascii="Gill Sans MT" w:hAnsi="Gill Sans MT" w:cs="Arial"/>
                <w:b/>
                <w:bCs/>
                <w:color w:val="FFFFFF"/>
              </w:rPr>
            </w:pPr>
            <w:r>
              <w:rPr>
                <w:rFonts w:ascii="Gill Sans MT" w:hAnsi="Gill Sans MT" w:cs="Arial"/>
                <w:b/>
                <w:bCs/>
                <w:color w:val="FFFFFF"/>
                <w:sz w:val="22"/>
                <w:szCs w:val="22"/>
              </w:rPr>
              <w:t>Expected Upcoming Events</w:t>
            </w:r>
          </w:p>
        </w:tc>
        <w:tc>
          <w:tcPr>
            <w:tcW w:w="3480" w:type="dxa"/>
            <w:tcBorders>
              <w:top w:val="single" w:sz="4" w:space="0" w:color="auto"/>
              <w:bottom w:val="single" w:sz="4" w:space="0" w:color="auto"/>
              <w:right w:val="single" w:sz="4" w:space="0" w:color="auto"/>
            </w:tcBorders>
            <w:shd w:val="clear" w:color="auto" w:fill="1F4D4D"/>
            <w:vAlign w:val="center"/>
          </w:tcPr>
          <w:p w:rsidR="00E8582A" w:rsidRDefault="00E8582A" w:rsidP="00E8582A">
            <w:pPr>
              <w:ind w:firstLineChars="200" w:firstLine="31680"/>
              <w:rPr>
                <w:rFonts w:ascii="Gill Sans MT" w:hAnsi="Gill Sans MT" w:cs="Arial"/>
                <w:b/>
                <w:bCs/>
                <w:color w:val="FFFFFF"/>
              </w:rPr>
            </w:pPr>
            <w:r>
              <w:rPr>
                <w:rFonts w:ascii="Gill Sans MT" w:hAnsi="Gill Sans MT" w:cs="Arial"/>
                <w:b/>
                <w:bCs/>
                <w:color w:val="FFFFFF"/>
                <w:sz w:val="22"/>
                <w:szCs w:val="22"/>
              </w:rPr>
              <w:t>Date</w:t>
            </w:r>
          </w:p>
        </w:tc>
      </w:tr>
      <w:tr w:rsidR="00E8582A" w:rsidTr="002C606B">
        <w:trPr>
          <w:trHeight w:val="345"/>
          <w:jc w:val="center"/>
        </w:trPr>
        <w:tc>
          <w:tcPr>
            <w:tcW w:w="6840" w:type="dxa"/>
            <w:tcBorders>
              <w:left w:val="single" w:sz="4" w:space="0" w:color="auto"/>
              <w:bottom w:val="single" w:sz="4" w:space="0" w:color="auto"/>
            </w:tcBorders>
            <w:noWrap/>
            <w:vAlign w:val="bottom"/>
          </w:tcPr>
          <w:p w:rsidR="00E8582A" w:rsidRDefault="00E8582A" w:rsidP="004226CB">
            <w:pPr>
              <w:rPr>
                <w:rFonts w:ascii="Gill Sans MT" w:hAnsi="Gill Sans MT" w:cs="Arial"/>
              </w:rPr>
            </w:pPr>
            <w:r>
              <w:rPr>
                <w:rFonts w:ascii="Gill Sans MT" w:hAnsi="Gill Sans MT" w:cs="Arial"/>
                <w:sz w:val="22"/>
                <w:szCs w:val="22"/>
              </w:rPr>
              <w:t>Q1 2012 Ex-Dividend Date</w:t>
            </w:r>
          </w:p>
        </w:tc>
        <w:tc>
          <w:tcPr>
            <w:tcW w:w="3480" w:type="dxa"/>
            <w:tcBorders>
              <w:bottom w:val="single" w:sz="4" w:space="0" w:color="auto"/>
              <w:right w:val="single" w:sz="4" w:space="0" w:color="auto"/>
            </w:tcBorders>
            <w:noWrap/>
            <w:vAlign w:val="bottom"/>
          </w:tcPr>
          <w:p w:rsidR="00E8582A" w:rsidRPr="0064593D" w:rsidRDefault="00E8582A" w:rsidP="00E8582A">
            <w:pPr>
              <w:ind w:firstLineChars="200" w:firstLine="31680"/>
              <w:rPr>
                <w:rFonts w:ascii="Gill Sans MT" w:hAnsi="Gill Sans MT" w:cs="Arial"/>
              </w:rPr>
            </w:pPr>
            <w:r w:rsidRPr="0064593D">
              <w:rPr>
                <w:rFonts w:ascii="Gill Sans MT" w:hAnsi="Gill Sans MT" w:cs="Arial"/>
                <w:sz w:val="22"/>
                <w:szCs w:val="22"/>
              </w:rPr>
              <w:t>April 2</w:t>
            </w:r>
            <w:r>
              <w:rPr>
                <w:rFonts w:ascii="Gill Sans MT" w:hAnsi="Gill Sans MT" w:cs="Arial"/>
                <w:sz w:val="22"/>
                <w:szCs w:val="22"/>
              </w:rPr>
              <w:t>6</w:t>
            </w:r>
            <w:r w:rsidRPr="0064593D">
              <w:rPr>
                <w:rFonts w:ascii="Gill Sans MT" w:hAnsi="Gill Sans MT" w:cs="Arial"/>
                <w:sz w:val="22"/>
                <w:szCs w:val="22"/>
              </w:rPr>
              <w:t>, 201</w:t>
            </w:r>
            <w:r>
              <w:rPr>
                <w:rFonts w:ascii="Gill Sans MT" w:hAnsi="Gill Sans MT" w:cs="Arial"/>
                <w:sz w:val="22"/>
                <w:szCs w:val="22"/>
              </w:rPr>
              <w:t>2</w:t>
            </w:r>
          </w:p>
        </w:tc>
      </w:tr>
      <w:tr w:rsidR="00E8582A" w:rsidTr="002C606B">
        <w:trPr>
          <w:trHeight w:val="345"/>
          <w:jc w:val="center"/>
        </w:trPr>
        <w:tc>
          <w:tcPr>
            <w:tcW w:w="6840" w:type="dxa"/>
            <w:tcBorders>
              <w:left w:val="single" w:sz="4" w:space="0" w:color="auto"/>
              <w:bottom w:val="single" w:sz="4" w:space="0" w:color="auto"/>
            </w:tcBorders>
            <w:noWrap/>
            <w:vAlign w:val="bottom"/>
          </w:tcPr>
          <w:p w:rsidR="00E8582A" w:rsidRDefault="00E8582A" w:rsidP="004226CB">
            <w:pPr>
              <w:rPr>
                <w:rFonts w:ascii="Gill Sans MT" w:hAnsi="Gill Sans MT" w:cs="Arial"/>
              </w:rPr>
            </w:pPr>
            <w:r>
              <w:rPr>
                <w:rFonts w:ascii="Gill Sans MT" w:hAnsi="Gill Sans MT" w:cs="Arial"/>
                <w:sz w:val="22"/>
                <w:szCs w:val="22"/>
              </w:rPr>
              <w:t>Q1 2012 Dividend Record Date</w:t>
            </w:r>
          </w:p>
        </w:tc>
        <w:tc>
          <w:tcPr>
            <w:tcW w:w="3480" w:type="dxa"/>
            <w:tcBorders>
              <w:bottom w:val="single" w:sz="4" w:space="0" w:color="auto"/>
              <w:right w:val="single" w:sz="4" w:space="0" w:color="auto"/>
            </w:tcBorders>
            <w:noWrap/>
            <w:vAlign w:val="bottom"/>
          </w:tcPr>
          <w:p w:rsidR="00E8582A" w:rsidRPr="0064593D" w:rsidRDefault="00E8582A" w:rsidP="00E8582A">
            <w:pPr>
              <w:ind w:firstLineChars="200" w:firstLine="31680"/>
              <w:rPr>
                <w:rFonts w:ascii="Gill Sans MT" w:hAnsi="Gill Sans MT" w:cs="Arial"/>
              </w:rPr>
            </w:pPr>
            <w:r>
              <w:rPr>
                <w:rFonts w:ascii="Gill Sans MT" w:hAnsi="Gill Sans MT" w:cs="Arial"/>
                <w:sz w:val="22"/>
                <w:szCs w:val="22"/>
              </w:rPr>
              <w:t xml:space="preserve">April </w:t>
            </w:r>
            <w:r w:rsidRPr="0064593D">
              <w:rPr>
                <w:rFonts w:ascii="Gill Sans MT" w:hAnsi="Gill Sans MT" w:cs="Arial"/>
                <w:sz w:val="22"/>
                <w:szCs w:val="22"/>
              </w:rPr>
              <w:t>3</w:t>
            </w:r>
            <w:r>
              <w:rPr>
                <w:rFonts w:ascii="Gill Sans MT" w:hAnsi="Gill Sans MT" w:cs="Arial"/>
                <w:sz w:val="22"/>
                <w:szCs w:val="22"/>
              </w:rPr>
              <w:t>0, 2012</w:t>
            </w:r>
          </w:p>
        </w:tc>
      </w:tr>
      <w:tr w:rsidR="00E8582A" w:rsidTr="002C606B">
        <w:trPr>
          <w:trHeight w:val="345"/>
          <w:jc w:val="center"/>
        </w:trPr>
        <w:tc>
          <w:tcPr>
            <w:tcW w:w="6840" w:type="dxa"/>
            <w:tcBorders>
              <w:left w:val="single" w:sz="4" w:space="0" w:color="auto"/>
              <w:bottom w:val="single" w:sz="4" w:space="0" w:color="auto"/>
            </w:tcBorders>
            <w:noWrap/>
            <w:vAlign w:val="bottom"/>
          </w:tcPr>
          <w:p w:rsidR="00E8582A" w:rsidRPr="00C65F12" w:rsidRDefault="00E8582A" w:rsidP="004226CB">
            <w:pPr>
              <w:rPr>
                <w:rFonts w:ascii="Gill Sans MT" w:hAnsi="Gill Sans MT" w:cs="Arial"/>
              </w:rPr>
            </w:pPr>
            <w:r w:rsidRPr="00C65F12">
              <w:rPr>
                <w:rFonts w:ascii="Gill Sans MT" w:hAnsi="Gill Sans MT" w:cs="Arial"/>
                <w:sz w:val="22"/>
                <w:szCs w:val="22"/>
              </w:rPr>
              <w:t>Quarterly Investor Call</w:t>
            </w:r>
          </w:p>
        </w:tc>
        <w:tc>
          <w:tcPr>
            <w:tcW w:w="3480" w:type="dxa"/>
            <w:tcBorders>
              <w:bottom w:val="single" w:sz="4" w:space="0" w:color="auto"/>
              <w:right w:val="single" w:sz="4" w:space="0" w:color="auto"/>
            </w:tcBorders>
            <w:noWrap/>
            <w:vAlign w:val="bottom"/>
          </w:tcPr>
          <w:p w:rsidR="00E8582A" w:rsidRPr="00C65F12" w:rsidRDefault="00E8582A" w:rsidP="00E8582A">
            <w:pPr>
              <w:ind w:firstLineChars="200" w:firstLine="31680"/>
              <w:rPr>
                <w:rFonts w:ascii="Gill Sans MT" w:hAnsi="Gill Sans MT" w:cs="Arial"/>
              </w:rPr>
            </w:pPr>
            <w:r w:rsidRPr="00C65F12">
              <w:rPr>
                <w:rFonts w:ascii="Gill Sans MT" w:hAnsi="Gill Sans MT" w:cs="Arial"/>
                <w:sz w:val="22"/>
                <w:szCs w:val="22"/>
              </w:rPr>
              <w:t>May 2, 2012</w:t>
            </w:r>
          </w:p>
        </w:tc>
      </w:tr>
      <w:tr w:rsidR="00E8582A" w:rsidTr="002C606B">
        <w:trPr>
          <w:trHeight w:val="345"/>
          <w:jc w:val="center"/>
        </w:trPr>
        <w:tc>
          <w:tcPr>
            <w:tcW w:w="6840" w:type="dxa"/>
            <w:tcBorders>
              <w:left w:val="single" w:sz="4" w:space="0" w:color="auto"/>
              <w:bottom w:val="single" w:sz="4" w:space="0" w:color="auto"/>
            </w:tcBorders>
            <w:noWrap/>
            <w:vAlign w:val="bottom"/>
          </w:tcPr>
          <w:p w:rsidR="00E8582A" w:rsidRDefault="00E8582A" w:rsidP="004226CB">
            <w:pPr>
              <w:rPr>
                <w:rFonts w:ascii="Gill Sans MT" w:hAnsi="Gill Sans MT" w:cs="Arial"/>
              </w:rPr>
            </w:pPr>
            <w:r>
              <w:rPr>
                <w:rFonts w:ascii="Gill Sans MT" w:hAnsi="Gill Sans MT" w:cs="Arial"/>
                <w:sz w:val="22"/>
                <w:szCs w:val="22"/>
              </w:rPr>
              <w:t>April 2012 Monthly Report</w:t>
            </w:r>
          </w:p>
        </w:tc>
        <w:tc>
          <w:tcPr>
            <w:tcW w:w="3480" w:type="dxa"/>
            <w:tcBorders>
              <w:bottom w:val="single" w:sz="4" w:space="0" w:color="auto"/>
              <w:right w:val="single" w:sz="4" w:space="0" w:color="auto"/>
            </w:tcBorders>
            <w:noWrap/>
            <w:vAlign w:val="bottom"/>
          </w:tcPr>
          <w:p w:rsidR="00E8582A" w:rsidRPr="0064593D" w:rsidRDefault="00E8582A" w:rsidP="00E8582A">
            <w:pPr>
              <w:ind w:firstLineChars="200" w:firstLine="31680"/>
              <w:rPr>
                <w:rFonts w:ascii="Gill Sans MT" w:hAnsi="Gill Sans MT" w:cs="Arial"/>
              </w:rPr>
            </w:pPr>
            <w:r w:rsidRPr="0064593D">
              <w:rPr>
                <w:rFonts w:ascii="Gill Sans MT" w:hAnsi="Gill Sans MT" w:cs="Arial"/>
                <w:sz w:val="22"/>
                <w:szCs w:val="22"/>
              </w:rPr>
              <w:t>May 2</w:t>
            </w:r>
            <w:r>
              <w:rPr>
                <w:rFonts w:ascii="Gill Sans MT" w:hAnsi="Gill Sans MT" w:cs="Arial"/>
                <w:sz w:val="22"/>
                <w:szCs w:val="22"/>
              </w:rPr>
              <w:t>1</w:t>
            </w:r>
            <w:r w:rsidRPr="0064593D">
              <w:rPr>
                <w:rFonts w:ascii="Gill Sans MT" w:hAnsi="Gill Sans MT" w:cs="Arial"/>
                <w:sz w:val="22"/>
                <w:szCs w:val="22"/>
              </w:rPr>
              <w:t>, 201</w:t>
            </w:r>
            <w:r>
              <w:rPr>
                <w:rFonts w:ascii="Gill Sans MT" w:hAnsi="Gill Sans MT" w:cs="Arial"/>
                <w:sz w:val="22"/>
                <w:szCs w:val="22"/>
              </w:rPr>
              <w:t>2</w:t>
            </w:r>
            <w:r w:rsidRPr="0064593D">
              <w:rPr>
                <w:rFonts w:ascii="Gill Sans MT" w:hAnsi="Gill Sans MT" w:cs="Arial"/>
                <w:sz w:val="22"/>
                <w:szCs w:val="22"/>
              </w:rPr>
              <w:t xml:space="preserve"> (approx) </w:t>
            </w:r>
          </w:p>
        </w:tc>
      </w:tr>
      <w:tr w:rsidR="00E8582A" w:rsidTr="002C606B">
        <w:trPr>
          <w:trHeight w:val="345"/>
          <w:jc w:val="center"/>
        </w:trPr>
        <w:tc>
          <w:tcPr>
            <w:tcW w:w="6840" w:type="dxa"/>
            <w:tcBorders>
              <w:left w:val="single" w:sz="4" w:space="0" w:color="auto"/>
              <w:bottom w:val="single" w:sz="4" w:space="0" w:color="auto"/>
            </w:tcBorders>
            <w:noWrap/>
            <w:vAlign w:val="bottom"/>
          </w:tcPr>
          <w:p w:rsidR="00E8582A" w:rsidRDefault="00E8582A" w:rsidP="004226CB">
            <w:pPr>
              <w:rPr>
                <w:rFonts w:ascii="Gill Sans MT" w:hAnsi="Gill Sans MT" w:cs="Arial"/>
              </w:rPr>
            </w:pPr>
            <w:r>
              <w:rPr>
                <w:rFonts w:ascii="Gill Sans MT" w:hAnsi="Gill Sans MT" w:cs="Arial"/>
                <w:sz w:val="22"/>
                <w:szCs w:val="22"/>
              </w:rPr>
              <w:t>Q1 2012 Dividend Payment Date</w:t>
            </w:r>
          </w:p>
        </w:tc>
        <w:tc>
          <w:tcPr>
            <w:tcW w:w="3480" w:type="dxa"/>
            <w:tcBorders>
              <w:bottom w:val="single" w:sz="4" w:space="0" w:color="auto"/>
              <w:right w:val="single" w:sz="4" w:space="0" w:color="auto"/>
            </w:tcBorders>
            <w:noWrap/>
            <w:vAlign w:val="bottom"/>
          </w:tcPr>
          <w:p w:rsidR="00E8582A" w:rsidRPr="0064593D" w:rsidRDefault="00E8582A" w:rsidP="00E8582A">
            <w:pPr>
              <w:ind w:firstLineChars="200" w:firstLine="31680"/>
              <w:rPr>
                <w:rFonts w:ascii="Gill Sans MT" w:hAnsi="Gill Sans MT" w:cs="Arial"/>
              </w:rPr>
            </w:pPr>
            <w:r w:rsidRPr="0064593D">
              <w:rPr>
                <w:rFonts w:ascii="Gill Sans MT" w:hAnsi="Gill Sans MT" w:cs="Arial"/>
                <w:sz w:val="22"/>
                <w:szCs w:val="22"/>
              </w:rPr>
              <w:t>May 2</w:t>
            </w:r>
            <w:r>
              <w:rPr>
                <w:rFonts w:ascii="Gill Sans MT" w:hAnsi="Gill Sans MT" w:cs="Arial"/>
                <w:sz w:val="22"/>
                <w:szCs w:val="22"/>
              </w:rPr>
              <w:t>2</w:t>
            </w:r>
            <w:r w:rsidRPr="0064593D">
              <w:rPr>
                <w:rFonts w:ascii="Gill Sans MT" w:hAnsi="Gill Sans MT" w:cs="Arial"/>
                <w:sz w:val="22"/>
                <w:szCs w:val="22"/>
              </w:rPr>
              <w:t>, 201</w:t>
            </w:r>
            <w:r>
              <w:rPr>
                <w:rFonts w:ascii="Gill Sans MT" w:hAnsi="Gill Sans MT" w:cs="Arial"/>
                <w:sz w:val="22"/>
                <w:szCs w:val="22"/>
              </w:rPr>
              <w:t>2</w:t>
            </w:r>
          </w:p>
        </w:tc>
      </w:tr>
    </w:tbl>
    <w:p w:rsidR="00E8582A" w:rsidRDefault="00E8582A" w:rsidP="006D2FB4">
      <w:pPr>
        <w:spacing w:after="0"/>
        <w:jc w:val="left"/>
        <w:rPr>
          <w:rFonts w:ascii="Gill Sans MT" w:hAnsi="Gill Sans MT"/>
          <w:smallCaps/>
          <w:sz w:val="20"/>
          <w:szCs w:val="20"/>
        </w:rPr>
      </w:pPr>
    </w:p>
    <w:p w:rsidR="00E8582A" w:rsidRDefault="00E8582A" w:rsidP="006D2FB4">
      <w:pPr>
        <w:spacing w:after="0"/>
        <w:jc w:val="left"/>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r w:rsidRPr="00DD2F28">
        <w:rPr>
          <w:noProof/>
          <w:szCs w:val="20"/>
          <w:lang w:val="en-GB" w:eastAsia="en-GB"/>
        </w:rPr>
        <w:pict>
          <v:shape id="_x0000_i1034" type="#_x0000_t75" style="width:533.25pt;height:286.5pt;visibility:visible">
            <v:imagedata r:id="rId19" o:title=""/>
          </v:shape>
        </w:pict>
      </w: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rsidP="0073405F">
      <w:pPr>
        <w:spacing w:after="120"/>
        <w:jc w:val="center"/>
        <w:outlineLvl w:val="0"/>
        <w:rPr>
          <w:rFonts w:ascii="Gill Sans MT" w:hAnsi="Gill Sans MT"/>
          <w:b/>
          <w:smallCaps/>
          <w:sz w:val="20"/>
          <w:szCs w:val="20"/>
        </w:rPr>
      </w:pPr>
    </w:p>
    <w:p w:rsidR="00E8582A" w:rsidRDefault="00E8582A">
      <w:pPr>
        <w:spacing w:after="120"/>
        <w:jc w:val="center"/>
        <w:rPr>
          <w:rFonts w:ascii="Gill Sans MT" w:hAnsi="Gill Sans MT"/>
          <w:b/>
          <w:caps/>
          <w:sz w:val="22"/>
          <w:szCs w:val="22"/>
        </w:rPr>
      </w:pPr>
      <w:r w:rsidRPr="00DD2F28">
        <w:rPr>
          <w:noProof/>
          <w:szCs w:val="22"/>
          <w:lang w:val="en-GB" w:eastAsia="en-GB"/>
        </w:rPr>
        <w:pict>
          <v:shape id="_x0000_i1035" type="#_x0000_t75" style="width:534pt;height:396.75pt;visibility:visible">
            <v:imagedata r:id="rId20" o:title=""/>
          </v:shape>
        </w:pict>
      </w:r>
    </w:p>
    <w:p w:rsidR="00E8582A" w:rsidRDefault="00E8582A" w:rsidP="00461428">
      <w:pPr>
        <w:jc w:val="center"/>
      </w:pPr>
    </w:p>
    <w:p w:rsidR="00E8582A" w:rsidRDefault="00E8582A" w:rsidP="00257217">
      <w:pPr>
        <w:spacing w:after="120"/>
        <w:rPr>
          <w:rFonts w:ascii="Gill Sans MT" w:hAnsi="Gill Sans MT"/>
          <w:b/>
          <w:u w:val="single"/>
        </w:rPr>
      </w:pPr>
    </w:p>
    <w:p w:rsidR="00E8582A" w:rsidRDefault="00E8582A" w:rsidP="00257217">
      <w:pPr>
        <w:spacing w:after="120"/>
        <w:rPr>
          <w:rFonts w:ascii="Gill Sans MT" w:hAnsi="Gill Sans MT"/>
          <w:b/>
          <w:u w:val="single"/>
        </w:rPr>
      </w:pPr>
      <w:r>
        <w:rPr>
          <w:rFonts w:ascii="Gill Sans MT" w:hAnsi="Gill Sans MT"/>
          <w:b/>
          <w:u w:val="single"/>
        </w:rPr>
        <w:br w:type="page"/>
      </w:r>
    </w:p>
    <w:p w:rsidR="00E8582A" w:rsidRDefault="00E8582A" w:rsidP="00257217">
      <w:pPr>
        <w:spacing w:after="120"/>
        <w:rPr>
          <w:rFonts w:ascii="Gill Sans MT" w:hAnsi="Gill Sans MT"/>
          <w:b/>
          <w:u w:val="single"/>
        </w:rPr>
      </w:pPr>
    </w:p>
    <w:p w:rsidR="00E8582A" w:rsidRDefault="00E8582A" w:rsidP="006B4917">
      <w:pPr>
        <w:jc w:val="center"/>
      </w:pPr>
      <w:r w:rsidRPr="00DD2F28">
        <w:rPr>
          <w:noProof/>
          <w:lang w:val="en-GB" w:eastAsia="en-GB"/>
        </w:rPr>
        <w:pict>
          <v:shape id="_x0000_i1036" type="#_x0000_t75" style="width:366.75pt;height:508.5pt;visibility:visible">
            <v:imagedata r:id="rId21" o:title=""/>
          </v:shape>
        </w:pict>
      </w:r>
    </w:p>
    <w:p w:rsidR="00E8582A" w:rsidRDefault="00E8582A">
      <w:pPr>
        <w:ind w:left="-540" w:right="-441"/>
        <w:jc w:val="center"/>
      </w:pPr>
    </w:p>
    <w:p w:rsidR="00E8582A" w:rsidRDefault="00E8582A" w:rsidP="00A23121">
      <w:pPr>
        <w:spacing w:after="120"/>
        <w:rPr>
          <w:rFonts w:ascii="Gill Sans MT" w:hAnsi="Gill Sans MT"/>
          <w:b/>
          <w:u w:val="single"/>
        </w:rPr>
      </w:pPr>
      <w:r>
        <w:rPr>
          <w:rFonts w:ascii="Gill Sans MT" w:hAnsi="Gill Sans MT"/>
          <w:b/>
          <w:u w:val="single"/>
        </w:rPr>
        <w:br w:type="page"/>
      </w:r>
    </w:p>
    <w:p w:rsidR="00E8582A" w:rsidRDefault="00E8582A" w:rsidP="005F03D9">
      <w:pPr>
        <w:spacing w:after="0"/>
        <w:jc w:val="center"/>
        <w:rPr>
          <w:noProof/>
        </w:rPr>
      </w:pPr>
    </w:p>
    <w:p w:rsidR="00E8582A" w:rsidRDefault="00E8582A" w:rsidP="005F03D9">
      <w:pPr>
        <w:spacing w:after="0"/>
        <w:jc w:val="center"/>
        <w:rPr>
          <w:rFonts w:ascii="Gill Sans MT" w:hAnsi="Gill Sans MT"/>
          <w:b/>
          <w:smallCaps/>
        </w:rPr>
      </w:pPr>
      <w:r w:rsidRPr="00DD2F28">
        <w:rPr>
          <w:noProof/>
          <w:lang w:val="en-GB" w:eastAsia="en-GB"/>
        </w:rPr>
        <w:pict>
          <v:shape id="_x0000_i1037" type="#_x0000_t75" style="width:402pt;height:568.5pt;visibility:visible">
            <v:imagedata r:id="rId22" o:title=""/>
          </v:shape>
        </w:pict>
      </w:r>
    </w:p>
    <w:p w:rsidR="00E8582A" w:rsidRPr="00F97BAC" w:rsidRDefault="00E8582A" w:rsidP="005F03D9">
      <w:pPr>
        <w:spacing w:after="0"/>
        <w:jc w:val="center"/>
        <w:rPr>
          <w:rFonts w:ascii="Gill Sans MT" w:hAnsi="Gill Sans MT"/>
          <w:b/>
          <w:smallCaps/>
        </w:rPr>
      </w:pPr>
      <w:r>
        <w:rPr>
          <w:rFonts w:ascii="Gill Sans MT" w:hAnsi="Gill Sans MT"/>
          <w:b/>
          <w:smallCaps/>
        </w:rPr>
        <w:br w:type="page"/>
        <w:t>CLO Equity Portfolio Details</w:t>
      </w:r>
    </w:p>
    <w:p w:rsidR="00E8582A" w:rsidRDefault="00E8582A" w:rsidP="003F0275">
      <w:pPr>
        <w:spacing w:after="20"/>
        <w:jc w:val="center"/>
        <w:rPr>
          <w:rFonts w:ascii="Gill Sans MT" w:hAnsi="Gill Sans MT"/>
          <w:b/>
          <w:smallCaps/>
        </w:rPr>
      </w:pPr>
      <w:r>
        <w:rPr>
          <w:rFonts w:ascii="Gill Sans MT" w:hAnsi="Gill Sans MT"/>
          <w:b/>
          <w:smallCaps/>
        </w:rPr>
        <w:t>As of March 31, 2012</w:t>
      </w:r>
    </w:p>
    <w:p w:rsidR="00E8582A" w:rsidRPr="003F0275" w:rsidRDefault="00E8582A" w:rsidP="003F0275">
      <w:pPr>
        <w:spacing w:after="20"/>
        <w:jc w:val="center"/>
        <w:rPr>
          <w:rFonts w:ascii="Gill Sans MT" w:hAnsi="Gill Sans MT"/>
          <w:b/>
          <w:smallCaps/>
          <w:sz w:val="14"/>
          <w:szCs w:val="14"/>
        </w:rPr>
      </w:pPr>
    </w:p>
    <w:p w:rsidR="00E8582A" w:rsidRDefault="00E8582A" w:rsidP="003F0275">
      <w:pPr>
        <w:jc w:val="center"/>
        <w:outlineLvl w:val="0"/>
        <w:rPr>
          <w:rFonts w:ascii="Gill Sans MT" w:hAnsi="Gill Sans MT"/>
          <w:b/>
          <w:smallCaps/>
          <w:sz w:val="32"/>
          <w:szCs w:val="32"/>
        </w:rPr>
      </w:pPr>
      <w:r w:rsidRPr="00DD2F28">
        <w:rPr>
          <w:noProof/>
          <w:szCs w:val="32"/>
          <w:lang w:val="en-GB" w:eastAsia="en-GB"/>
        </w:rPr>
        <w:pict>
          <v:shape id="Picture 13" o:spid="_x0000_i1038" type="#_x0000_t75" style="width:536.25pt;height:503.25pt;visibility:visible">
            <v:imagedata r:id="rId23" o:title=""/>
          </v:shape>
        </w:pict>
      </w:r>
    </w:p>
    <w:p w:rsidR="00E8582A" w:rsidRPr="00F47DF1" w:rsidRDefault="00E8582A" w:rsidP="00C50353">
      <w:pPr>
        <w:jc w:val="center"/>
        <w:outlineLvl w:val="0"/>
        <w:rPr>
          <w:rFonts w:ascii="Gill Sans MT" w:hAnsi="Gill Sans MT"/>
          <w:smallCaps/>
          <w:sz w:val="16"/>
          <w:szCs w:val="16"/>
        </w:rPr>
      </w:pPr>
    </w:p>
    <w:p w:rsidR="00E8582A" w:rsidRDefault="00E8582A">
      <w:pPr>
        <w:spacing w:after="0"/>
        <w:jc w:val="left"/>
        <w:rPr>
          <w:rFonts w:ascii="Gill Sans MT" w:hAnsi="Gill Sans MT"/>
          <w:b/>
          <w:smallCaps/>
        </w:rPr>
      </w:pPr>
      <w:r>
        <w:rPr>
          <w:rFonts w:ascii="Gill Sans MT" w:hAnsi="Gill Sans MT"/>
          <w:b/>
          <w:smallCaps/>
        </w:rPr>
        <w:br w:type="page"/>
      </w:r>
    </w:p>
    <w:p w:rsidR="00E8582A" w:rsidRDefault="00E8582A">
      <w:pPr>
        <w:spacing w:after="0"/>
        <w:jc w:val="center"/>
        <w:rPr>
          <w:rFonts w:ascii="Gill Sans MT" w:hAnsi="Gill Sans MT"/>
          <w:b/>
          <w:smallCaps/>
        </w:rPr>
      </w:pPr>
      <w:r>
        <w:rPr>
          <w:rFonts w:ascii="Gill Sans MT" w:hAnsi="Gill Sans MT"/>
          <w:b/>
          <w:smallCaps/>
        </w:rPr>
        <w:t>CLO Equity Portfolio Details (continued)</w:t>
      </w:r>
    </w:p>
    <w:p w:rsidR="00E8582A" w:rsidRDefault="00E8582A" w:rsidP="00EF0135">
      <w:pPr>
        <w:tabs>
          <w:tab w:val="left" w:pos="5490"/>
        </w:tabs>
        <w:spacing w:after="20"/>
        <w:jc w:val="center"/>
        <w:rPr>
          <w:rFonts w:ascii="Gill Sans MT" w:hAnsi="Gill Sans MT"/>
          <w:b/>
          <w:smallCaps/>
        </w:rPr>
      </w:pPr>
      <w:r>
        <w:rPr>
          <w:rFonts w:ascii="Gill Sans MT" w:hAnsi="Gill Sans MT"/>
          <w:b/>
          <w:smallCaps/>
        </w:rPr>
        <w:t>As of March 31, 2012</w:t>
      </w:r>
    </w:p>
    <w:p w:rsidR="00E8582A" w:rsidRPr="003F0275" w:rsidRDefault="00E8582A" w:rsidP="003F0275">
      <w:pPr>
        <w:outlineLvl w:val="0"/>
        <w:rPr>
          <w:rFonts w:ascii="Gill Sans MT" w:hAnsi="Gill Sans MT"/>
          <w:b/>
          <w:smallCaps/>
          <w:sz w:val="14"/>
          <w:szCs w:val="14"/>
        </w:rPr>
      </w:pPr>
    </w:p>
    <w:p w:rsidR="00E8582A" w:rsidRDefault="00E8582A" w:rsidP="003F0275">
      <w:pPr>
        <w:outlineLvl w:val="0"/>
        <w:rPr>
          <w:rFonts w:ascii="Gill Sans MT" w:hAnsi="Gill Sans MT"/>
          <w:b/>
          <w:smallCaps/>
          <w:sz w:val="32"/>
          <w:szCs w:val="32"/>
        </w:rPr>
      </w:pPr>
      <w:r w:rsidRPr="00DD2F28">
        <w:rPr>
          <w:noProof/>
          <w:szCs w:val="32"/>
          <w:lang w:val="en-GB" w:eastAsia="en-GB"/>
        </w:rPr>
        <w:pict>
          <v:shape id="Picture 14" o:spid="_x0000_i1039" type="#_x0000_t75" style="width:536.25pt;height:471.75pt;visibility:visible">
            <v:imagedata r:id="rId24" o:title=""/>
          </v:shape>
        </w:pict>
      </w:r>
    </w:p>
    <w:p w:rsidR="00E8582A" w:rsidRDefault="00E8582A">
      <w:pPr>
        <w:spacing w:after="0"/>
        <w:jc w:val="left"/>
        <w:rPr>
          <w:rFonts w:ascii="Gill Sans MT" w:hAnsi="Gill Sans MT"/>
          <w:b/>
          <w:smallCaps/>
          <w:sz w:val="32"/>
          <w:szCs w:val="32"/>
        </w:rPr>
      </w:pPr>
    </w:p>
    <w:p w:rsidR="00E8582A" w:rsidRDefault="00E8582A">
      <w:pPr>
        <w:spacing w:after="0"/>
        <w:jc w:val="left"/>
        <w:rPr>
          <w:rFonts w:ascii="Gill Sans MT" w:hAnsi="Gill Sans MT"/>
          <w:b/>
          <w:smallCaps/>
        </w:rPr>
      </w:pPr>
      <w:r>
        <w:rPr>
          <w:rFonts w:ascii="Gill Sans MT" w:hAnsi="Gill Sans MT"/>
          <w:b/>
          <w:smallCaps/>
        </w:rPr>
        <w:br w:type="page"/>
      </w:r>
    </w:p>
    <w:p w:rsidR="00E8582A" w:rsidRPr="00F97BAC" w:rsidRDefault="00E8582A" w:rsidP="003F0275">
      <w:pPr>
        <w:spacing w:after="0"/>
        <w:jc w:val="center"/>
        <w:rPr>
          <w:rFonts w:ascii="Gill Sans MT" w:hAnsi="Gill Sans MT"/>
          <w:b/>
          <w:smallCaps/>
        </w:rPr>
      </w:pPr>
      <w:r>
        <w:rPr>
          <w:rFonts w:ascii="Gill Sans MT" w:hAnsi="Gill Sans MT"/>
          <w:b/>
          <w:smallCaps/>
        </w:rPr>
        <w:t>CLO Equity Portfolio Details (continued)</w:t>
      </w:r>
    </w:p>
    <w:p w:rsidR="00E8582A" w:rsidRDefault="00E8582A" w:rsidP="003F0275">
      <w:pPr>
        <w:spacing w:after="20"/>
        <w:jc w:val="center"/>
        <w:rPr>
          <w:rFonts w:ascii="Gill Sans MT" w:hAnsi="Gill Sans MT"/>
          <w:b/>
          <w:smallCaps/>
        </w:rPr>
      </w:pPr>
      <w:r>
        <w:rPr>
          <w:rFonts w:ascii="Gill Sans MT" w:hAnsi="Gill Sans MT"/>
          <w:b/>
          <w:smallCaps/>
        </w:rPr>
        <w:t>As of March 31, 2012</w:t>
      </w:r>
    </w:p>
    <w:p w:rsidR="00E8582A" w:rsidRPr="00E56A65" w:rsidRDefault="00E8582A" w:rsidP="003F0275">
      <w:pPr>
        <w:spacing w:after="20"/>
        <w:jc w:val="center"/>
        <w:rPr>
          <w:rFonts w:ascii="Gill Sans MT" w:hAnsi="Gill Sans MT"/>
          <w:b/>
          <w:smallCaps/>
          <w:sz w:val="14"/>
          <w:szCs w:val="14"/>
        </w:rPr>
      </w:pPr>
    </w:p>
    <w:p w:rsidR="00E8582A" w:rsidRPr="003F0275" w:rsidRDefault="00E8582A">
      <w:pPr>
        <w:spacing w:after="0"/>
        <w:jc w:val="left"/>
        <w:rPr>
          <w:rFonts w:ascii="Gill Sans MT" w:hAnsi="Gill Sans MT"/>
          <w:b/>
          <w:smallCaps/>
        </w:rPr>
      </w:pPr>
      <w:r w:rsidRPr="00DD2F28">
        <w:rPr>
          <w:noProof/>
          <w:lang w:val="en-GB" w:eastAsia="en-GB"/>
        </w:rPr>
        <w:pict>
          <v:shape id="Picture 15" o:spid="_x0000_i1040" type="#_x0000_t75" style="width:536.25pt;height:480.75pt;visibility:visible">
            <v:imagedata r:id="rId25" o:title=""/>
          </v:shape>
        </w:pict>
      </w:r>
      <w:r w:rsidRPr="003F0275">
        <w:rPr>
          <w:rFonts w:ascii="Gill Sans MT" w:hAnsi="Gill Sans MT"/>
          <w:b/>
          <w:smallCaps/>
        </w:rPr>
        <w:br w:type="page"/>
      </w:r>
    </w:p>
    <w:p w:rsidR="00E8582A" w:rsidRDefault="00E8582A" w:rsidP="003F0275">
      <w:pPr>
        <w:outlineLvl w:val="0"/>
        <w:rPr>
          <w:rFonts w:ascii="Gill Sans MT" w:hAnsi="Gill Sans MT"/>
          <w:b/>
          <w:smallCaps/>
          <w:sz w:val="32"/>
          <w:szCs w:val="32"/>
        </w:rPr>
        <w:sectPr w:rsidR="00E8582A" w:rsidSect="001E2FF6">
          <w:headerReference w:type="default" r:id="rId26"/>
          <w:footerReference w:type="even" r:id="rId27"/>
          <w:footerReference w:type="default" r:id="rId28"/>
          <w:endnotePr>
            <w:numFmt w:val="decimal"/>
          </w:endnotePr>
          <w:pgSz w:w="12240" w:h="15840" w:code="1"/>
          <w:pgMar w:top="432" w:right="792" w:bottom="432" w:left="720" w:header="706" w:footer="706" w:gutter="0"/>
          <w:cols w:space="708"/>
          <w:docGrid w:linePitch="360"/>
        </w:sectPr>
      </w:pPr>
    </w:p>
    <w:p w:rsidR="00E8582A" w:rsidRDefault="00E8582A" w:rsidP="00C50353">
      <w:pPr>
        <w:jc w:val="center"/>
        <w:outlineLvl w:val="0"/>
        <w:rPr>
          <w:rFonts w:ascii="Gill Sans MT" w:hAnsi="Gill Sans MT"/>
          <w:b/>
          <w:smallCaps/>
          <w:sz w:val="32"/>
          <w:szCs w:val="32"/>
        </w:rPr>
      </w:pPr>
      <w:r w:rsidRPr="009516B8">
        <w:rPr>
          <w:rFonts w:ascii="Gill Sans MT" w:hAnsi="Gill Sans MT"/>
          <w:b/>
          <w:smallCaps/>
          <w:sz w:val="32"/>
          <w:szCs w:val="32"/>
        </w:rPr>
        <w:t>Tet</w:t>
      </w:r>
      <w:r>
        <w:rPr>
          <w:rFonts w:ascii="Gill Sans MT" w:hAnsi="Gill Sans MT"/>
          <w:b/>
          <w:smallCaps/>
          <w:sz w:val="32"/>
          <w:szCs w:val="32"/>
        </w:rPr>
        <w:t>ragon Financial Group Limited (</w:t>
      </w:r>
      <w:r w:rsidRPr="009516B8">
        <w:rPr>
          <w:rFonts w:ascii="Gill Sans MT" w:hAnsi="Gill Sans MT"/>
          <w:b/>
          <w:smallCaps/>
          <w:sz w:val="32"/>
          <w:szCs w:val="32"/>
        </w:rPr>
        <w:t>TFG)</w:t>
      </w:r>
    </w:p>
    <w:p w:rsidR="00E8582A" w:rsidRPr="00F97BAC" w:rsidRDefault="00E8582A" w:rsidP="00C57503">
      <w:pPr>
        <w:spacing w:after="20"/>
        <w:jc w:val="center"/>
        <w:rPr>
          <w:rFonts w:ascii="Gill Sans MT" w:hAnsi="Gill Sans MT"/>
          <w:b/>
          <w:smallCaps/>
        </w:rPr>
      </w:pPr>
      <w:r w:rsidRPr="00F97BAC">
        <w:rPr>
          <w:rFonts w:ascii="Gill Sans MT" w:hAnsi="Gill Sans MT"/>
          <w:b/>
          <w:smallCaps/>
        </w:rPr>
        <w:t>Portfolio Composition</w:t>
      </w:r>
    </w:p>
    <w:p w:rsidR="00E8582A" w:rsidRPr="00F97BAC" w:rsidRDefault="00E8582A" w:rsidP="00C57503">
      <w:pPr>
        <w:spacing w:after="20"/>
        <w:jc w:val="center"/>
        <w:rPr>
          <w:rFonts w:ascii="Gill Sans MT" w:hAnsi="Gill Sans MT"/>
          <w:b/>
          <w:smallCaps/>
        </w:rPr>
      </w:pPr>
      <w:r w:rsidRPr="00F97BAC">
        <w:rPr>
          <w:rFonts w:ascii="Gill Sans MT" w:hAnsi="Gill Sans MT"/>
          <w:b/>
          <w:smallCaps/>
        </w:rPr>
        <w:t>Portfolio Held by Tetragon Financial Group Master Fund Limited</w:t>
      </w:r>
    </w:p>
    <w:p w:rsidR="00E8582A" w:rsidRPr="00F97BAC" w:rsidRDefault="00E8582A" w:rsidP="00C57503">
      <w:pPr>
        <w:spacing w:after="20"/>
        <w:jc w:val="center"/>
        <w:rPr>
          <w:rFonts w:ascii="Gill Sans MT" w:hAnsi="Gill Sans MT"/>
          <w:b/>
          <w:smallCaps/>
        </w:rPr>
      </w:pPr>
      <w:r w:rsidRPr="00F97BAC">
        <w:rPr>
          <w:rFonts w:ascii="Gill Sans MT" w:hAnsi="Gill Sans MT"/>
          <w:b/>
          <w:smallCaps/>
        </w:rPr>
        <w:t>(unless otherwise stated)</w:t>
      </w:r>
    </w:p>
    <w:p w:rsidR="00E8582A" w:rsidRDefault="00E8582A" w:rsidP="00C04F9C">
      <w:pPr>
        <w:spacing w:after="20"/>
        <w:jc w:val="center"/>
        <w:rPr>
          <w:rFonts w:ascii="Gill Sans MT" w:hAnsi="Gill Sans MT"/>
          <w:b/>
          <w:smallCaps/>
        </w:rPr>
      </w:pPr>
      <w:r>
        <w:rPr>
          <w:rFonts w:ascii="Gill Sans MT" w:hAnsi="Gill Sans MT"/>
          <w:b/>
          <w:smallCaps/>
        </w:rPr>
        <w:t>As of March 31, 2012</w:t>
      </w:r>
    </w:p>
    <w:p w:rsidR="00E8582A" w:rsidRDefault="00E8582A" w:rsidP="00C04F9C">
      <w:pPr>
        <w:spacing w:after="20"/>
        <w:jc w:val="center"/>
        <w:rPr>
          <w:rFonts w:ascii="Gill Sans MT" w:hAnsi="Gill Sans MT"/>
          <w:b/>
          <w:smallCaps/>
        </w:rPr>
      </w:pPr>
    </w:p>
    <w:p w:rsidR="00E8582A" w:rsidRDefault="00E8582A" w:rsidP="00584E75">
      <w:pPr>
        <w:jc w:val="center"/>
        <w:rPr>
          <w:rFonts w:ascii="Gill Sans MT" w:hAnsi="Gill Sans MT"/>
          <w:b/>
          <w:smallCaps/>
        </w:rPr>
      </w:pPr>
      <w:r w:rsidRPr="00DD2F28">
        <w:rPr>
          <w:noProof/>
          <w:lang w:val="en-GB" w:eastAsia="en-GB"/>
        </w:rPr>
        <w:pict>
          <v:shape id="_x0000_i1041" type="#_x0000_t75" style="width:534.75pt;height:455.25pt;visibility:visible">
            <v:imagedata r:id="rId29" o:title=""/>
          </v:shape>
        </w:pict>
      </w:r>
    </w:p>
    <w:p w:rsidR="00E8582A" w:rsidRPr="00F97BAC" w:rsidRDefault="00E8582A" w:rsidP="00584E75">
      <w:pPr>
        <w:jc w:val="center"/>
        <w:rPr>
          <w:rFonts w:ascii="Gill Sans MT" w:hAnsi="Gill Sans MT"/>
          <w:b/>
          <w:smallCaps/>
        </w:rPr>
      </w:pPr>
    </w:p>
    <w:p w:rsidR="00E8582A" w:rsidRPr="001A5584" w:rsidRDefault="00E8582A" w:rsidP="00584E75">
      <w:pPr>
        <w:ind w:left="-360" w:right="-446"/>
        <w:rPr>
          <w:rFonts w:ascii="Gill Sans MT" w:hAnsi="Gill Sans MT"/>
          <w:b/>
          <w:sz w:val="14"/>
          <w:szCs w:val="14"/>
        </w:rPr>
      </w:pPr>
      <w:r w:rsidRPr="001A5584">
        <w:rPr>
          <w:rFonts w:ascii="Gill Sans MT" w:hAnsi="Gill Sans MT"/>
          <w:b/>
          <w:sz w:val="14"/>
          <w:szCs w:val="14"/>
        </w:rPr>
        <w:t>An investment in TFG involves substantial risks.  Please refer to the Company’s website at</w:t>
      </w:r>
      <w:r w:rsidRPr="001A5584">
        <w:rPr>
          <w:rStyle w:val="Hyperlink"/>
          <w:rFonts w:ascii="Gill Sans MT" w:hAnsi="Gill Sans MT"/>
          <w:b/>
          <w:color w:val="336600"/>
          <w:sz w:val="14"/>
          <w:szCs w:val="14"/>
        </w:rPr>
        <w:t xml:space="preserve"> </w:t>
      </w:r>
      <w:hyperlink r:id="rId30" w:history="1">
        <w:r w:rsidRPr="001A5584">
          <w:rPr>
            <w:rStyle w:val="Hyperlink"/>
            <w:rFonts w:ascii="Gill Sans MT" w:hAnsi="Gill Sans MT"/>
            <w:b/>
            <w:color w:val="336600"/>
            <w:sz w:val="14"/>
            <w:szCs w:val="14"/>
          </w:rPr>
          <w:t>www.tetragoninv.com</w:t>
        </w:r>
      </w:hyperlink>
      <w:r w:rsidRPr="001A5584">
        <w:rPr>
          <w:rFonts w:ascii="Gill Sans MT" w:hAnsi="Gill Sans MT"/>
          <w:b/>
          <w:sz w:val="14"/>
          <w:szCs w:val="14"/>
        </w:rPr>
        <w:t xml:space="preserve"> for a description of the risks and uncertainties pertaining to an investment in TFG.</w:t>
      </w:r>
    </w:p>
    <w:p w:rsidR="00E8582A" w:rsidRDefault="00E8582A" w:rsidP="00C04F9C">
      <w:pPr>
        <w:ind w:left="-360" w:right="-446"/>
        <w:rPr>
          <w:rFonts w:ascii="Gill Sans MT" w:hAnsi="Gill Sans MT" w:cs="Courier New"/>
          <w:sz w:val="14"/>
          <w:szCs w:val="14"/>
        </w:rPr>
      </w:pPr>
      <w:r w:rsidRPr="00837C99">
        <w:rPr>
          <w:rFonts w:ascii="Gill Sans MT" w:hAnsi="Gill Sans MT" w:cs="Courier New"/>
          <w:sz w:val="14"/>
          <w:szCs w:val="14"/>
        </w:rPr>
        <w:t>This release does not contain or constitute an offer to sell or a solicitation of an offer to purchase securities in the United States or any other jurisdiction.  The securities of TFG have not been and will not be registered under the US Securities Act of 1933 (the "Securities Act"), as amended, and may not be offered or sold in the United States or to US persons unless they are registered under applicable law or exempt from registration.  TFG does not intend to register any portion of its securities in the United States or to conduct a public offer of securities in the United States.  In addition, TFG has not been and will not be registered under the US Investment Company Act of 1940, and investors will not be entitled to the benefits of such Act.  TFG is registered in the public register of the Netherlands Authority for the Financial Markets under Section 1:107 of the Financial Markets Supervision Act ("FMSA") as a collective investment scheme from a designated country. This release constitutes regulated information ("gereglementeerde informatie") within the meaning of Section 1:1 of the FMSA.</w:t>
      </w:r>
      <w:r>
        <w:rPr>
          <w:rFonts w:ascii="Gill Sans MT" w:hAnsi="Gill Sans MT" w:cs="Courier New"/>
          <w:sz w:val="14"/>
          <w:szCs w:val="14"/>
        </w:rPr>
        <w:br w:type="page"/>
      </w:r>
    </w:p>
    <w:p w:rsidR="00E8582A" w:rsidRPr="00C04F9C" w:rsidRDefault="00E8582A" w:rsidP="00C04F9C">
      <w:pPr>
        <w:ind w:left="-360" w:right="-446"/>
        <w:rPr>
          <w:rFonts w:ascii="Gill Sans MT" w:hAnsi="Gill Sans MT" w:cs="Courier New"/>
          <w:sz w:val="14"/>
          <w:szCs w:val="14"/>
        </w:rPr>
      </w:pPr>
      <w:r w:rsidRPr="00DA0293">
        <w:rPr>
          <w:rFonts w:ascii="Gill Sans MT" w:hAnsi="Gill Sans MT"/>
          <w:b/>
          <w:smallCaps/>
          <w:sz w:val="28"/>
          <w:szCs w:val="28"/>
        </w:rPr>
        <w:t>Board of Directors</w:t>
      </w:r>
    </w:p>
    <w:p w:rsidR="00E8582A" w:rsidRDefault="00E8582A" w:rsidP="00A96E26">
      <w:pPr>
        <w:ind w:left="-360" w:right="-441"/>
        <w:rPr>
          <w:rFonts w:ascii="Gill Sans MT" w:hAnsi="Gill Sans MT"/>
          <w:sz w:val="22"/>
          <w:szCs w:val="22"/>
        </w:rPr>
      </w:pPr>
      <w:r w:rsidRPr="00DA0293">
        <w:rPr>
          <w:rFonts w:ascii="Gill Sans MT" w:hAnsi="Gill Sans MT"/>
          <w:sz w:val="22"/>
          <w:szCs w:val="22"/>
        </w:rPr>
        <w:t xml:space="preserve">Paddy Dear </w:t>
      </w:r>
      <w:r>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Reade Griffith     </w:t>
      </w:r>
      <w:r>
        <w:rPr>
          <w:rFonts w:ascii="Gill Sans MT" w:hAnsi="Gill Sans MT"/>
          <w:sz w:val="22"/>
          <w:szCs w:val="22"/>
        </w:rPr>
        <w:tab/>
      </w:r>
      <w:r>
        <w:rPr>
          <w:rFonts w:ascii="Gill Sans MT" w:hAnsi="Gill Sans MT"/>
          <w:sz w:val="22"/>
          <w:szCs w:val="22"/>
        </w:rPr>
        <w:tab/>
        <w:t xml:space="preserve">Byron Knief*       </w:t>
      </w:r>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E8582A" w:rsidRDefault="00E8582A" w:rsidP="00A8599C">
      <w:pPr>
        <w:spacing w:after="120"/>
        <w:ind w:left="-547" w:right="-446" w:firstLine="187"/>
        <w:rPr>
          <w:rFonts w:ascii="Gill Sans MT" w:hAnsi="Gill Sans MT"/>
          <w:sz w:val="22"/>
          <w:szCs w:val="22"/>
        </w:rPr>
      </w:pPr>
      <w:r>
        <w:rPr>
          <w:rFonts w:ascii="Gill Sans MT" w:hAnsi="Gill Sans MT"/>
          <w:sz w:val="22"/>
          <w:szCs w:val="22"/>
        </w:rPr>
        <w:t xml:space="preserve">Rupert Dorey*  </w:t>
      </w:r>
      <w:r>
        <w:rPr>
          <w:rFonts w:ascii="Gill Sans MT" w:hAnsi="Gill Sans MT"/>
          <w:sz w:val="22"/>
          <w:szCs w:val="22"/>
        </w:rPr>
        <w:tab/>
      </w:r>
      <w:r>
        <w:rPr>
          <w:rFonts w:ascii="Gill Sans MT" w:hAnsi="Gill Sans MT"/>
          <w:sz w:val="22"/>
          <w:szCs w:val="22"/>
        </w:rPr>
        <w:tab/>
      </w:r>
      <w:r>
        <w:rPr>
          <w:rFonts w:ascii="Gill Sans MT" w:hAnsi="Gill Sans MT"/>
          <w:sz w:val="22"/>
          <w:szCs w:val="22"/>
        </w:rPr>
        <w:tab/>
        <w:t>David Jeffreys*</w:t>
      </w:r>
      <w:r>
        <w:rPr>
          <w:rFonts w:ascii="Gill Sans MT" w:hAnsi="Gill Sans MT"/>
          <w:sz w:val="22"/>
          <w:szCs w:val="22"/>
        </w:rPr>
        <w:tab/>
        <w:t xml:space="preserve">                        Greville Ward*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E8582A" w:rsidRPr="00261373" w:rsidRDefault="00E8582A" w:rsidP="00A8599C">
      <w:pPr>
        <w:spacing w:after="120"/>
        <w:ind w:left="-547" w:right="-446" w:firstLine="187"/>
        <w:rPr>
          <w:rFonts w:ascii="Gill Sans MT" w:hAnsi="Gill Sans MT"/>
          <w:b/>
          <w:i/>
          <w:sz w:val="20"/>
          <w:szCs w:val="20"/>
        </w:rPr>
      </w:pPr>
      <w:r w:rsidRPr="00261373">
        <w:rPr>
          <w:rFonts w:ascii="Gill Sans MT" w:hAnsi="Gill Sans MT"/>
          <w:b/>
          <w:i/>
          <w:sz w:val="20"/>
          <w:szCs w:val="20"/>
        </w:rPr>
        <w:t>*Independent Director</w:t>
      </w:r>
    </w:p>
    <w:p w:rsidR="00E8582A" w:rsidRDefault="00E8582A" w:rsidP="00461428">
      <w:pPr>
        <w:spacing w:after="120"/>
        <w:ind w:left="-540" w:firstLine="180"/>
        <w:outlineLvl w:val="0"/>
        <w:rPr>
          <w:rFonts w:ascii="Gill Sans MT" w:hAnsi="Gill Sans MT"/>
          <w:b/>
          <w:smallCaps/>
          <w:sz w:val="28"/>
          <w:szCs w:val="28"/>
        </w:rPr>
      </w:pPr>
      <w:r w:rsidRPr="00DA0293">
        <w:rPr>
          <w:rFonts w:ascii="Gill Sans MT" w:hAnsi="Gill Sans MT"/>
          <w:b/>
          <w:smallCaps/>
          <w:sz w:val="28"/>
          <w:szCs w:val="28"/>
        </w:rPr>
        <w:t>Shareholder Information</w:t>
      </w:r>
    </w:p>
    <w:p w:rsidR="00E8582A" w:rsidRDefault="00E8582A" w:rsidP="00461428">
      <w:pPr>
        <w:ind w:left="5040" w:hanging="5400"/>
        <w:rPr>
          <w:rFonts w:ascii="Gill Sans MT" w:hAnsi="Gill Sans MT"/>
          <w:b/>
          <w:sz w:val="20"/>
          <w:szCs w:val="20"/>
        </w:rPr>
      </w:pPr>
      <w:r w:rsidRPr="00031A80">
        <w:rPr>
          <w:rFonts w:ascii="Gill Sans MT" w:hAnsi="Gill Sans MT"/>
          <w:b/>
          <w:sz w:val="20"/>
          <w:szCs w:val="20"/>
        </w:rPr>
        <w:t xml:space="preserve">Registered Office of TFG and the Master Fund          </w:t>
      </w:r>
      <w:r w:rsidRPr="00031A80">
        <w:rPr>
          <w:rFonts w:ascii="Gill Sans MT" w:hAnsi="Gill Sans MT"/>
          <w:b/>
          <w:sz w:val="20"/>
          <w:szCs w:val="20"/>
        </w:rPr>
        <w:tab/>
      </w:r>
      <w:r w:rsidRPr="00031A80">
        <w:rPr>
          <w:rFonts w:ascii="Gill Sans MT" w:hAnsi="Gill Sans MT"/>
          <w:b/>
          <w:sz w:val="20"/>
          <w:szCs w:val="20"/>
        </w:rPr>
        <w:tab/>
        <w:t>Issuing Agent, Dutch Paying and</w:t>
      </w:r>
    </w:p>
    <w:p w:rsidR="00E8582A" w:rsidRDefault="00E8582A" w:rsidP="00461428">
      <w:pPr>
        <w:ind w:left="-540" w:firstLine="180"/>
        <w:rPr>
          <w:rFonts w:ascii="Gill Sans MT" w:hAnsi="Gill Sans MT"/>
          <w:sz w:val="20"/>
          <w:szCs w:val="20"/>
        </w:rPr>
      </w:pPr>
      <w:r w:rsidRPr="00031A80">
        <w:rPr>
          <w:rFonts w:ascii="Gill Sans MT" w:hAnsi="Gill Sans MT"/>
          <w:sz w:val="20"/>
          <w:szCs w:val="20"/>
        </w:rPr>
        <w:t>Tetragon Financial Group Limited</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Transfer Agent</w:t>
      </w:r>
      <w:r w:rsidRPr="00031A80">
        <w:rPr>
          <w:rFonts w:ascii="Gill Sans MT" w:hAnsi="Gill Sans MT"/>
          <w:sz w:val="20"/>
          <w:szCs w:val="20"/>
        </w:rPr>
        <w:tab/>
      </w:r>
      <w:r w:rsidRPr="00031A80">
        <w:rPr>
          <w:rFonts w:ascii="Gill Sans MT" w:hAnsi="Gill Sans MT"/>
          <w:sz w:val="20"/>
          <w:szCs w:val="20"/>
        </w:rPr>
        <w:tab/>
        <w:t xml:space="preserve"> </w:t>
      </w:r>
    </w:p>
    <w:p w:rsidR="00E8582A" w:rsidRDefault="00E8582A" w:rsidP="00461428">
      <w:pPr>
        <w:ind w:left="-540" w:firstLine="180"/>
        <w:rPr>
          <w:rFonts w:ascii="Gill Sans MT" w:hAnsi="Gill Sans MT"/>
          <w:sz w:val="20"/>
          <w:szCs w:val="20"/>
        </w:rPr>
      </w:pPr>
      <w:r w:rsidRPr="00031A80">
        <w:rPr>
          <w:rFonts w:ascii="Gill Sans MT" w:hAnsi="Gill Sans MT"/>
          <w:sz w:val="20"/>
          <w:szCs w:val="20"/>
        </w:rPr>
        <w:t xml:space="preserve">Tetragon Financial Group Master Fund Limited </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Kas Bank N.V.</w:t>
      </w:r>
    </w:p>
    <w:p w:rsidR="00E8582A" w:rsidRPr="00246C9A" w:rsidRDefault="00E8582A" w:rsidP="00461428">
      <w:pPr>
        <w:ind w:left="-360"/>
        <w:rPr>
          <w:rFonts w:ascii="Gill Sans MT" w:hAnsi="Gill Sans MT"/>
          <w:sz w:val="20"/>
          <w:szCs w:val="20"/>
          <w:lang w:val="nl-NL"/>
        </w:rPr>
      </w:pPr>
      <w:r>
        <w:rPr>
          <w:rFonts w:ascii="Gill Sans MT" w:hAnsi="Gill Sans MT"/>
          <w:sz w:val="20"/>
          <w:szCs w:val="20"/>
          <w:lang w:val="nl-NL"/>
        </w:rPr>
        <w:t>1st Floor Dorey Court</w:t>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F20CAA">
        <w:rPr>
          <w:rFonts w:ascii="Gill Sans MT" w:hAnsi="Gill Sans MT"/>
          <w:sz w:val="20"/>
          <w:szCs w:val="20"/>
          <w:lang w:val="nl-NL"/>
        </w:rPr>
        <w:t>Spuistraat 172</w:t>
      </w:r>
    </w:p>
    <w:p w:rsidR="00E8582A" w:rsidRPr="00246C9A" w:rsidRDefault="00E8582A" w:rsidP="00461428">
      <w:pPr>
        <w:ind w:left="-360"/>
        <w:rPr>
          <w:rFonts w:ascii="Gill Sans MT" w:hAnsi="Gill Sans MT"/>
          <w:sz w:val="20"/>
          <w:szCs w:val="20"/>
          <w:lang w:val="nl-NL"/>
        </w:rPr>
      </w:pPr>
      <w:r>
        <w:rPr>
          <w:rFonts w:ascii="Gill Sans MT" w:hAnsi="Gill Sans MT"/>
          <w:sz w:val="20"/>
          <w:szCs w:val="20"/>
          <w:lang w:val="nl-NL"/>
        </w:rPr>
        <w:t>Admiral Park</w:t>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sidRPr="008E0EBD">
        <w:rPr>
          <w:rFonts w:ascii="Gill Sans MT" w:hAnsi="Gill Sans MT"/>
          <w:sz w:val="20"/>
          <w:szCs w:val="20"/>
          <w:lang w:val="nl-NL"/>
        </w:rPr>
        <w:tab/>
      </w:r>
      <w:r>
        <w:rPr>
          <w:rFonts w:ascii="Gill Sans MT" w:hAnsi="Gill Sans MT"/>
          <w:sz w:val="20"/>
          <w:szCs w:val="20"/>
          <w:lang w:val="nl-NL"/>
        </w:rPr>
        <w:tab/>
      </w:r>
      <w:r w:rsidRPr="00F20CAA">
        <w:rPr>
          <w:rFonts w:ascii="Gill Sans MT" w:hAnsi="Gill Sans MT"/>
          <w:sz w:val="20"/>
          <w:szCs w:val="20"/>
          <w:lang w:val="nl-NL"/>
        </w:rPr>
        <w:t>1012 VT Amsterdam, The Netherlands</w:t>
      </w:r>
    </w:p>
    <w:p w:rsidR="00E8582A" w:rsidRDefault="00E8582A" w:rsidP="00461428">
      <w:pPr>
        <w:ind w:left="-360"/>
        <w:rPr>
          <w:rFonts w:ascii="Gill Sans MT" w:hAnsi="Gill Sans MT"/>
          <w:sz w:val="20"/>
          <w:szCs w:val="20"/>
        </w:rPr>
      </w:pPr>
      <w:r w:rsidRPr="00031A80">
        <w:rPr>
          <w:rFonts w:ascii="Gill Sans MT" w:hAnsi="Gill Sans MT"/>
          <w:sz w:val="20"/>
          <w:szCs w:val="20"/>
        </w:rPr>
        <w:t>St. Peter Port, Guernsey</w:t>
      </w:r>
    </w:p>
    <w:p w:rsidR="00E8582A" w:rsidRDefault="00E8582A" w:rsidP="00A8599C">
      <w:pPr>
        <w:ind w:left="-360"/>
        <w:rPr>
          <w:rFonts w:ascii="Gill Sans MT" w:hAnsi="Gill Sans MT"/>
          <w:sz w:val="20"/>
          <w:szCs w:val="20"/>
        </w:rPr>
      </w:pPr>
      <w:r>
        <w:rPr>
          <w:rFonts w:ascii="Gill Sans MT" w:hAnsi="Gill Sans MT"/>
          <w:sz w:val="20"/>
          <w:szCs w:val="20"/>
        </w:rPr>
        <w:t>Channel Islands GYI 6HJ</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Legal Advisor (as to U.S. law)</w:t>
      </w:r>
    </w:p>
    <w:p w:rsidR="00E8582A" w:rsidRDefault="00E8582A" w:rsidP="00461428">
      <w:pPr>
        <w:ind w:left="-360"/>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Cravath, Swaine &amp; Moore LLP</w:t>
      </w:r>
      <w:r w:rsidRPr="00031A80">
        <w:rPr>
          <w:rFonts w:ascii="Gill Sans MT" w:hAnsi="Gill Sans MT"/>
          <w:sz w:val="20"/>
          <w:szCs w:val="20"/>
        </w:rPr>
        <w:tab/>
      </w:r>
      <w:r w:rsidRPr="00031A80">
        <w:rPr>
          <w:rFonts w:ascii="Gill Sans MT" w:hAnsi="Gill Sans MT"/>
          <w:sz w:val="20"/>
          <w:szCs w:val="20"/>
        </w:rPr>
        <w:tab/>
      </w:r>
    </w:p>
    <w:p w:rsidR="00E8582A" w:rsidRDefault="00E8582A" w:rsidP="00461428">
      <w:pPr>
        <w:ind w:left="-360"/>
        <w:rPr>
          <w:rFonts w:ascii="Gill Sans MT" w:hAnsi="Gill Sans MT"/>
          <w:b/>
          <w:sz w:val="20"/>
          <w:szCs w:val="20"/>
        </w:rPr>
      </w:pPr>
      <w:r w:rsidRPr="00031A80">
        <w:rPr>
          <w:rFonts w:ascii="Gill Sans MT" w:hAnsi="Gill Sans MT"/>
          <w:b/>
          <w:sz w:val="20"/>
          <w:szCs w:val="20"/>
        </w:rPr>
        <w:t xml:space="preserve">Investment Manager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sz w:val="20"/>
          <w:szCs w:val="20"/>
        </w:rPr>
        <w:t>One Ropemaker Street</w:t>
      </w:r>
    </w:p>
    <w:p w:rsidR="00E8582A" w:rsidRDefault="00E8582A" w:rsidP="00461428">
      <w:pPr>
        <w:ind w:left="-360"/>
        <w:rPr>
          <w:rFonts w:ascii="Gill Sans MT" w:hAnsi="Gill Sans MT"/>
          <w:b/>
          <w:sz w:val="20"/>
          <w:szCs w:val="20"/>
        </w:rPr>
      </w:pPr>
      <w:r>
        <w:rPr>
          <w:rFonts w:ascii="Gill Sans MT" w:hAnsi="Gill Sans MT"/>
          <w:sz w:val="20"/>
          <w:szCs w:val="20"/>
        </w:rPr>
        <w:t>Tetragon Financial</w:t>
      </w:r>
      <w:r w:rsidRPr="00031A80">
        <w:rPr>
          <w:rFonts w:ascii="Gill Sans MT" w:hAnsi="Gill Sans MT"/>
          <w:sz w:val="20"/>
          <w:szCs w:val="20"/>
        </w:rPr>
        <w:t xml:space="preserve"> Management LP</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London EC2Y 9HR</w:t>
      </w:r>
    </w:p>
    <w:p w:rsidR="00E8582A" w:rsidRDefault="00E8582A" w:rsidP="00461428">
      <w:pPr>
        <w:ind w:left="-360"/>
        <w:rPr>
          <w:rFonts w:ascii="Gill Sans MT" w:hAnsi="Gill Sans MT"/>
          <w:sz w:val="20"/>
          <w:szCs w:val="20"/>
        </w:rPr>
      </w:pPr>
      <w:r w:rsidRPr="00031A80">
        <w:rPr>
          <w:rFonts w:ascii="Gill Sans MT" w:hAnsi="Gill Sans MT"/>
          <w:sz w:val="20"/>
          <w:szCs w:val="20"/>
        </w:rPr>
        <w:t>399 Park Avenue, 22</w:t>
      </w:r>
      <w:r w:rsidRPr="00031A80">
        <w:rPr>
          <w:rFonts w:ascii="Gill Sans MT" w:hAnsi="Gill Sans MT"/>
          <w:sz w:val="20"/>
          <w:szCs w:val="20"/>
          <w:vertAlign w:val="superscript"/>
        </w:rPr>
        <w:t xml:space="preserve">nd </w:t>
      </w:r>
      <w:r w:rsidRPr="00031A80">
        <w:rPr>
          <w:rFonts w:ascii="Gill Sans MT" w:hAnsi="Gill Sans MT"/>
          <w:sz w:val="20"/>
          <w:szCs w:val="20"/>
        </w:rPr>
        <w:t>Floor</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United Kingdom</w:t>
      </w:r>
    </w:p>
    <w:p w:rsidR="00E8582A" w:rsidRDefault="00E8582A" w:rsidP="00461428">
      <w:pPr>
        <w:ind w:left="-360"/>
        <w:rPr>
          <w:rFonts w:ascii="Gill Sans MT" w:hAnsi="Gill Sans MT"/>
          <w:sz w:val="20"/>
          <w:szCs w:val="20"/>
        </w:rPr>
      </w:pPr>
      <w:r w:rsidRPr="00031A80">
        <w:rPr>
          <w:rFonts w:ascii="Gill Sans MT" w:hAnsi="Gill Sans MT"/>
          <w:sz w:val="20"/>
          <w:szCs w:val="20"/>
        </w:rPr>
        <w:t>New York, NY 10022</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p>
    <w:p w:rsidR="00E8582A" w:rsidRDefault="00E8582A" w:rsidP="00461428">
      <w:pPr>
        <w:ind w:left="-360"/>
        <w:rPr>
          <w:rFonts w:ascii="Gill Sans MT" w:hAnsi="Gill Sans MT"/>
          <w:sz w:val="20"/>
          <w:szCs w:val="20"/>
        </w:rPr>
      </w:pPr>
      <w:r w:rsidRPr="00031A80">
        <w:rPr>
          <w:rFonts w:ascii="Gill Sans MT" w:hAnsi="Gill Sans MT"/>
          <w:sz w:val="20"/>
          <w:szCs w:val="20"/>
        </w:rPr>
        <w:t>United States of America</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Legal Advisor (as to Guernsey law)</w:t>
      </w:r>
    </w:p>
    <w:p w:rsidR="00E8582A" w:rsidRDefault="00E8582A" w:rsidP="00461428">
      <w:pPr>
        <w:ind w:left="-360" w:hanging="180"/>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Ogier</w:t>
      </w:r>
    </w:p>
    <w:p w:rsidR="00E8582A" w:rsidRDefault="00E8582A" w:rsidP="00461428">
      <w:pPr>
        <w:ind w:left="-360" w:hanging="180"/>
        <w:rPr>
          <w:rFonts w:ascii="Gill Sans MT" w:hAnsi="Gill Sans MT"/>
          <w:b/>
          <w:sz w:val="20"/>
          <w:szCs w:val="20"/>
        </w:rPr>
      </w:pPr>
      <w:r>
        <w:rPr>
          <w:rFonts w:ascii="Gill Sans MT" w:hAnsi="Gill Sans MT"/>
          <w:sz w:val="20"/>
          <w:szCs w:val="20"/>
        </w:rPr>
        <w:tab/>
      </w:r>
      <w:r w:rsidRPr="004F0FE2">
        <w:rPr>
          <w:rFonts w:ascii="Gill Sans MT" w:hAnsi="Gill Sans MT"/>
          <w:b/>
          <w:sz w:val="20"/>
          <w:szCs w:val="20"/>
        </w:rPr>
        <w:t>General Partner</w:t>
      </w:r>
      <w:r>
        <w:rPr>
          <w:rFonts w:ascii="Gill Sans MT" w:hAnsi="Gill Sans MT"/>
          <w:b/>
          <w:sz w:val="20"/>
          <w:szCs w:val="20"/>
        </w:rPr>
        <w:t xml:space="preserve"> of Investment Manager</w:t>
      </w:r>
      <w:r w:rsidRPr="004F0FE2">
        <w:rPr>
          <w:rFonts w:ascii="Gill Sans MT" w:hAnsi="Gill Sans MT"/>
          <w:b/>
          <w:sz w:val="20"/>
          <w:szCs w:val="20"/>
        </w:rPr>
        <w:t xml:space="preserve">   </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Pr="00031A80">
        <w:rPr>
          <w:rFonts w:ascii="Gill Sans MT" w:hAnsi="Gill Sans MT"/>
          <w:sz w:val="20"/>
          <w:szCs w:val="20"/>
        </w:rPr>
        <w:t>Ogier House</w:t>
      </w:r>
    </w:p>
    <w:p w:rsidR="00E8582A" w:rsidRDefault="00E8582A" w:rsidP="00461428">
      <w:pPr>
        <w:ind w:left="-360" w:hanging="180"/>
        <w:rPr>
          <w:rFonts w:ascii="Gill Sans MT" w:hAnsi="Gill Sans MT"/>
          <w:sz w:val="20"/>
          <w:szCs w:val="20"/>
        </w:rPr>
      </w:pPr>
      <w:r w:rsidRPr="004F0FE2">
        <w:rPr>
          <w:rFonts w:ascii="Gill Sans MT" w:hAnsi="Gill Sans MT"/>
          <w:b/>
          <w:sz w:val="20"/>
          <w:szCs w:val="20"/>
        </w:rPr>
        <w:t xml:space="preserve"> </w:t>
      </w:r>
      <w:r>
        <w:rPr>
          <w:rFonts w:ascii="Gill Sans MT" w:hAnsi="Gill Sans MT"/>
          <w:b/>
          <w:sz w:val="20"/>
          <w:szCs w:val="20"/>
        </w:rPr>
        <w:tab/>
      </w:r>
      <w:r>
        <w:rPr>
          <w:rFonts w:ascii="Gill Sans MT" w:hAnsi="Gill Sans MT"/>
          <w:sz w:val="20"/>
          <w:szCs w:val="20"/>
        </w:rPr>
        <w:t>Tetragon Financial</w:t>
      </w:r>
      <w:r w:rsidRPr="00031A80">
        <w:rPr>
          <w:rFonts w:ascii="Gill Sans MT" w:hAnsi="Gill Sans MT"/>
          <w:sz w:val="20"/>
          <w:szCs w:val="20"/>
        </w:rPr>
        <w:t xml:space="preserve"> Management </w:t>
      </w:r>
      <w:r>
        <w:rPr>
          <w:rFonts w:ascii="Gill Sans MT" w:hAnsi="Gill Sans MT"/>
          <w:sz w:val="20"/>
          <w:szCs w:val="20"/>
        </w:rPr>
        <w:t xml:space="preserve">GP </w:t>
      </w:r>
      <w:r w:rsidRPr="00031A80">
        <w:rPr>
          <w:rFonts w:ascii="Gill Sans MT" w:hAnsi="Gill Sans MT"/>
          <w:sz w:val="20"/>
          <w:szCs w:val="20"/>
        </w:rPr>
        <w:t>L</w:t>
      </w:r>
      <w:r>
        <w:rPr>
          <w:rFonts w:ascii="Gill Sans MT" w:hAnsi="Gill Sans MT"/>
          <w:sz w:val="20"/>
          <w:szCs w:val="20"/>
        </w:rPr>
        <w:t>LC</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St. Julian’s Avenue</w:t>
      </w:r>
    </w:p>
    <w:p w:rsidR="00E8582A" w:rsidRDefault="00E8582A" w:rsidP="00461428">
      <w:pPr>
        <w:ind w:left="-360" w:hanging="180"/>
        <w:rPr>
          <w:rFonts w:ascii="Gill Sans MT" w:hAnsi="Gill Sans MT"/>
          <w:b/>
          <w:sz w:val="20"/>
          <w:szCs w:val="20"/>
        </w:rPr>
      </w:pPr>
      <w:r>
        <w:rPr>
          <w:rFonts w:ascii="Gill Sans MT" w:hAnsi="Gill Sans MT"/>
          <w:sz w:val="20"/>
          <w:szCs w:val="20"/>
        </w:rPr>
        <w:tab/>
      </w:r>
      <w:r w:rsidRPr="00031A80">
        <w:rPr>
          <w:rFonts w:ascii="Gill Sans MT" w:hAnsi="Gill Sans MT"/>
          <w:sz w:val="20"/>
          <w:szCs w:val="20"/>
        </w:rPr>
        <w:t>399 Park Avenue, 22</w:t>
      </w:r>
      <w:r w:rsidRPr="00031A80">
        <w:rPr>
          <w:rFonts w:ascii="Gill Sans MT" w:hAnsi="Gill Sans MT"/>
          <w:sz w:val="20"/>
          <w:szCs w:val="20"/>
          <w:vertAlign w:val="superscript"/>
        </w:rPr>
        <w:t xml:space="preserve">nd </w:t>
      </w:r>
      <w:r w:rsidRPr="00031A80">
        <w:rPr>
          <w:rFonts w:ascii="Gill Sans MT" w:hAnsi="Gill Sans MT"/>
          <w:sz w:val="20"/>
          <w:szCs w:val="20"/>
        </w:rPr>
        <w:t>Floor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St. Peter Port, Guernsey</w:t>
      </w:r>
    </w:p>
    <w:p w:rsidR="00E8582A" w:rsidRDefault="00E8582A" w:rsidP="00461428">
      <w:pPr>
        <w:ind w:left="-360"/>
        <w:rPr>
          <w:rFonts w:ascii="Gill Sans MT" w:hAnsi="Gill Sans MT"/>
          <w:sz w:val="20"/>
          <w:szCs w:val="20"/>
        </w:rPr>
      </w:pPr>
      <w:r w:rsidRPr="00031A80">
        <w:rPr>
          <w:rFonts w:ascii="Gill Sans MT" w:hAnsi="Gill Sans MT"/>
          <w:sz w:val="20"/>
          <w:szCs w:val="20"/>
        </w:rPr>
        <w:t>New York, NY 10022</w:t>
      </w:r>
      <w:r w:rsidRPr="00031A80">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Channel Islands GYI 1WA</w:t>
      </w:r>
    </w:p>
    <w:p w:rsidR="00E8582A" w:rsidRDefault="00E8582A" w:rsidP="00461428">
      <w:pPr>
        <w:ind w:left="-360"/>
        <w:rPr>
          <w:rFonts w:ascii="Gill Sans MT" w:hAnsi="Gill Sans MT"/>
          <w:sz w:val="20"/>
          <w:szCs w:val="20"/>
        </w:rPr>
      </w:pPr>
      <w:r w:rsidRPr="00031A80">
        <w:rPr>
          <w:rFonts w:ascii="Gill Sans MT" w:hAnsi="Gill Sans MT"/>
          <w:sz w:val="20"/>
          <w:szCs w:val="20"/>
        </w:rPr>
        <w:t>United States of America</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E8582A" w:rsidRDefault="00E8582A" w:rsidP="00A8599C">
      <w:pPr>
        <w:ind w:left="-360"/>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b/>
          <w:sz w:val="20"/>
          <w:szCs w:val="20"/>
        </w:rPr>
        <w:t>Legal Advisor (as to Dutch law)</w:t>
      </w:r>
    </w:p>
    <w:p w:rsidR="00E8582A" w:rsidRDefault="00E8582A" w:rsidP="00461428">
      <w:pPr>
        <w:ind w:left="-360"/>
        <w:rPr>
          <w:rFonts w:ascii="Gill Sans MT" w:hAnsi="Gill Sans MT"/>
          <w:sz w:val="20"/>
          <w:szCs w:val="20"/>
        </w:rPr>
      </w:pPr>
      <w:r w:rsidRPr="00031A80">
        <w:rPr>
          <w:rFonts w:ascii="Gill Sans MT" w:hAnsi="Gill Sans MT"/>
          <w:b/>
          <w:sz w:val="20"/>
          <w:szCs w:val="20"/>
        </w:rPr>
        <w:t xml:space="preserve">Investor Relations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sz w:val="20"/>
          <w:szCs w:val="20"/>
        </w:rPr>
        <w:t>De Brauw Blackstone Westbroek N.V.</w:t>
      </w:r>
    </w:p>
    <w:p w:rsidR="00E8582A" w:rsidRDefault="00E8582A" w:rsidP="00461428">
      <w:pPr>
        <w:ind w:left="-360" w:hanging="180"/>
        <w:rPr>
          <w:rFonts w:ascii="Gill Sans MT" w:hAnsi="Gill Sans MT"/>
          <w:sz w:val="20"/>
          <w:szCs w:val="20"/>
        </w:rPr>
      </w:pPr>
      <w:r>
        <w:rPr>
          <w:rFonts w:ascii="Gill Sans MT" w:hAnsi="Gill Sans MT"/>
          <w:sz w:val="20"/>
          <w:szCs w:val="20"/>
        </w:rPr>
        <w:t xml:space="preserve">   David Wishnow</w:t>
      </w:r>
      <w:r w:rsidRPr="00031A80">
        <w:rPr>
          <w:rFonts w:ascii="Gill Sans MT" w:hAnsi="Gill Sans MT"/>
          <w:sz w:val="20"/>
          <w:szCs w:val="20"/>
        </w:rPr>
        <w:t xml:space="preserve"> / Yuko Thomas</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Claude Debussylaan 80</w:t>
      </w:r>
    </w:p>
    <w:p w:rsidR="00E8582A" w:rsidRDefault="00E8582A" w:rsidP="00CD47A4">
      <w:pPr>
        <w:ind w:left="-360"/>
        <w:rPr>
          <w:rFonts w:ascii="Gill Sans MT" w:hAnsi="Gill Sans MT"/>
          <w:sz w:val="20"/>
          <w:szCs w:val="20"/>
        </w:rPr>
      </w:pPr>
      <w:r w:rsidRPr="00F20CAA">
        <w:rPr>
          <w:rFonts w:ascii="Gill Sans MT" w:hAnsi="Gill Sans MT"/>
          <w:sz w:val="20"/>
          <w:szCs w:val="20"/>
        </w:rPr>
        <w:t xml:space="preserve">ir@tetragoninv.com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F20CAA">
        <w:rPr>
          <w:rFonts w:ascii="Gill Sans MT" w:hAnsi="Gill Sans MT"/>
          <w:sz w:val="20"/>
          <w:szCs w:val="20"/>
        </w:rPr>
        <w:t>1082 MD Amsterdam, The Netherlands</w:t>
      </w:r>
    </w:p>
    <w:p w:rsidR="00E8582A" w:rsidRPr="00314209" w:rsidRDefault="00E8582A" w:rsidP="00CD47A4">
      <w:pPr>
        <w:ind w:left="-360"/>
        <w:rPr>
          <w:rFonts w:ascii="Gill Sans MT" w:hAnsi="Gill Sans MT"/>
          <w:sz w:val="20"/>
          <w:szCs w:val="20"/>
        </w:rPr>
      </w:pP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E8582A" w:rsidRDefault="00E8582A" w:rsidP="00461428">
      <w:pPr>
        <w:ind w:left="-360" w:hanging="180"/>
        <w:rPr>
          <w:rFonts w:ascii="Gill Sans MT" w:hAnsi="Gill Sans MT"/>
          <w:b/>
          <w:sz w:val="20"/>
          <w:szCs w:val="20"/>
        </w:rPr>
      </w:pPr>
      <w:r w:rsidRPr="00F20CAA">
        <w:rPr>
          <w:rFonts w:ascii="Gill Sans MT" w:hAnsi="Gill Sans MT"/>
          <w:b/>
          <w:sz w:val="20"/>
          <w:szCs w:val="20"/>
        </w:rPr>
        <w:t xml:space="preserve">   </w:t>
      </w:r>
      <w:r w:rsidRPr="00031A80">
        <w:rPr>
          <w:rFonts w:ascii="Gill Sans MT" w:hAnsi="Gill Sans MT"/>
          <w:b/>
          <w:sz w:val="20"/>
          <w:szCs w:val="20"/>
        </w:rPr>
        <w:t>Press Inquiries</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Stock Listing</w:t>
      </w:r>
    </w:p>
    <w:p w:rsidR="00E8582A" w:rsidRDefault="00E8582A" w:rsidP="00461428">
      <w:pPr>
        <w:ind w:left="-360"/>
        <w:rPr>
          <w:rFonts w:ascii="Gill Sans MT" w:hAnsi="Gill Sans MT"/>
          <w:sz w:val="20"/>
          <w:szCs w:val="20"/>
        </w:rPr>
      </w:pPr>
      <w:r>
        <w:rPr>
          <w:rFonts w:ascii="Gill Sans MT" w:hAnsi="Gill Sans MT"/>
          <w:sz w:val="20"/>
          <w:szCs w:val="20"/>
        </w:rPr>
        <w:t>Brunswick Group</w:t>
      </w:r>
      <w:r>
        <w:rPr>
          <w:rFonts w:ascii="Gill Sans MT" w:hAnsi="Gill Sans MT"/>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DA5661">
        <w:rPr>
          <w:rFonts w:ascii="Gill Sans MT" w:hAnsi="Gill Sans MT"/>
          <w:sz w:val="20"/>
          <w:szCs w:val="20"/>
        </w:rPr>
        <w:t xml:space="preserve">NYSE </w:t>
      </w:r>
      <w:r w:rsidRPr="004B3C2E">
        <w:rPr>
          <w:rFonts w:ascii="Gill Sans MT" w:hAnsi="Gill Sans MT"/>
          <w:sz w:val="20"/>
          <w:szCs w:val="20"/>
        </w:rPr>
        <w:t xml:space="preserve">Euronext </w:t>
      </w:r>
      <w:r>
        <w:rPr>
          <w:rFonts w:ascii="Gill Sans MT" w:hAnsi="Gill Sans MT"/>
          <w:sz w:val="20"/>
          <w:szCs w:val="20"/>
        </w:rPr>
        <w:t xml:space="preserve">in </w:t>
      </w:r>
      <w:r w:rsidRPr="004B3C2E">
        <w:rPr>
          <w:rFonts w:ascii="Gill Sans MT" w:hAnsi="Gill Sans MT"/>
          <w:sz w:val="20"/>
          <w:szCs w:val="20"/>
        </w:rPr>
        <w:t xml:space="preserve">Amsterdam </w:t>
      </w:r>
    </w:p>
    <w:p w:rsidR="00E8582A" w:rsidRDefault="00E8582A" w:rsidP="00461428">
      <w:pPr>
        <w:ind w:left="-360"/>
        <w:rPr>
          <w:rFonts w:ascii="Gill Sans MT" w:hAnsi="Gill Sans MT"/>
          <w:sz w:val="20"/>
          <w:szCs w:val="20"/>
        </w:rPr>
      </w:pPr>
      <w:r>
        <w:rPr>
          <w:rFonts w:ascii="Gill Sans MT" w:hAnsi="Gill Sans MT"/>
          <w:sz w:val="20"/>
          <w:szCs w:val="20"/>
        </w:rPr>
        <w:t>Andrew Garfield/Gill Ackers/Pip Green</w:t>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
    <w:p w:rsidR="00E8582A" w:rsidRDefault="00E8582A" w:rsidP="00461428">
      <w:pPr>
        <w:ind w:left="-360"/>
        <w:rPr>
          <w:rFonts w:ascii="Gill Sans MT" w:hAnsi="Gill Sans MT"/>
          <w:sz w:val="20"/>
          <w:szCs w:val="20"/>
        </w:rPr>
      </w:pPr>
      <w:r>
        <w:rPr>
          <w:rFonts w:ascii="Gill Sans MT" w:hAnsi="Gill Sans MT"/>
          <w:sz w:val="20"/>
          <w:szCs w:val="20"/>
        </w:rPr>
        <w:t>tetragon@brunswickgroup.com</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ab/>
      </w:r>
      <w:r w:rsidRPr="00031A80" w:rsidDel="00CA5F0A">
        <w:rPr>
          <w:rFonts w:ascii="Gill Sans MT" w:hAnsi="Gill Sans MT"/>
          <w:sz w:val="20"/>
          <w:szCs w:val="20"/>
        </w:rPr>
        <w:t xml:space="preserve"> </w:t>
      </w:r>
      <w:r w:rsidRPr="00031A80">
        <w:rPr>
          <w:rFonts w:ascii="Gill Sans MT" w:hAnsi="Gill Sans MT"/>
          <w:b/>
          <w:sz w:val="20"/>
          <w:szCs w:val="20"/>
        </w:rPr>
        <w:t>Administrator and Registrar</w:t>
      </w:r>
      <w:r w:rsidRPr="00031A80">
        <w:rPr>
          <w:rFonts w:ascii="Gill Sans MT" w:hAnsi="Gill Sans MT"/>
          <w:sz w:val="20"/>
          <w:szCs w:val="20"/>
        </w:rPr>
        <w:tab/>
      </w:r>
    </w:p>
    <w:p w:rsidR="00E8582A" w:rsidRDefault="00E8582A" w:rsidP="00461428">
      <w:pPr>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State Street Guernsey Limited</w:t>
      </w:r>
    </w:p>
    <w:p w:rsidR="00E8582A" w:rsidRDefault="00E8582A" w:rsidP="00461428">
      <w:pPr>
        <w:ind w:left="-360"/>
        <w:rPr>
          <w:rFonts w:ascii="Gill Sans MT" w:hAnsi="Gill Sans MT"/>
          <w:sz w:val="20"/>
          <w:szCs w:val="20"/>
        </w:rPr>
      </w:pPr>
      <w:r w:rsidRPr="00031A80">
        <w:rPr>
          <w:rFonts w:ascii="Gill Sans MT" w:hAnsi="Gill Sans MT"/>
          <w:b/>
          <w:sz w:val="20"/>
          <w:szCs w:val="20"/>
        </w:rPr>
        <w:t xml:space="preserve">Auditors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Pr>
          <w:rFonts w:ascii="Gill Sans MT" w:hAnsi="Gill Sans MT"/>
          <w:sz w:val="20"/>
          <w:szCs w:val="20"/>
        </w:rPr>
        <w:t>1</w:t>
      </w:r>
      <w:r w:rsidRPr="00B41CA4">
        <w:rPr>
          <w:rFonts w:ascii="Gill Sans MT" w:hAnsi="Gill Sans MT"/>
          <w:sz w:val="20"/>
          <w:szCs w:val="20"/>
          <w:vertAlign w:val="superscript"/>
        </w:rPr>
        <w:t>st</w:t>
      </w:r>
      <w:r>
        <w:rPr>
          <w:rFonts w:ascii="Gill Sans MT" w:hAnsi="Gill Sans MT"/>
          <w:sz w:val="20"/>
          <w:szCs w:val="20"/>
        </w:rPr>
        <w:t xml:space="preserve"> Floor Dorey Court</w:t>
      </w:r>
    </w:p>
    <w:p w:rsidR="00E8582A" w:rsidRDefault="00E8582A" w:rsidP="00461428">
      <w:pPr>
        <w:ind w:left="-360" w:hanging="180"/>
        <w:rPr>
          <w:rFonts w:ascii="Gill Sans MT" w:hAnsi="Gill Sans MT"/>
          <w:sz w:val="20"/>
          <w:szCs w:val="20"/>
        </w:rPr>
      </w:pPr>
      <w:r w:rsidRPr="00031A80">
        <w:rPr>
          <w:rFonts w:ascii="Gill Sans MT" w:hAnsi="Gill Sans MT"/>
          <w:sz w:val="20"/>
          <w:szCs w:val="20"/>
        </w:rPr>
        <w:t xml:space="preserve">   KPMG Channel Islands Ltd</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Admiral Park</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p>
    <w:p w:rsidR="00E8582A" w:rsidRDefault="00E8582A" w:rsidP="00461428">
      <w:pPr>
        <w:ind w:left="-360" w:hanging="180"/>
        <w:rPr>
          <w:rFonts w:ascii="Gill Sans MT" w:hAnsi="Gill Sans MT"/>
          <w:b/>
          <w:sz w:val="20"/>
          <w:szCs w:val="20"/>
        </w:rPr>
      </w:pPr>
      <w:r w:rsidRPr="00031A80">
        <w:rPr>
          <w:rFonts w:ascii="Gill Sans MT" w:hAnsi="Gill Sans MT"/>
          <w:sz w:val="20"/>
          <w:szCs w:val="20"/>
        </w:rPr>
        <w:t xml:space="preserve">   20 New Street</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 xml:space="preserve">St. Peter Port, Guernsey     </w:t>
      </w:r>
    </w:p>
    <w:p w:rsidR="00E8582A" w:rsidRDefault="00E8582A" w:rsidP="00461428">
      <w:pPr>
        <w:ind w:left="-360" w:hanging="180"/>
        <w:rPr>
          <w:rFonts w:ascii="Gill Sans MT" w:hAnsi="Gill Sans MT"/>
          <w:sz w:val="20"/>
          <w:szCs w:val="20"/>
        </w:rPr>
      </w:pPr>
      <w:r w:rsidRPr="00031A80">
        <w:rPr>
          <w:rFonts w:ascii="Gill Sans MT" w:hAnsi="Gill Sans MT"/>
          <w:sz w:val="20"/>
          <w:szCs w:val="20"/>
        </w:rPr>
        <w:t xml:space="preserve">   St. Peter Port, Guernsey</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t>Channel Islands GYI 6HJ</w:t>
      </w:r>
    </w:p>
    <w:p w:rsidR="00E8582A" w:rsidRDefault="00E8582A" w:rsidP="00461428">
      <w:pPr>
        <w:ind w:left="-360" w:hanging="180"/>
        <w:rPr>
          <w:rFonts w:ascii="Gill Sans MT" w:hAnsi="Gill Sans MT"/>
          <w:sz w:val="20"/>
          <w:szCs w:val="20"/>
        </w:rPr>
      </w:pPr>
      <w:r w:rsidRPr="00031A80">
        <w:rPr>
          <w:rFonts w:ascii="Gill Sans MT" w:hAnsi="Gill Sans MT"/>
          <w:sz w:val="20"/>
          <w:szCs w:val="20"/>
        </w:rPr>
        <w:t xml:space="preserve">   Channel Islands GYI 4AN</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
    <w:p w:rsidR="00E8582A" w:rsidRDefault="00E8582A" w:rsidP="00461428">
      <w:pPr>
        <w:ind w:left="-360" w:hanging="180"/>
        <w:rPr>
          <w:rFonts w:ascii="Gill Sans MT" w:hAnsi="Gill Sans MT"/>
          <w:b/>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
    <w:p w:rsidR="00E8582A" w:rsidRDefault="00E8582A" w:rsidP="00A8599C">
      <w:pPr>
        <w:ind w:left="-360"/>
        <w:rPr>
          <w:rFonts w:ascii="Gill Sans MT" w:hAnsi="Gill Sans MT"/>
          <w:sz w:val="20"/>
          <w:szCs w:val="20"/>
        </w:rPr>
      </w:pPr>
      <w:r w:rsidRPr="00031A80">
        <w:rPr>
          <w:rFonts w:ascii="Gill Sans MT" w:hAnsi="Gill Sans MT"/>
          <w:b/>
          <w:sz w:val="20"/>
          <w:szCs w:val="20"/>
        </w:rPr>
        <w:t xml:space="preserve">Sub-Registrar and Transfer Agent </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 xml:space="preserve"> </w:t>
      </w:r>
    </w:p>
    <w:p w:rsidR="00E8582A" w:rsidRDefault="00E8582A" w:rsidP="00A8599C">
      <w:pPr>
        <w:ind w:left="5760" w:hanging="6120"/>
        <w:rPr>
          <w:rFonts w:ascii="Gill Sans MT" w:hAnsi="Gill Sans MT"/>
          <w:sz w:val="20"/>
          <w:szCs w:val="20"/>
        </w:rPr>
      </w:pPr>
      <w:r>
        <w:rPr>
          <w:rFonts w:ascii="Gill Sans MT" w:hAnsi="Gill Sans MT"/>
          <w:sz w:val="20"/>
          <w:szCs w:val="20"/>
        </w:rPr>
        <w:t>Computershare</w:t>
      </w:r>
      <w:r w:rsidRPr="00031A80">
        <w:rPr>
          <w:rFonts w:ascii="Gill Sans MT" w:hAnsi="Gill Sans MT"/>
          <w:sz w:val="20"/>
          <w:szCs w:val="20"/>
        </w:rPr>
        <w:t xml:space="preserve">        </w:t>
      </w:r>
      <w:r w:rsidRPr="00031A80">
        <w:rPr>
          <w:rFonts w:ascii="Gill Sans MT" w:hAnsi="Gill Sans MT"/>
          <w:b/>
          <w:sz w:val="20"/>
          <w:szCs w:val="20"/>
        </w:rPr>
        <w:tab/>
      </w:r>
      <w:r w:rsidRPr="00031A80">
        <w:rPr>
          <w:rFonts w:ascii="Gill Sans MT" w:hAnsi="Gill Sans MT"/>
          <w:sz w:val="20"/>
          <w:szCs w:val="20"/>
        </w:rPr>
        <w:tab/>
      </w:r>
    </w:p>
    <w:p w:rsidR="00E8582A" w:rsidRDefault="00E8582A" w:rsidP="00A8599C">
      <w:pPr>
        <w:ind w:left="5760" w:hanging="6120"/>
        <w:rPr>
          <w:rFonts w:ascii="Gill Sans MT" w:hAnsi="Gill Sans MT"/>
          <w:b/>
          <w:sz w:val="20"/>
          <w:szCs w:val="20"/>
        </w:rPr>
      </w:pPr>
      <w:r w:rsidRPr="00031A80">
        <w:rPr>
          <w:rFonts w:ascii="Gill Sans MT" w:hAnsi="Gill Sans MT"/>
          <w:sz w:val="20"/>
          <w:szCs w:val="20"/>
        </w:rPr>
        <w:t>One Wall Street</w:t>
      </w:r>
      <w:r>
        <w:rPr>
          <w:rFonts w:ascii="Gill Sans MT" w:hAnsi="Gill Sans MT"/>
          <w:sz w:val="20"/>
          <w:szCs w:val="20"/>
        </w:rPr>
        <w:t xml:space="preserve">                                    </w:t>
      </w:r>
      <w:r>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t xml:space="preserve">            </w:t>
      </w:r>
      <w:r>
        <w:rPr>
          <w:rFonts w:ascii="Gill Sans MT" w:hAnsi="Gill Sans MT"/>
          <w:b/>
          <w:sz w:val="20"/>
          <w:szCs w:val="20"/>
        </w:rPr>
        <w:t xml:space="preserve"> </w:t>
      </w:r>
    </w:p>
    <w:p w:rsidR="00E8582A" w:rsidRDefault="00E8582A" w:rsidP="00A8599C">
      <w:pPr>
        <w:ind w:left="-360"/>
        <w:rPr>
          <w:rFonts w:ascii="Gill Sans MT" w:hAnsi="Gill Sans MT"/>
          <w:sz w:val="20"/>
          <w:szCs w:val="20"/>
        </w:rPr>
      </w:pPr>
      <w:r w:rsidRPr="00031A80">
        <w:rPr>
          <w:rFonts w:ascii="Gill Sans MT" w:hAnsi="Gill Sans MT"/>
          <w:sz w:val="20"/>
          <w:szCs w:val="20"/>
        </w:rPr>
        <w:t>New York, NY 10286</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 xml:space="preserve"> </w:t>
      </w:r>
    </w:p>
    <w:p w:rsidR="00E8582A" w:rsidRDefault="00E8582A" w:rsidP="008A5772">
      <w:pPr>
        <w:ind w:left="5760" w:hanging="6120"/>
        <w:rPr>
          <w:rFonts w:ascii="Gill Sans MT" w:hAnsi="Gill Sans MT"/>
          <w:sz w:val="20"/>
          <w:szCs w:val="20"/>
        </w:rPr>
      </w:pPr>
      <w:r w:rsidRPr="00031A80">
        <w:rPr>
          <w:rFonts w:ascii="Gill Sans MT" w:hAnsi="Gill Sans MT"/>
          <w:sz w:val="20"/>
          <w:szCs w:val="20"/>
        </w:rPr>
        <w:t xml:space="preserve">United States of America </w:t>
      </w:r>
    </w:p>
    <w:p w:rsidR="00E8582A" w:rsidRDefault="00E8582A" w:rsidP="008A5772">
      <w:pPr>
        <w:ind w:left="5760" w:hanging="6120"/>
        <w:rPr>
          <w:rFonts w:ascii="Gill Sans MT" w:hAnsi="Gill Sans MT"/>
          <w:sz w:val="20"/>
          <w:szCs w:val="20"/>
        </w:rPr>
      </w:pPr>
    </w:p>
    <w:p w:rsidR="00E8582A" w:rsidRPr="00497C60" w:rsidRDefault="00E8582A" w:rsidP="002350CB">
      <w:pPr>
        <w:spacing w:after="0"/>
        <w:ind w:left="5760" w:hanging="5760"/>
        <w:rPr>
          <w:rFonts w:ascii="Gill Sans MT" w:hAnsi="Gill Sans MT"/>
          <w:b/>
          <w:sz w:val="20"/>
          <w:szCs w:val="20"/>
        </w:rPr>
      </w:pPr>
      <w:r w:rsidRPr="00497C60">
        <w:rPr>
          <w:rFonts w:ascii="Gill Sans MT" w:hAnsi="Gill Sans MT"/>
          <w:b/>
          <w:sz w:val="20"/>
          <w:szCs w:val="20"/>
        </w:rPr>
        <w:t>ENDNOTES</w:t>
      </w:r>
    </w:p>
    <w:p w:rsidR="00E8582A" w:rsidRPr="00916BD9" w:rsidRDefault="00E8582A" w:rsidP="008A5772">
      <w:pPr>
        <w:ind w:left="5760" w:hanging="6120"/>
        <w:rPr>
          <w:rFonts w:ascii="Gill Sans MT" w:hAnsi="Gill Sans MT"/>
          <w:sz w:val="10"/>
          <w:szCs w:val="10"/>
        </w:rPr>
      </w:pPr>
    </w:p>
    <w:p w:rsidR="00E8582A" w:rsidRPr="00562446" w:rsidRDefault="00E8582A" w:rsidP="006E6465">
      <w:pPr>
        <w:spacing w:after="0"/>
        <w:rPr>
          <w:rFonts w:ascii="Gill Sans MT" w:hAnsi="Gill Sans MT"/>
          <w:sz w:val="16"/>
          <w:szCs w:val="16"/>
        </w:rPr>
        <w:sectPr w:rsidR="00E8582A" w:rsidRPr="00562446" w:rsidSect="001E2FF6">
          <w:headerReference w:type="default" r:id="rId31"/>
          <w:endnotePr>
            <w:numFmt w:val="decimal"/>
          </w:endnotePr>
          <w:pgSz w:w="12240" w:h="15840" w:code="1"/>
          <w:pgMar w:top="432" w:right="792" w:bottom="432" w:left="720" w:header="706" w:footer="706" w:gutter="0"/>
          <w:cols w:space="708"/>
          <w:docGrid w:linePitch="360"/>
        </w:sectPr>
      </w:pPr>
    </w:p>
    <w:p w:rsidR="00E8582A" w:rsidRPr="00EE261A" w:rsidRDefault="00E8582A" w:rsidP="00F47DF1">
      <w:pPr>
        <w:suppressAutoHyphens/>
        <w:ind w:right="15"/>
        <w:outlineLvl w:val="0"/>
        <w:rPr>
          <w:sz w:val="10"/>
          <w:szCs w:val="10"/>
        </w:rPr>
      </w:pPr>
    </w:p>
    <w:sectPr w:rsidR="00E8582A" w:rsidRPr="00EE261A" w:rsidSect="001E2FF6">
      <w:footerReference w:type="default" r:id="rId32"/>
      <w:type w:val="continuous"/>
      <w:pgSz w:w="12240" w:h="15840" w:code="1"/>
      <w:pgMar w:top="432" w:right="792" w:bottom="43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2A" w:rsidRDefault="00E8582A">
      <w:r>
        <w:separator/>
      </w:r>
    </w:p>
  </w:endnote>
  <w:endnote w:type="continuationSeparator" w:id="0">
    <w:p w:rsidR="00E8582A" w:rsidRDefault="00E8582A">
      <w:r>
        <w:continuationSeparator/>
      </w:r>
    </w:p>
  </w:endnote>
  <w:endnote w:id="1">
    <w:p w:rsidR="00E8582A" w:rsidRDefault="00E8582A" w:rsidP="002256BC">
      <w:pPr>
        <w:pStyle w:val="EndnoteText"/>
        <w:spacing w:after="0"/>
      </w:pPr>
      <w:r w:rsidRPr="00560CBA">
        <w:rPr>
          <w:sz w:val="17"/>
          <w:szCs w:val="17"/>
        </w:rPr>
        <w:t xml:space="preserve">(1) TFG invests substantially all its capital through a master fund, Tetragon Financial Group Master Fund Limited (“TFGMF”), in which it holds 100% of the issued shares. In this report, unless otherwise stated, we report on the consolidated business incorporating TFG and TFGMF.  References to “we” are to </w:t>
      </w:r>
      <w:r>
        <w:rPr>
          <w:sz w:val="17"/>
          <w:szCs w:val="17"/>
        </w:rPr>
        <w:t>Tetragon Financial</w:t>
      </w:r>
      <w:r w:rsidRPr="00560CBA">
        <w:rPr>
          <w:sz w:val="17"/>
          <w:szCs w:val="17"/>
        </w:rPr>
        <w:t xml:space="preserve"> Management LP, TFG’s investment manager.</w:t>
      </w:r>
    </w:p>
  </w:endnote>
  <w:endnote w:id="2">
    <w:p w:rsidR="00E8582A" w:rsidRDefault="00E8582A" w:rsidP="002256BC">
      <w:pPr>
        <w:pStyle w:val="EndnoteText"/>
        <w:spacing w:after="0"/>
      </w:pPr>
      <w:r>
        <w:rPr>
          <w:sz w:val="17"/>
          <w:szCs w:val="17"/>
        </w:rPr>
        <w:t>(</w:t>
      </w:r>
      <w:r w:rsidRPr="009C74E6">
        <w:rPr>
          <w:sz w:val="17"/>
          <w:szCs w:val="17"/>
        </w:rPr>
        <w:endnoteRef/>
      </w:r>
      <w:r>
        <w:rPr>
          <w:sz w:val="17"/>
          <w:szCs w:val="17"/>
        </w:rPr>
        <w:t>) TFG’s Portfolio-wide CLO equity statistics, such as the average default rate or CCC-asset holding levels, are calculated without including TFG’s investments in CLO mezzanine debt tranches.</w:t>
      </w:r>
    </w:p>
  </w:endnote>
  <w:endnote w:id="3">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The LCM I, LCM II, LCM III, LCM IV, LCM V, LCM VI</w:t>
      </w:r>
      <w:r>
        <w:rPr>
          <w:sz w:val="17"/>
          <w:szCs w:val="17"/>
        </w:rPr>
        <w:t>, LCM VIII, LCM IX, and LCM X</w:t>
      </w:r>
      <w:r w:rsidRPr="00560CBA">
        <w:rPr>
          <w:sz w:val="17"/>
          <w:szCs w:val="17"/>
        </w:rPr>
        <w:t xml:space="preserve"> CLOs are referred to as the “LCM Cash Flow CLOs.”  The LCM VII CLO was a market value CLO previously managed by LCM, which was liquidated commencing in 2008, and is not included in the mentioned statistics.  In addition, these statistics do not include the performance of certain transactions that were developed and previously managed by a third-party prior to being assigned to LCM, some of which continue to be managed by LCM. </w:t>
      </w:r>
    </w:p>
  </w:endnote>
  <w:endnote w:id="4">
    <w:p w:rsidR="00E8582A" w:rsidRDefault="00E8582A" w:rsidP="002256BC">
      <w:pPr>
        <w:pStyle w:val="EndnoteText"/>
        <w:spacing w:after="0"/>
      </w:pPr>
      <w:r>
        <w:rPr>
          <w:sz w:val="17"/>
          <w:szCs w:val="17"/>
        </w:rPr>
        <w:t>(</w:t>
      </w:r>
      <w:r w:rsidRPr="00FE1CEA">
        <w:rPr>
          <w:sz w:val="17"/>
          <w:szCs w:val="17"/>
        </w:rPr>
        <w:endnoteRef/>
      </w:r>
      <w:r>
        <w:rPr>
          <w:sz w:val="17"/>
          <w:szCs w:val="17"/>
        </w:rPr>
        <w:t xml:space="preserve">) All of LCM Cash Flow CLOs were current on their senior and subordinated management fees except for LCM I, which is currently significantly beyond its reinvestment period and has experienced significant de-leveraging. </w:t>
      </w:r>
    </w:p>
  </w:endnote>
  <w:endnote w:id="5">
    <w:p w:rsidR="00E8582A" w:rsidRDefault="00E8582A">
      <w:pPr>
        <w:pStyle w:val="EndnoteText"/>
      </w:pPr>
      <w:r>
        <w:rPr>
          <w:sz w:val="17"/>
          <w:szCs w:val="17"/>
        </w:rPr>
        <w:t>(</w:t>
      </w:r>
      <w:r w:rsidRPr="00412236">
        <w:rPr>
          <w:sz w:val="17"/>
          <w:szCs w:val="17"/>
        </w:rPr>
        <w:endnoteRef/>
      </w:r>
      <w:r>
        <w:rPr>
          <w:sz w:val="17"/>
          <w:szCs w:val="17"/>
        </w:rPr>
        <w:t xml:space="preserve">) The rolling 12-month dividend growth rate is calculated by dividing the sum of the dividends per share distributed or declared over the last 12 months by the dividends per share distributed or declared over the prior 12 months, less one. </w:t>
      </w:r>
    </w:p>
  </w:endnote>
  <w:endnote w:id="6">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)The hurdle rate is reset each quarter using 3M USD LIBOR plus a spread of 2.647858% </w:t>
      </w:r>
      <w:r>
        <w:rPr>
          <w:sz w:val="17"/>
          <w:szCs w:val="17"/>
        </w:rPr>
        <w:t>in</w:t>
      </w:r>
      <w:r w:rsidRPr="00560CBA">
        <w:rPr>
          <w:sz w:val="17"/>
          <w:szCs w:val="17"/>
        </w:rPr>
        <w:t xml:space="preserve"> accordance with TFG’s investment management agreement.  Please see the TFG website, </w:t>
      </w:r>
      <w:hyperlink r:id="rId1" w:history="1">
        <w:r w:rsidRPr="00560CBA">
          <w:rPr>
            <w:rStyle w:val="Hyperlink"/>
            <w:color w:val="336600"/>
            <w:sz w:val="17"/>
            <w:szCs w:val="17"/>
          </w:rPr>
          <w:t>www.tetragoninv.com</w:t>
        </w:r>
      </w:hyperlink>
      <w:r w:rsidRPr="00560CBA">
        <w:rPr>
          <w:sz w:val="17"/>
          <w:szCs w:val="17"/>
        </w:rPr>
        <w:t>, for more details.</w:t>
      </w:r>
    </w:p>
  </w:endnote>
  <w:endnote w:id="7">
    <w:p w:rsidR="00E8582A" w:rsidRDefault="00E8582A" w:rsidP="002256BC">
      <w:pPr>
        <w:pStyle w:val="EndnoteText"/>
        <w:spacing w:after="0"/>
      </w:pPr>
      <w:r w:rsidRPr="00560CBA">
        <w:rPr>
          <w:sz w:val="17"/>
          <w:szCs w:val="17"/>
        </w:rPr>
        <w:t>(</w:t>
      </w:r>
      <w:r w:rsidRPr="00560CBA">
        <w:rPr>
          <w:rStyle w:val="EndnoteReference"/>
          <w:sz w:val="17"/>
          <w:szCs w:val="17"/>
          <w:vertAlign w:val="baseline"/>
        </w:rPr>
        <w:endnoteRef/>
      </w:r>
      <w:r w:rsidRPr="00560CBA">
        <w:rPr>
          <w:sz w:val="17"/>
          <w:szCs w:val="17"/>
        </w:rPr>
        <w:t>) Includes only look-through loan exposures through TFG’s CLO</w:t>
      </w:r>
      <w:r>
        <w:rPr>
          <w:sz w:val="17"/>
          <w:szCs w:val="17"/>
        </w:rPr>
        <w:t xml:space="preserve"> equity</w:t>
      </w:r>
      <w:r w:rsidRPr="00560CBA">
        <w:rPr>
          <w:sz w:val="17"/>
          <w:szCs w:val="17"/>
        </w:rPr>
        <w:t xml:space="preserve"> investments.</w:t>
      </w:r>
    </w:p>
  </w:endnote>
  <w:endnote w:id="8">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Excludes CDO-squared and ABS CDO transactions which were written off in October 2007. TFG continues to hold the economic rights to three of these written-off transactions.</w:t>
      </w:r>
    </w:p>
  </w:endnote>
  <w:endnote w:id="9">
    <w:p w:rsidR="00E8582A" w:rsidRDefault="00E8582A" w:rsidP="002256BC">
      <w:pPr>
        <w:pStyle w:val="EndnoteText"/>
        <w:spacing w:after="0"/>
      </w:pPr>
      <w:r w:rsidRPr="00560CBA">
        <w:rPr>
          <w:sz w:val="17"/>
          <w:szCs w:val="17"/>
        </w:rPr>
        <w:t>(</w:t>
      </w:r>
      <w:r w:rsidRPr="00560CBA">
        <w:rPr>
          <w:rStyle w:val="EndnoteReference"/>
          <w:sz w:val="17"/>
          <w:szCs w:val="17"/>
          <w:vertAlign w:val="baseline"/>
        </w:rPr>
        <w:endnoteRef/>
      </w:r>
      <w:r w:rsidRPr="00560CBA">
        <w:rPr>
          <w:sz w:val="17"/>
          <w:szCs w:val="17"/>
        </w:rPr>
        <w:t xml:space="preserve">) Based on the most recent trustee reports available for both our U.S. and European CLO investments as of </w:t>
      </w:r>
      <w:r>
        <w:rPr>
          <w:sz w:val="17"/>
          <w:szCs w:val="17"/>
        </w:rPr>
        <w:t>March 31, 2012.</w:t>
      </w:r>
      <w:r w:rsidRPr="00560CBA">
        <w:rPr>
          <w:sz w:val="17"/>
          <w:szCs w:val="17"/>
        </w:rPr>
        <w:t xml:space="preserve">  </w:t>
      </w:r>
    </w:p>
  </w:endnote>
  <w:endnote w:id="10">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 As of </w:t>
      </w:r>
      <w:r>
        <w:rPr>
          <w:sz w:val="17"/>
          <w:szCs w:val="17"/>
        </w:rPr>
        <w:t>March 31</w:t>
      </w:r>
      <w:r w:rsidRPr="00560CBA">
        <w:rPr>
          <w:sz w:val="17"/>
          <w:szCs w:val="17"/>
        </w:rPr>
        <w:t>, 201</w:t>
      </w:r>
      <w:r>
        <w:rPr>
          <w:sz w:val="17"/>
          <w:szCs w:val="17"/>
        </w:rPr>
        <w:t>2</w:t>
      </w:r>
      <w:r w:rsidRPr="00560CBA">
        <w:rPr>
          <w:sz w:val="17"/>
          <w:szCs w:val="17"/>
        </w:rPr>
        <w:t xml:space="preserve">, European CLOs represented approximately </w:t>
      </w:r>
      <w:r>
        <w:rPr>
          <w:sz w:val="17"/>
          <w:szCs w:val="17"/>
        </w:rPr>
        <w:t>10.0</w:t>
      </w:r>
      <w:r w:rsidRPr="00560CBA">
        <w:rPr>
          <w:sz w:val="17"/>
          <w:szCs w:val="17"/>
        </w:rPr>
        <w:t xml:space="preserve">% of TFG’s </w:t>
      </w:r>
      <w:r>
        <w:rPr>
          <w:sz w:val="17"/>
          <w:szCs w:val="17"/>
        </w:rPr>
        <w:t xml:space="preserve">CLO equity </w:t>
      </w:r>
      <w:r w:rsidRPr="00560CBA">
        <w:rPr>
          <w:sz w:val="17"/>
          <w:szCs w:val="17"/>
        </w:rPr>
        <w:t>inves</w:t>
      </w:r>
      <w:r>
        <w:rPr>
          <w:sz w:val="17"/>
          <w:szCs w:val="17"/>
        </w:rPr>
        <w:t>tment portfolio; approximately 68</w:t>
      </w:r>
      <w:r w:rsidRPr="00560CBA">
        <w:rPr>
          <w:sz w:val="17"/>
          <w:szCs w:val="17"/>
        </w:rPr>
        <w:t>% of the fair va</w:t>
      </w:r>
      <w:r>
        <w:rPr>
          <w:sz w:val="17"/>
          <w:szCs w:val="17"/>
        </w:rPr>
        <w:t>lue of TFG’s European CLOs and 50</w:t>
      </w:r>
      <w:r w:rsidRPr="00560CBA">
        <w:rPr>
          <w:sz w:val="17"/>
          <w:szCs w:val="17"/>
        </w:rPr>
        <w:t xml:space="preserve">%, when measured </w:t>
      </w:r>
      <w:r>
        <w:rPr>
          <w:sz w:val="17"/>
          <w:szCs w:val="17"/>
        </w:rPr>
        <w:t>as</w:t>
      </w:r>
      <w:r w:rsidRPr="00560CBA">
        <w:rPr>
          <w:sz w:val="17"/>
          <w:szCs w:val="17"/>
        </w:rPr>
        <w:t xml:space="preserve"> a percentage of </w:t>
      </w:r>
      <w:r>
        <w:rPr>
          <w:sz w:val="17"/>
          <w:szCs w:val="17"/>
        </w:rPr>
        <w:t xml:space="preserve">the total number of </w:t>
      </w:r>
      <w:r w:rsidRPr="00560CBA">
        <w:rPr>
          <w:sz w:val="17"/>
          <w:szCs w:val="17"/>
        </w:rPr>
        <w:t xml:space="preserve">European </w:t>
      </w:r>
      <w:r>
        <w:rPr>
          <w:sz w:val="17"/>
          <w:szCs w:val="17"/>
        </w:rPr>
        <w:t>deals</w:t>
      </w:r>
      <w:r w:rsidRPr="00560CBA">
        <w:rPr>
          <w:sz w:val="17"/>
          <w:szCs w:val="17"/>
        </w:rPr>
        <w:t>, were passing their junior-most O/C tests.</w:t>
      </w:r>
    </w:p>
  </w:endnote>
  <w:endnote w:id="11">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 As O/C tests are breached, CLO structures may divert excess interest cash flows away from the equity tranche holders, such as TFG, to pay down the CLO’s debt thereby curing the O/C breach via deleveraging.  Accordingly, the affected investments ceased to generate cash flows to TFG or are expected to cease generating cash flows on the next applicable payment date. Once enough debt has been repaid to cure the O/C test breach, distributions of excess interest cash to equity holders may resume to the extent not precluded by the investments’ realized or unrealized losses.   </w:t>
      </w:r>
    </w:p>
  </w:endnote>
  <w:endnote w:id="12">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M</w:t>
      </w:r>
      <w:r>
        <w:rPr>
          <w:sz w:val="17"/>
          <w:szCs w:val="17"/>
        </w:rPr>
        <w:t>organ Stanley CL</w:t>
      </w:r>
      <w:r w:rsidRPr="00560CBA">
        <w:rPr>
          <w:sz w:val="17"/>
          <w:szCs w:val="17"/>
        </w:rPr>
        <w:t xml:space="preserve">O Market Tracker, </w:t>
      </w:r>
      <w:r>
        <w:rPr>
          <w:sz w:val="17"/>
          <w:szCs w:val="17"/>
        </w:rPr>
        <w:t>April 4, 2012</w:t>
      </w:r>
      <w:r w:rsidRPr="00560CBA">
        <w:rPr>
          <w:sz w:val="17"/>
          <w:szCs w:val="17"/>
        </w:rPr>
        <w:t xml:space="preserve">; based on a sample of </w:t>
      </w:r>
      <w:r>
        <w:rPr>
          <w:sz w:val="17"/>
          <w:szCs w:val="17"/>
        </w:rPr>
        <w:t>473</w:t>
      </w:r>
      <w:r w:rsidRPr="00560CBA">
        <w:rPr>
          <w:sz w:val="17"/>
          <w:szCs w:val="17"/>
        </w:rPr>
        <w:t xml:space="preserve"> U.S. CLO transactions.</w:t>
      </w:r>
    </w:p>
  </w:endnote>
  <w:endnote w:id="13">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 Weighted by the original USD cost of each investment. </w:t>
      </w:r>
    </w:p>
  </w:endnote>
  <w:endnote w:id="14">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 The calculation of TFG’s lagging 12-month corporate loan default rate does not include certain underlying investment  collateral that was assigned a  “Selective Default” rating by one or more of the applicable rating agencies. Such Selected Defaults are included the S&amp;P/LCD lagging 12-month U.S. institutional loan default rate discussed above. Furthermore, TFG’s </w:t>
      </w:r>
      <w:r>
        <w:rPr>
          <w:sz w:val="17"/>
          <w:szCs w:val="17"/>
        </w:rPr>
        <w:t xml:space="preserve">CLO equity and direct loan </w:t>
      </w:r>
      <w:r w:rsidRPr="00560CBA">
        <w:rPr>
          <w:sz w:val="17"/>
          <w:szCs w:val="17"/>
        </w:rPr>
        <w:t xml:space="preserve">investment portfolio includes approximately </w:t>
      </w:r>
      <w:r>
        <w:rPr>
          <w:sz w:val="17"/>
          <w:szCs w:val="17"/>
        </w:rPr>
        <w:t>9.1</w:t>
      </w:r>
      <w:r w:rsidRPr="00560CBA">
        <w:rPr>
          <w:sz w:val="17"/>
          <w:szCs w:val="17"/>
        </w:rPr>
        <w:t>% CLOs with primary exposure to European senior secured loans and such loans are included in the calculation of TFG’s corporate default rate.</w:t>
      </w:r>
    </w:p>
  </w:endnote>
  <w:endnote w:id="15">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S&amp;P/LCD News, “</w:t>
      </w:r>
      <w:r w:rsidRPr="0040497E">
        <w:rPr>
          <w:sz w:val="17"/>
          <w:szCs w:val="17"/>
        </w:rPr>
        <w:t>With no loan defaults in March, rate holds near all-time low</w:t>
      </w:r>
      <w:r>
        <w:rPr>
          <w:sz w:val="17"/>
          <w:szCs w:val="17"/>
        </w:rPr>
        <w:t>,” April 2, 2012.</w:t>
      </w:r>
    </w:p>
  </w:endnote>
  <w:endnote w:id="16">
    <w:p w:rsidR="00E8582A" w:rsidRDefault="00E8582A" w:rsidP="002256BC">
      <w:pPr>
        <w:pStyle w:val="EndnoteText"/>
        <w:spacing w:after="0"/>
      </w:pPr>
      <w:r>
        <w:rPr>
          <w:sz w:val="17"/>
          <w:szCs w:val="17"/>
        </w:rPr>
        <w:t>(</w:t>
      </w:r>
      <w:r w:rsidRPr="000D66FC">
        <w:rPr>
          <w:sz w:val="17"/>
          <w:szCs w:val="17"/>
        </w:rPr>
        <w:endnoteRef/>
      </w:r>
      <w:r>
        <w:rPr>
          <w:sz w:val="17"/>
          <w:szCs w:val="17"/>
        </w:rPr>
        <w:t xml:space="preserve">) </w:t>
      </w:r>
      <w:r w:rsidRPr="00560CBA">
        <w:rPr>
          <w:sz w:val="17"/>
          <w:szCs w:val="17"/>
        </w:rPr>
        <w:t>S&amp;P/LCD News,</w:t>
      </w:r>
      <w:r>
        <w:rPr>
          <w:sz w:val="17"/>
          <w:szCs w:val="17"/>
        </w:rPr>
        <w:t xml:space="preserve"> “</w:t>
      </w:r>
      <w:r w:rsidRPr="0002458B">
        <w:rPr>
          <w:sz w:val="17"/>
          <w:szCs w:val="17"/>
        </w:rPr>
        <w:t>(EUR) S&amp;P ELLI: Default rate rises to 5.3% in March</w:t>
      </w:r>
      <w:r>
        <w:rPr>
          <w:sz w:val="17"/>
          <w:szCs w:val="17"/>
        </w:rPr>
        <w:t xml:space="preserve">, “April 11, 2012. </w:t>
      </w:r>
      <w:r w:rsidRPr="0002458B">
        <w:rPr>
          <w:sz w:val="17"/>
          <w:szCs w:val="17"/>
        </w:rPr>
        <w:t xml:space="preserve">The ELLI default rate is calculated by defining “default” as (a) an event of default, such as a D public rating, a D credit estimate, a missed interest or principal payment, or a bankruptcy filing; or (b) the beginning stages of formal restructuring, such as the start of negotiations between the company and lenders, or hiring of financial advisors. </w:t>
      </w:r>
    </w:p>
  </w:endnote>
  <w:endnote w:id="17">
    <w:p w:rsidR="00E8582A" w:rsidRDefault="00E8582A" w:rsidP="002256BC">
      <w:pPr>
        <w:pStyle w:val="EndnoteText"/>
        <w:spacing w:after="0"/>
      </w:pPr>
      <w:r>
        <w:rPr>
          <w:sz w:val="17"/>
          <w:szCs w:val="17"/>
        </w:rPr>
        <w:t>(</w:t>
      </w:r>
      <w:r w:rsidRPr="002256BC">
        <w:rPr>
          <w:sz w:val="17"/>
          <w:szCs w:val="17"/>
        </w:rPr>
        <w:endnoteRef/>
      </w:r>
      <w:r>
        <w:rPr>
          <w:sz w:val="17"/>
          <w:szCs w:val="17"/>
        </w:rPr>
        <w:t xml:space="preserve">) All of LCM Cash Flow CLOs were current on their senior and subordinated management fees except for LCM I, which is currently significantly beyond its reinvestment period and has experienced significant de-leveraging. </w:t>
      </w:r>
    </w:p>
  </w:endnote>
  <w:endnote w:id="18">
    <w:p w:rsidR="00E8582A" w:rsidRDefault="00E8582A" w:rsidP="002256BC">
      <w:pPr>
        <w:pStyle w:val="EndnoteText"/>
        <w:spacing w:after="0"/>
      </w:pPr>
      <w:r w:rsidRPr="00560CBA">
        <w:rPr>
          <w:sz w:val="17"/>
          <w:szCs w:val="17"/>
        </w:rPr>
        <w:t>(</w:t>
      </w:r>
      <w:r w:rsidRPr="00560CBA">
        <w:rPr>
          <w:sz w:val="17"/>
          <w:szCs w:val="17"/>
        </w:rPr>
        <w:endnoteRef/>
      </w:r>
      <w:r>
        <w:rPr>
          <w:sz w:val="17"/>
          <w:szCs w:val="17"/>
        </w:rPr>
        <w:t>) S&amp;P/LCD News, “</w:t>
      </w:r>
      <w:r w:rsidRPr="0040497E">
        <w:rPr>
          <w:sz w:val="17"/>
          <w:szCs w:val="17"/>
        </w:rPr>
        <w:t>With no loan defaults in March, rate holds near all-time low</w:t>
      </w:r>
      <w:r>
        <w:rPr>
          <w:sz w:val="17"/>
          <w:szCs w:val="17"/>
        </w:rPr>
        <w:t>,” April 2, 2012.</w:t>
      </w:r>
    </w:p>
  </w:endnote>
  <w:endnote w:id="19">
    <w:p w:rsidR="00E8582A" w:rsidRDefault="00E8582A" w:rsidP="002256BC">
      <w:pPr>
        <w:pStyle w:val="EndnoteText"/>
        <w:spacing w:after="0"/>
      </w:pPr>
      <w:r>
        <w:rPr>
          <w:sz w:val="17"/>
          <w:szCs w:val="17"/>
        </w:rPr>
        <w:t>(</w:t>
      </w:r>
      <w:r w:rsidRPr="00101EBD">
        <w:rPr>
          <w:sz w:val="17"/>
          <w:szCs w:val="17"/>
        </w:rPr>
        <w:endnoteRef/>
      </w:r>
      <w:r>
        <w:rPr>
          <w:sz w:val="17"/>
          <w:szCs w:val="17"/>
        </w:rPr>
        <w:t>) S&amp;P/LCD News, “</w:t>
      </w:r>
      <w:r w:rsidRPr="00101EBD">
        <w:rPr>
          <w:sz w:val="17"/>
          <w:szCs w:val="17"/>
        </w:rPr>
        <w:t xml:space="preserve">Hawker missed interest payment bumps loan default rate to 0.77% </w:t>
      </w:r>
      <w:r>
        <w:rPr>
          <w:sz w:val="17"/>
          <w:szCs w:val="17"/>
        </w:rPr>
        <w:t xml:space="preserve">,” April 2, 2012. </w:t>
      </w:r>
      <w:r w:rsidRPr="00101EBD">
        <w:rPr>
          <w:sz w:val="17"/>
          <w:szCs w:val="17"/>
        </w:rPr>
        <w:t>Hawker Beechcraft did not make the scheduled interest payment on its secured credit facility when due on March 30, 2012</w:t>
      </w:r>
      <w:r>
        <w:rPr>
          <w:sz w:val="17"/>
          <w:szCs w:val="17"/>
        </w:rPr>
        <w:t xml:space="preserve"> and was downgraded to D from CC by S&amp;P on April 2, 2012.</w:t>
      </w:r>
      <w:r w:rsidRPr="00101EBD">
        <w:rPr>
          <w:sz w:val="17"/>
          <w:szCs w:val="17"/>
        </w:rPr>
        <w:t xml:space="preserve"> </w:t>
      </w:r>
    </w:p>
  </w:endnote>
  <w:endnote w:id="20">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 xml:space="preserve">) S&amp;P/LSTA Leveraged Lending Review </w:t>
      </w:r>
      <w:r>
        <w:rPr>
          <w:sz w:val="17"/>
          <w:szCs w:val="17"/>
        </w:rPr>
        <w:t>4Q 2011</w:t>
      </w:r>
      <w:r w:rsidRPr="00560CBA">
        <w:rPr>
          <w:sz w:val="17"/>
          <w:szCs w:val="17"/>
        </w:rPr>
        <w:t xml:space="preserve">. </w:t>
      </w:r>
    </w:p>
  </w:endnote>
  <w:endnote w:id="21">
    <w:p w:rsidR="00E8582A" w:rsidRDefault="00E8582A" w:rsidP="002256BC">
      <w:pPr>
        <w:pStyle w:val="EndnoteText"/>
        <w:spacing w:after="0"/>
      </w:pPr>
      <w:r>
        <w:rPr>
          <w:sz w:val="17"/>
          <w:szCs w:val="17"/>
        </w:rPr>
        <w:t>(</w:t>
      </w:r>
      <w:r w:rsidRPr="00A53306">
        <w:rPr>
          <w:sz w:val="17"/>
          <w:szCs w:val="17"/>
        </w:rPr>
        <w:endnoteRef/>
      </w:r>
      <w:r>
        <w:rPr>
          <w:sz w:val="17"/>
          <w:szCs w:val="17"/>
        </w:rPr>
        <w:t xml:space="preserve">) </w:t>
      </w:r>
      <w:r w:rsidRPr="00560CBA">
        <w:rPr>
          <w:sz w:val="17"/>
          <w:szCs w:val="17"/>
        </w:rPr>
        <w:t>S&amp;P/LCD News,</w:t>
      </w:r>
      <w:r>
        <w:rPr>
          <w:sz w:val="17"/>
          <w:szCs w:val="17"/>
        </w:rPr>
        <w:t xml:space="preserve"> “</w:t>
      </w:r>
      <w:r w:rsidRPr="006A4F14">
        <w:rPr>
          <w:sz w:val="17"/>
          <w:szCs w:val="17"/>
        </w:rPr>
        <w:t>(EUR) S&amp;P ELLI steams ahead in 1Q12</w:t>
      </w:r>
      <w:r>
        <w:rPr>
          <w:sz w:val="17"/>
          <w:szCs w:val="17"/>
        </w:rPr>
        <w:t>,” April 10, 2012.</w:t>
      </w:r>
    </w:p>
  </w:endnote>
  <w:endnote w:id="22">
    <w:p w:rsidR="00E8582A" w:rsidRDefault="00E8582A" w:rsidP="002256BC">
      <w:pPr>
        <w:pStyle w:val="EndnoteText"/>
        <w:spacing w:after="0"/>
      </w:pPr>
      <w:r w:rsidRPr="00E570B9">
        <w:rPr>
          <w:rStyle w:val="EndnoteReference"/>
          <w:sz w:val="17"/>
          <w:szCs w:val="17"/>
          <w:vertAlign w:val="baseline"/>
        </w:rPr>
        <w:t>(</w:t>
      </w:r>
      <w:r w:rsidRPr="00E570B9">
        <w:rPr>
          <w:rStyle w:val="EndnoteReference"/>
          <w:sz w:val="17"/>
          <w:szCs w:val="17"/>
          <w:vertAlign w:val="baseline"/>
        </w:rPr>
        <w:endnoteRef/>
      </w:r>
      <w:r w:rsidRPr="00560CBA">
        <w:rPr>
          <w:sz w:val="17"/>
          <w:szCs w:val="17"/>
        </w:rPr>
        <w:t>)</w:t>
      </w:r>
      <w:r>
        <w:rPr>
          <w:sz w:val="17"/>
          <w:szCs w:val="17"/>
        </w:rPr>
        <w:t xml:space="preserve"> S&amp;P/LCD Quarterly Review, First Quarter</w:t>
      </w:r>
      <w:r w:rsidRPr="00560CBA">
        <w:rPr>
          <w:sz w:val="17"/>
          <w:szCs w:val="17"/>
        </w:rPr>
        <w:t xml:space="preserve"> 201</w:t>
      </w:r>
      <w:r>
        <w:rPr>
          <w:sz w:val="17"/>
          <w:szCs w:val="17"/>
        </w:rPr>
        <w:t>2</w:t>
      </w:r>
      <w:r w:rsidRPr="00560CBA">
        <w:rPr>
          <w:sz w:val="17"/>
          <w:szCs w:val="17"/>
        </w:rPr>
        <w:t>.</w:t>
      </w:r>
    </w:p>
  </w:endnote>
  <w:endnote w:id="23">
    <w:p w:rsidR="00E8582A" w:rsidRDefault="00E8582A" w:rsidP="002256BC">
      <w:pPr>
        <w:pStyle w:val="EndnoteText"/>
        <w:spacing w:after="0"/>
      </w:pPr>
      <w:r w:rsidRPr="00E570B9">
        <w:rPr>
          <w:rStyle w:val="EndnoteReference"/>
          <w:sz w:val="17"/>
          <w:szCs w:val="17"/>
          <w:vertAlign w:val="baseline"/>
        </w:rPr>
        <w:t>(</w:t>
      </w:r>
      <w:r w:rsidRPr="00E570B9">
        <w:rPr>
          <w:rStyle w:val="EndnoteReference"/>
          <w:sz w:val="17"/>
          <w:szCs w:val="17"/>
          <w:vertAlign w:val="baseline"/>
        </w:rPr>
        <w:endnoteRef/>
      </w:r>
      <w:r w:rsidRPr="00560CBA">
        <w:rPr>
          <w:sz w:val="17"/>
          <w:szCs w:val="17"/>
        </w:rPr>
        <w:t>)</w:t>
      </w:r>
      <w:r>
        <w:rPr>
          <w:sz w:val="17"/>
          <w:szCs w:val="17"/>
        </w:rPr>
        <w:t xml:space="preserve"> S&amp;P/LCD Quarterly Review, First Quarter</w:t>
      </w:r>
      <w:r w:rsidRPr="00560CBA">
        <w:rPr>
          <w:sz w:val="17"/>
          <w:szCs w:val="17"/>
        </w:rPr>
        <w:t xml:space="preserve"> 201</w:t>
      </w:r>
      <w:r>
        <w:rPr>
          <w:sz w:val="17"/>
          <w:szCs w:val="17"/>
        </w:rPr>
        <w:t>2</w:t>
      </w:r>
      <w:r w:rsidRPr="00560CBA">
        <w:rPr>
          <w:sz w:val="17"/>
          <w:szCs w:val="17"/>
        </w:rPr>
        <w:t>.</w:t>
      </w:r>
      <w:r>
        <w:rPr>
          <w:sz w:val="17"/>
          <w:szCs w:val="17"/>
        </w:rPr>
        <w:t xml:space="preserve"> </w:t>
      </w:r>
    </w:p>
  </w:endnote>
  <w:endnote w:id="24">
    <w:p w:rsidR="00E8582A" w:rsidRDefault="00E8582A" w:rsidP="002256BC">
      <w:pPr>
        <w:pStyle w:val="EndnoteText"/>
        <w:spacing w:after="0"/>
      </w:pPr>
      <w:r w:rsidRPr="00560CBA">
        <w:rPr>
          <w:sz w:val="17"/>
          <w:szCs w:val="17"/>
        </w:rPr>
        <w:t>(</w:t>
      </w:r>
      <w:r w:rsidRPr="00560CBA">
        <w:rPr>
          <w:rStyle w:val="EndnoteReference"/>
          <w:sz w:val="17"/>
          <w:szCs w:val="17"/>
          <w:vertAlign w:val="baseline"/>
        </w:rPr>
        <w:endnoteRef/>
      </w:r>
      <w:r>
        <w:rPr>
          <w:sz w:val="17"/>
          <w:szCs w:val="17"/>
        </w:rPr>
        <w:t>) S&amp;P/LCD News, “</w:t>
      </w:r>
      <w:r w:rsidRPr="00B86CE5">
        <w:rPr>
          <w:sz w:val="17"/>
          <w:szCs w:val="17"/>
        </w:rPr>
        <w:t>Leveraged loans return 0.77% in March; YTD return is 3.76%</w:t>
      </w:r>
      <w:r>
        <w:rPr>
          <w:sz w:val="17"/>
          <w:szCs w:val="17"/>
        </w:rPr>
        <w:t>,” April 2, 2012.</w:t>
      </w:r>
    </w:p>
  </w:endnote>
  <w:endnote w:id="25">
    <w:p w:rsidR="00E8582A" w:rsidRDefault="00E8582A" w:rsidP="002256BC">
      <w:pPr>
        <w:spacing w:after="0"/>
      </w:pPr>
      <w:r w:rsidRPr="00A03BE0">
        <w:rPr>
          <w:rFonts w:ascii="Gill Sans MT" w:hAnsi="Gill Sans MT"/>
          <w:sz w:val="17"/>
          <w:szCs w:val="17"/>
        </w:rPr>
        <w:t>(</w:t>
      </w:r>
      <w:r w:rsidRPr="00A03BE0">
        <w:rPr>
          <w:rFonts w:ascii="Gill Sans MT" w:hAnsi="Gill Sans MT"/>
          <w:sz w:val="17"/>
          <w:szCs w:val="17"/>
        </w:rPr>
        <w:endnoteRef/>
      </w:r>
      <w:r w:rsidRPr="00A03BE0">
        <w:rPr>
          <w:rFonts w:ascii="Gill Sans MT" w:hAnsi="Gill Sans MT"/>
          <w:sz w:val="17"/>
          <w:szCs w:val="17"/>
        </w:rPr>
        <w:t>) S&amp;P/LCD News, “(EUR) S&amp;P ELLI steams ahead in 1Q12</w:t>
      </w:r>
      <w:r>
        <w:rPr>
          <w:rFonts w:ascii="Gill Sans MT" w:hAnsi="Gill Sans MT"/>
          <w:sz w:val="17"/>
          <w:szCs w:val="17"/>
        </w:rPr>
        <w:t>,” April 10, 2012.</w:t>
      </w:r>
    </w:p>
  </w:endnote>
  <w:endnote w:id="26">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S&amp;P/LCD Quarterly Review, First Quarter</w:t>
      </w:r>
      <w:r w:rsidRPr="00560CBA">
        <w:rPr>
          <w:sz w:val="17"/>
          <w:szCs w:val="17"/>
        </w:rPr>
        <w:t xml:space="preserve"> 201</w:t>
      </w:r>
      <w:r>
        <w:rPr>
          <w:sz w:val="17"/>
          <w:szCs w:val="17"/>
        </w:rPr>
        <w:t>2</w:t>
      </w:r>
      <w:r w:rsidRPr="00560CBA">
        <w:rPr>
          <w:sz w:val="17"/>
          <w:szCs w:val="17"/>
        </w:rPr>
        <w:t>.</w:t>
      </w:r>
    </w:p>
  </w:endnote>
  <w:endnote w:id="27">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S&amp;P/LCD Quarterly Review, First Quarter</w:t>
      </w:r>
      <w:r w:rsidRPr="00560CBA">
        <w:rPr>
          <w:sz w:val="17"/>
          <w:szCs w:val="17"/>
        </w:rPr>
        <w:t xml:space="preserve"> 201</w:t>
      </w:r>
      <w:r>
        <w:rPr>
          <w:sz w:val="17"/>
          <w:szCs w:val="17"/>
        </w:rPr>
        <w:t>2</w:t>
      </w:r>
      <w:r w:rsidRPr="00560CBA">
        <w:rPr>
          <w:sz w:val="17"/>
          <w:szCs w:val="17"/>
        </w:rPr>
        <w:t>.</w:t>
      </w:r>
    </w:p>
  </w:endnote>
  <w:endnote w:id="28">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w:t>
      </w:r>
      <w:r>
        <w:rPr>
          <w:sz w:val="17"/>
          <w:szCs w:val="17"/>
        </w:rPr>
        <w:t xml:space="preserve"> CL</w:t>
      </w:r>
      <w:r w:rsidRPr="00560CBA">
        <w:rPr>
          <w:sz w:val="17"/>
          <w:szCs w:val="17"/>
        </w:rPr>
        <w:t xml:space="preserve">O Market Tracker, </w:t>
      </w:r>
      <w:r>
        <w:rPr>
          <w:sz w:val="17"/>
          <w:szCs w:val="17"/>
        </w:rPr>
        <w:t>April 4, 2012</w:t>
      </w:r>
      <w:r w:rsidRPr="00560CBA">
        <w:rPr>
          <w:sz w:val="17"/>
          <w:szCs w:val="17"/>
        </w:rPr>
        <w:t xml:space="preserve">; based on a sample of </w:t>
      </w:r>
      <w:r>
        <w:rPr>
          <w:sz w:val="17"/>
          <w:szCs w:val="17"/>
        </w:rPr>
        <w:t>473</w:t>
      </w:r>
      <w:r w:rsidRPr="00560CBA">
        <w:rPr>
          <w:sz w:val="17"/>
          <w:szCs w:val="17"/>
        </w:rPr>
        <w:t xml:space="preserve"> U.S. CLO transactions.</w:t>
      </w:r>
    </w:p>
  </w:endnote>
  <w:endnote w:id="29">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Morgan Stanley CL</w:t>
      </w:r>
      <w:r w:rsidRPr="00560CBA">
        <w:rPr>
          <w:sz w:val="17"/>
          <w:szCs w:val="17"/>
        </w:rPr>
        <w:t xml:space="preserve">O Market Tracker, </w:t>
      </w:r>
      <w:r>
        <w:rPr>
          <w:sz w:val="17"/>
          <w:szCs w:val="17"/>
        </w:rPr>
        <w:t>January 9, 2012</w:t>
      </w:r>
      <w:r w:rsidRPr="00560CBA">
        <w:rPr>
          <w:sz w:val="17"/>
          <w:szCs w:val="17"/>
        </w:rPr>
        <w:t xml:space="preserve">; based on a sample of </w:t>
      </w:r>
      <w:r>
        <w:rPr>
          <w:sz w:val="17"/>
          <w:szCs w:val="17"/>
        </w:rPr>
        <w:t>461</w:t>
      </w:r>
      <w:r w:rsidRPr="00560CBA">
        <w:rPr>
          <w:sz w:val="17"/>
          <w:szCs w:val="17"/>
        </w:rPr>
        <w:t xml:space="preserve"> U.S. CLO transactions.</w:t>
      </w:r>
    </w:p>
  </w:endnote>
  <w:endnote w:id="30">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 C</w:t>
      </w:r>
      <w:r>
        <w:rPr>
          <w:sz w:val="17"/>
          <w:szCs w:val="17"/>
        </w:rPr>
        <w:t>L</w:t>
      </w:r>
      <w:r w:rsidRPr="00560CBA">
        <w:rPr>
          <w:sz w:val="17"/>
          <w:szCs w:val="17"/>
        </w:rPr>
        <w:t xml:space="preserve">O Market Tracker, </w:t>
      </w:r>
      <w:r>
        <w:rPr>
          <w:sz w:val="17"/>
          <w:szCs w:val="17"/>
        </w:rPr>
        <w:t>April 4, 2012</w:t>
      </w:r>
      <w:r w:rsidRPr="00560CBA">
        <w:rPr>
          <w:sz w:val="17"/>
          <w:szCs w:val="17"/>
        </w:rPr>
        <w:t xml:space="preserve">; based on a sample of </w:t>
      </w:r>
      <w:r>
        <w:rPr>
          <w:sz w:val="17"/>
          <w:szCs w:val="17"/>
        </w:rPr>
        <w:t>195</w:t>
      </w:r>
      <w:r w:rsidRPr="0008750F">
        <w:rPr>
          <w:sz w:val="17"/>
          <w:szCs w:val="17"/>
        </w:rPr>
        <w:t xml:space="preserve"> </w:t>
      </w:r>
      <w:r>
        <w:rPr>
          <w:sz w:val="17"/>
          <w:szCs w:val="17"/>
        </w:rPr>
        <w:t>European C</w:t>
      </w:r>
      <w:r w:rsidRPr="00560CBA">
        <w:rPr>
          <w:sz w:val="17"/>
          <w:szCs w:val="17"/>
        </w:rPr>
        <w:t>LO transactions.</w:t>
      </w:r>
    </w:p>
  </w:endnote>
  <w:endnote w:id="31">
    <w:p w:rsidR="00E8582A" w:rsidRDefault="00E8582A" w:rsidP="002256BC">
      <w:pPr>
        <w:pStyle w:val="EndnoteText"/>
        <w:spacing w:after="0"/>
      </w:pPr>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 C</w:t>
      </w:r>
      <w:r>
        <w:rPr>
          <w:sz w:val="17"/>
          <w:szCs w:val="17"/>
        </w:rPr>
        <w:t>L</w:t>
      </w:r>
      <w:r w:rsidRPr="00560CBA">
        <w:rPr>
          <w:sz w:val="17"/>
          <w:szCs w:val="17"/>
        </w:rPr>
        <w:t xml:space="preserve">O Market Tracker, </w:t>
      </w:r>
      <w:r>
        <w:rPr>
          <w:sz w:val="17"/>
          <w:szCs w:val="17"/>
        </w:rPr>
        <w:t>January 9, 2012</w:t>
      </w:r>
      <w:r w:rsidRPr="00560CBA">
        <w:rPr>
          <w:sz w:val="17"/>
          <w:szCs w:val="17"/>
        </w:rPr>
        <w:t xml:space="preserve">; based on a sample of </w:t>
      </w:r>
      <w:r>
        <w:rPr>
          <w:sz w:val="17"/>
          <w:szCs w:val="17"/>
        </w:rPr>
        <w:t>195</w:t>
      </w:r>
      <w:r w:rsidRPr="0008750F">
        <w:rPr>
          <w:sz w:val="17"/>
          <w:szCs w:val="17"/>
        </w:rPr>
        <w:t xml:space="preserve"> </w:t>
      </w:r>
      <w:r>
        <w:rPr>
          <w:sz w:val="17"/>
          <w:szCs w:val="17"/>
        </w:rPr>
        <w:t>European C</w:t>
      </w:r>
      <w:r w:rsidRPr="00560CBA">
        <w:rPr>
          <w:sz w:val="17"/>
          <w:szCs w:val="17"/>
        </w:rPr>
        <w:t>LO transactions.</w:t>
      </w:r>
    </w:p>
  </w:endnote>
  <w:endnote w:id="32">
    <w:p w:rsidR="00E8582A" w:rsidRDefault="00E8582A" w:rsidP="002256BC">
      <w:pPr>
        <w:pStyle w:val="EndnoteText"/>
        <w:spacing w:after="0"/>
      </w:pPr>
      <w:r>
        <w:rPr>
          <w:sz w:val="17"/>
          <w:szCs w:val="17"/>
        </w:rPr>
        <w:t>(</w:t>
      </w:r>
      <w:r w:rsidRPr="001C08C9">
        <w:rPr>
          <w:sz w:val="17"/>
          <w:szCs w:val="17"/>
        </w:rPr>
        <w:endnoteRef/>
      </w:r>
      <w:r>
        <w:rPr>
          <w:sz w:val="17"/>
          <w:szCs w:val="17"/>
        </w:rPr>
        <w:t>)</w:t>
      </w:r>
      <w:r w:rsidRPr="001C08C9">
        <w:rPr>
          <w:sz w:val="17"/>
          <w:szCs w:val="17"/>
        </w:rPr>
        <w:t xml:space="preserve"> </w:t>
      </w:r>
      <w:r>
        <w:rPr>
          <w:sz w:val="17"/>
          <w:szCs w:val="17"/>
        </w:rPr>
        <w:t>Morgan Stanley CL</w:t>
      </w:r>
      <w:r w:rsidRPr="00560CBA">
        <w:rPr>
          <w:sz w:val="17"/>
          <w:szCs w:val="17"/>
        </w:rPr>
        <w:t xml:space="preserve">O Market Tracker, </w:t>
      </w:r>
      <w:r>
        <w:rPr>
          <w:sz w:val="17"/>
          <w:szCs w:val="17"/>
        </w:rPr>
        <w:t>April 4, 2012.</w:t>
      </w:r>
    </w:p>
  </w:endnote>
  <w:endnote w:id="33">
    <w:p w:rsidR="00E8582A" w:rsidRDefault="00E8582A" w:rsidP="002256BC">
      <w:pPr>
        <w:pStyle w:val="EndnoteText"/>
        <w:spacing w:after="0"/>
      </w:pPr>
      <w:r>
        <w:rPr>
          <w:sz w:val="17"/>
          <w:szCs w:val="17"/>
        </w:rPr>
        <w:t>(30) Morgan Stanley CL</w:t>
      </w:r>
      <w:r w:rsidRPr="00560CBA">
        <w:rPr>
          <w:sz w:val="17"/>
          <w:szCs w:val="17"/>
        </w:rPr>
        <w:t xml:space="preserve">O Market Tracker, </w:t>
      </w:r>
      <w:r>
        <w:rPr>
          <w:sz w:val="17"/>
          <w:szCs w:val="17"/>
        </w:rPr>
        <w:t>April 4, 2012.</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A" w:rsidRDefault="00E8582A" w:rsidP="00722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82A" w:rsidRDefault="00E85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A" w:rsidRPr="00722BFF" w:rsidRDefault="00E8582A" w:rsidP="00631711">
    <w:pPr>
      <w:pStyle w:val="Footer"/>
      <w:framePr w:wrap="around" w:vAnchor="text" w:hAnchor="page" w:x="5761" w:y="518"/>
      <w:rPr>
        <w:rStyle w:val="PageNumber"/>
        <w:rFonts w:ascii="Gill Sans MT" w:hAnsi="Gill Sans MT"/>
        <w:sz w:val="18"/>
        <w:szCs w:val="18"/>
      </w:rPr>
    </w:pPr>
    <w:r w:rsidRPr="00722BFF">
      <w:rPr>
        <w:rStyle w:val="PageNumber"/>
        <w:rFonts w:ascii="Gill Sans MT" w:hAnsi="Gill Sans MT"/>
        <w:sz w:val="18"/>
        <w:szCs w:val="18"/>
      </w:rPr>
      <w:fldChar w:fldCharType="begin"/>
    </w:r>
    <w:r w:rsidRPr="00722BFF">
      <w:rPr>
        <w:rStyle w:val="PageNumber"/>
        <w:rFonts w:ascii="Gill Sans MT" w:hAnsi="Gill Sans MT"/>
        <w:sz w:val="18"/>
        <w:szCs w:val="18"/>
      </w:rPr>
      <w:instrText xml:space="preserve">PAGE  </w:instrText>
    </w:r>
    <w:r w:rsidRPr="00722BFF">
      <w:rPr>
        <w:rStyle w:val="PageNumber"/>
        <w:rFonts w:ascii="Gill Sans MT" w:hAnsi="Gill Sans MT"/>
        <w:sz w:val="18"/>
        <w:szCs w:val="18"/>
      </w:rPr>
      <w:fldChar w:fldCharType="separate"/>
    </w:r>
    <w:r>
      <w:rPr>
        <w:rStyle w:val="PageNumber"/>
        <w:rFonts w:ascii="Gill Sans MT" w:hAnsi="Gill Sans MT"/>
        <w:noProof/>
        <w:sz w:val="18"/>
        <w:szCs w:val="18"/>
      </w:rPr>
      <w:t>1</w:t>
    </w:r>
    <w:r w:rsidRPr="00722BFF">
      <w:rPr>
        <w:rStyle w:val="PageNumber"/>
        <w:rFonts w:ascii="Gill Sans MT" w:hAnsi="Gill Sans MT"/>
        <w:sz w:val="18"/>
        <w:szCs w:val="18"/>
      </w:rPr>
      <w:fldChar w:fldCharType="end"/>
    </w:r>
  </w:p>
  <w:p w:rsidR="00E8582A" w:rsidRPr="008A5772" w:rsidRDefault="00E8582A" w:rsidP="008A5772">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A" w:rsidRPr="00C50359" w:rsidRDefault="00E8582A" w:rsidP="00B620A1">
    <w:pPr>
      <w:pStyle w:val="Footer"/>
      <w:framePr w:h="532" w:hRule="exact" w:wrap="around" w:vAnchor="text" w:hAnchor="margin" w:xAlign="center" w:y="405"/>
      <w:rPr>
        <w:rStyle w:val="PageNumber"/>
        <w:rFonts w:ascii="Arial" w:hAnsi="Arial" w:cs="Arial"/>
      </w:rPr>
    </w:pPr>
    <w:r w:rsidRPr="00C50359">
      <w:rPr>
        <w:rStyle w:val="PageNumber"/>
        <w:rFonts w:ascii="Arial" w:hAnsi="Arial" w:cs="Arial"/>
      </w:rPr>
      <w:fldChar w:fldCharType="begin"/>
    </w:r>
    <w:r w:rsidRPr="00C50359">
      <w:rPr>
        <w:rStyle w:val="PageNumber"/>
        <w:rFonts w:ascii="Arial" w:hAnsi="Arial" w:cs="Arial"/>
      </w:rPr>
      <w:instrText xml:space="preserve">PAGE  </w:instrText>
    </w:r>
    <w:r w:rsidRPr="00C50359">
      <w:rPr>
        <w:rStyle w:val="PageNumber"/>
        <w:rFonts w:ascii="Arial" w:hAnsi="Arial" w:cs="Arial"/>
      </w:rPr>
      <w:fldChar w:fldCharType="separate"/>
    </w:r>
    <w:r>
      <w:rPr>
        <w:rStyle w:val="PageNumber"/>
        <w:rFonts w:ascii="Arial" w:hAnsi="Arial" w:cs="Arial"/>
        <w:noProof/>
      </w:rPr>
      <w:t>20</w:t>
    </w:r>
    <w:r w:rsidRPr="00C50359">
      <w:rPr>
        <w:rStyle w:val="PageNumber"/>
        <w:rFonts w:ascii="Arial" w:hAnsi="Arial" w:cs="Arial"/>
      </w:rPr>
      <w:fldChar w:fldCharType="end"/>
    </w:r>
  </w:p>
  <w:p w:rsidR="00E8582A" w:rsidRPr="00634EB2" w:rsidRDefault="00E8582A" w:rsidP="00B620A1">
    <w:pPr>
      <w:pStyle w:val="Footer"/>
      <w:tabs>
        <w:tab w:val="right" w:pos="9907"/>
      </w:tabs>
      <w:ind w:right="720"/>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2A" w:rsidRDefault="00E8582A">
      <w:r>
        <w:separator/>
      </w:r>
    </w:p>
  </w:footnote>
  <w:footnote w:type="continuationSeparator" w:id="0">
    <w:p w:rsidR="00E8582A" w:rsidRDefault="00E85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A" w:rsidRDefault="00E8582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70.9pt;margin-top:-35.45pt;width:615.4pt;height:89.95pt;z-index:251660288;visibility:visible">
          <v:imagedata r:id="rId1" o:title=""/>
          <w10:wrap type="topAndBottom"/>
        </v:shape>
      </w:pict>
    </w:r>
  </w:p>
  <w:p w:rsidR="00E8582A" w:rsidRDefault="00E8582A">
    <w:pPr>
      <w:pStyle w:val="Header"/>
    </w:pPr>
  </w:p>
  <w:p w:rsidR="00E8582A" w:rsidRDefault="00E8582A">
    <w:pPr>
      <w:pStyle w:val="Header"/>
    </w:pPr>
  </w:p>
  <w:p w:rsidR="00E8582A" w:rsidRDefault="00E8582A" w:rsidP="008857D6">
    <w:pPr>
      <w:spacing w:after="0"/>
      <w:jc w:val="center"/>
      <w:outlineLvl w:val="0"/>
      <w:rPr>
        <w:rFonts w:ascii="Gill Sans MT" w:hAnsi="Gill Sans MT"/>
        <w:smallCaps/>
        <w:sz w:val="16"/>
        <w:szCs w:val="16"/>
      </w:rPr>
    </w:pPr>
  </w:p>
  <w:p w:rsidR="00E8582A" w:rsidRPr="00AC1BC6" w:rsidRDefault="00E8582A" w:rsidP="008857D6">
    <w:pPr>
      <w:spacing w:after="0"/>
      <w:jc w:val="center"/>
      <w:outlineLvl w:val="0"/>
      <w:rPr>
        <w:rFonts w:ascii="Gill Sans MT" w:hAnsi="Gill Sans MT"/>
        <w:smallCaps/>
        <w:sz w:val="16"/>
        <w:szCs w:val="16"/>
      </w:rPr>
    </w:pPr>
  </w:p>
  <w:p w:rsidR="00E8582A" w:rsidRDefault="00E8582A" w:rsidP="008857D6">
    <w:pPr>
      <w:spacing w:after="60"/>
      <w:jc w:val="center"/>
      <w:outlineLvl w:val="0"/>
      <w:rPr>
        <w:rFonts w:ascii="Gill Sans MT" w:hAnsi="Gill Sans MT"/>
        <w:b/>
        <w:smallCaps/>
        <w:sz w:val="32"/>
        <w:szCs w:val="32"/>
      </w:rPr>
    </w:pPr>
    <w:r w:rsidRPr="009516B8">
      <w:rPr>
        <w:rFonts w:ascii="Gill Sans MT" w:hAnsi="Gill Sans MT"/>
        <w:b/>
        <w:smallCaps/>
        <w:sz w:val="32"/>
        <w:szCs w:val="32"/>
      </w:rPr>
      <w:t>Tet</w:t>
    </w:r>
    <w:r>
      <w:rPr>
        <w:rFonts w:ascii="Gill Sans MT" w:hAnsi="Gill Sans MT"/>
        <w:b/>
        <w:smallCaps/>
        <w:sz w:val="32"/>
        <w:szCs w:val="32"/>
      </w:rPr>
      <w:t>ragon Financial Group Limited (</w:t>
    </w:r>
    <w:r w:rsidRPr="009516B8">
      <w:rPr>
        <w:rFonts w:ascii="Gill Sans MT" w:hAnsi="Gill Sans MT"/>
        <w:b/>
        <w:smallCaps/>
        <w:sz w:val="32"/>
        <w:szCs w:val="32"/>
      </w:rPr>
      <w:t>TFG)</w:t>
    </w:r>
  </w:p>
  <w:p w:rsidR="00E8582A" w:rsidRDefault="00E8582A" w:rsidP="00E10F58">
    <w:pPr>
      <w:spacing w:after="0"/>
      <w:jc w:val="center"/>
      <w:outlineLvl w:val="0"/>
      <w:rPr>
        <w:rFonts w:ascii="Gill Sans MT" w:hAnsi="Gill Sans MT"/>
        <w:b/>
        <w:caps/>
        <w:sz w:val="22"/>
        <w:szCs w:val="22"/>
      </w:rPr>
    </w:pPr>
    <w:r>
      <w:rPr>
        <w:rFonts w:ascii="Gill Sans MT" w:hAnsi="Gill Sans MT"/>
        <w:b/>
        <w:caps/>
        <w:sz w:val="22"/>
        <w:szCs w:val="22"/>
      </w:rPr>
      <w:t>PERFORMANCE REPORT FOR PERIOD ENDED 31 March 2012</w:t>
    </w:r>
  </w:p>
  <w:p w:rsidR="00E8582A" w:rsidRPr="00E10F58" w:rsidRDefault="00E8582A" w:rsidP="00E10F58">
    <w:pPr>
      <w:spacing w:after="0"/>
      <w:jc w:val="center"/>
      <w:outlineLvl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A" w:rsidRDefault="00E8582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2pt;margin-top:-35.3pt;width:619.5pt;height:90pt;z-index:251662336;visibility:visible">
          <v:imagedata r:id="rId1" o:title=""/>
          <w10:wrap type="topAndBottom"/>
        </v:shape>
      </w:pict>
    </w:r>
  </w:p>
  <w:p w:rsidR="00E8582A" w:rsidRDefault="00E8582A">
    <w:pPr>
      <w:pStyle w:val="Header"/>
    </w:pPr>
  </w:p>
  <w:p w:rsidR="00E8582A" w:rsidRDefault="00E8582A">
    <w:pPr>
      <w:pStyle w:val="Header"/>
    </w:pPr>
  </w:p>
  <w:p w:rsidR="00E8582A" w:rsidRDefault="00E85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B7"/>
    <w:multiLevelType w:val="hybridMultilevel"/>
    <w:tmpl w:val="E46474B4"/>
    <w:lvl w:ilvl="0" w:tplc="96220B02">
      <w:start w:val="1"/>
      <w:numFmt w:val="bullet"/>
      <w:lvlText w:val=""/>
      <w:lvlJc w:val="left"/>
      <w:pPr>
        <w:ind w:left="720" w:hanging="360"/>
      </w:pPr>
      <w:rPr>
        <w:rFonts w:ascii="Wingdings" w:hAnsi="Wingdings" w:hint="default"/>
        <w:color w:val="49A3A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BED"/>
    <w:multiLevelType w:val="hybridMultilevel"/>
    <w:tmpl w:val="C256E340"/>
    <w:lvl w:ilvl="0" w:tplc="54E2F158">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501"/>
    <w:multiLevelType w:val="hybridMultilevel"/>
    <w:tmpl w:val="F28C6BFA"/>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161D4"/>
    <w:multiLevelType w:val="hybridMultilevel"/>
    <w:tmpl w:val="8F6A56EE"/>
    <w:lvl w:ilvl="0" w:tplc="04090005">
      <w:start w:val="1"/>
      <w:numFmt w:val="bullet"/>
      <w:lvlText w:val=""/>
      <w:lvlJc w:val="left"/>
      <w:pPr>
        <w:ind w:left="720" w:hanging="360"/>
      </w:pPr>
      <w:rPr>
        <w:rFonts w:ascii="Wingdings" w:hAnsi="Wingdings" w:hint="default"/>
        <w:color w:val="auto"/>
        <w:sz w:val="24"/>
      </w:rPr>
    </w:lvl>
    <w:lvl w:ilvl="1" w:tplc="6B004E6E">
      <w:start w:val="1"/>
      <w:numFmt w:val="bullet"/>
      <w:lvlText w:val="-"/>
      <w:lvlJc w:val="left"/>
      <w:pPr>
        <w:ind w:left="1440" w:hanging="360"/>
      </w:pPr>
      <w:rPr>
        <w:rFonts w:ascii="Courier New" w:hAnsi="Courier New"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F3ED0"/>
    <w:multiLevelType w:val="hybridMultilevel"/>
    <w:tmpl w:val="E8246DE6"/>
    <w:lvl w:ilvl="0" w:tplc="04090009">
      <w:start w:val="1"/>
      <w:numFmt w:val="bullet"/>
      <w:lvlText w:val=""/>
      <w:lvlJc w:val="left"/>
      <w:pPr>
        <w:ind w:left="720" w:hanging="360"/>
      </w:pPr>
      <w:rPr>
        <w:rFonts w:ascii="Wingdings" w:hAnsi="Wingdings" w:hint="default"/>
      </w:rPr>
    </w:lvl>
    <w:lvl w:ilvl="1" w:tplc="6B004E6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16611"/>
    <w:multiLevelType w:val="hybridMultilevel"/>
    <w:tmpl w:val="F050D8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23C6C"/>
    <w:multiLevelType w:val="hybridMultilevel"/>
    <w:tmpl w:val="524ECE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F5D24"/>
    <w:multiLevelType w:val="hybridMultilevel"/>
    <w:tmpl w:val="8BA6C130"/>
    <w:lvl w:ilvl="0" w:tplc="04090009">
      <w:start w:val="1"/>
      <w:numFmt w:val="lowerRoman"/>
      <w:lvlText w:val="(%1)"/>
      <w:lvlJc w:val="left"/>
      <w:pPr>
        <w:ind w:left="900" w:hanging="720"/>
      </w:pPr>
      <w:rPr>
        <w:rFonts w:cs="Times New Roman" w:hint="default"/>
      </w:rPr>
    </w:lvl>
    <w:lvl w:ilvl="1" w:tplc="04090003" w:tentative="1">
      <w:start w:val="1"/>
      <w:numFmt w:val="lowerLetter"/>
      <w:lvlText w:val="%2."/>
      <w:lvlJc w:val="left"/>
      <w:pPr>
        <w:ind w:left="1260" w:hanging="360"/>
      </w:pPr>
      <w:rPr>
        <w:rFonts w:cs="Times New Roman"/>
      </w:rPr>
    </w:lvl>
    <w:lvl w:ilvl="2" w:tplc="04090005" w:tentative="1">
      <w:start w:val="1"/>
      <w:numFmt w:val="lowerRoman"/>
      <w:lvlText w:val="%3."/>
      <w:lvlJc w:val="right"/>
      <w:pPr>
        <w:ind w:left="1980" w:hanging="180"/>
      </w:pPr>
      <w:rPr>
        <w:rFonts w:cs="Times New Roman"/>
      </w:rPr>
    </w:lvl>
    <w:lvl w:ilvl="3" w:tplc="04090001" w:tentative="1">
      <w:start w:val="1"/>
      <w:numFmt w:val="decimal"/>
      <w:lvlText w:val="%4."/>
      <w:lvlJc w:val="left"/>
      <w:pPr>
        <w:ind w:left="2700" w:hanging="360"/>
      </w:pPr>
      <w:rPr>
        <w:rFonts w:cs="Times New Roman"/>
      </w:rPr>
    </w:lvl>
    <w:lvl w:ilvl="4" w:tplc="04090003" w:tentative="1">
      <w:start w:val="1"/>
      <w:numFmt w:val="lowerLetter"/>
      <w:lvlText w:val="%5."/>
      <w:lvlJc w:val="left"/>
      <w:pPr>
        <w:ind w:left="3420" w:hanging="360"/>
      </w:pPr>
      <w:rPr>
        <w:rFonts w:cs="Times New Roman"/>
      </w:rPr>
    </w:lvl>
    <w:lvl w:ilvl="5" w:tplc="04090005" w:tentative="1">
      <w:start w:val="1"/>
      <w:numFmt w:val="lowerRoman"/>
      <w:lvlText w:val="%6."/>
      <w:lvlJc w:val="right"/>
      <w:pPr>
        <w:ind w:left="4140" w:hanging="180"/>
      </w:pPr>
      <w:rPr>
        <w:rFonts w:cs="Times New Roman"/>
      </w:rPr>
    </w:lvl>
    <w:lvl w:ilvl="6" w:tplc="04090001" w:tentative="1">
      <w:start w:val="1"/>
      <w:numFmt w:val="decimal"/>
      <w:lvlText w:val="%7."/>
      <w:lvlJc w:val="left"/>
      <w:pPr>
        <w:ind w:left="4860" w:hanging="360"/>
      </w:pPr>
      <w:rPr>
        <w:rFonts w:cs="Times New Roman"/>
      </w:rPr>
    </w:lvl>
    <w:lvl w:ilvl="7" w:tplc="04090003" w:tentative="1">
      <w:start w:val="1"/>
      <w:numFmt w:val="lowerLetter"/>
      <w:lvlText w:val="%8."/>
      <w:lvlJc w:val="left"/>
      <w:pPr>
        <w:ind w:left="5580" w:hanging="360"/>
      </w:pPr>
      <w:rPr>
        <w:rFonts w:cs="Times New Roman"/>
      </w:rPr>
    </w:lvl>
    <w:lvl w:ilvl="8" w:tplc="04090005" w:tentative="1">
      <w:start w:val="1"/>
      <w:numFmt w:val="lowerRoman"/>
      <w:lvlText w:val="%9."/>
      <w:lvlJc w:val="right"/>
      <w:pPr>
        <w:ind w:left="6300" w:hanging="180"/>
      </w:pPr>
      <w:rPr>
        <w:rFonts w:cs="Times New Roman"/>
      </w:rPr>
    </w:lvl>
  </w:abstractNum>
  <w:abstractNum w:abstractNumId="8">
    <w:nsid w:val="1B216AEB"/>
    <w:multiLevelType w:val="hybridMultilevel"/>
    <w:tmpl w:val="2CF406AE"/>
    <w:lvl w:ilvl="0" w:tplc="8C3C671C">
      <w:start w:val="1"/>
      <w:numFmt w:val="bullet"/>
      <w:lvlText w:val=""/>
      <w:lvlJc w:val="left"/>
      <w:pPr>
        <w:ind w:left="720" w:hanging="360"/>
      </w:pPr>
      <w:rPr>
        <w:rFonts w:ascii="Wingdings" w:hAnsi="Wingdings" w:hint="default"/>
        <w:color w:val="49A3A1"/>
        <w:sz w:val="24"/>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F2D363E"/>
    <w:multiLevelType w:val="hybridMultilevel"/>
    <w:tmpl w:val="4B04417C"/>
    <w:lvl w:ilvl="0" w:tplc="580E78B0">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23ABE"/>
    <w:multiLevelType w:val="hybridMultilevel"/>
    <w:tmpl w:val="E83CC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365A"/>
    <w:multiLevelType w:val="hybridMultilevel"/>
    <w:tmpl w:val="9BB64196"/>
    <w:lvl w:ilvl="0" w:tplc="04090005">
      <w:start w:val="1"/>
      <w:numFmt w:val="bullet"/>
      <w:lvlText w:val=""/>
      <w:lvlJc w:val="left"/>
      <w:pPr>
        <w:ind w:left="1080" w:hanging="360"/>
      </w:pPr>
      <w:rPr>
        <w:rFonts w:ascii="Wingdings" w:hAnsi="Wingdings" w:hint="default"/>
      </w:rPr>
    </w:lvl>
    <w:lvl w:ilvl="1" w:tplc="6B004E6E"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6534A"/>
    <w:multiLevelType w:val="hybridMultilevel"/>
    <w:tmpl w:val="C5D043C4"/>
    <w:lvl w:ilvl="0" w:tplc="04090005">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Courier New" w:hAnsi="Courier New"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1CE5"/>
    <w:multiLevelType w:val="hybridMultilevel"/>
    <w:tmpl w:val="D75C9C7A"/>
    <w:lvl w:ilvl="0" w:tplc="8280F8C8">
      <w:start w:val="1"/>
      <w:numFmt w:val="bullet"/>
      <w:lvlText w:val=""/>
      <w:lvlJc w:val="left"/>
      <w:pPr>
        <w:ind w:left="720" w:hanging="360"/>
      </w:pPr>
      <w:rPr>
        <w:rFonts w:ascii="Wingdings" w:hAnsi="Wingdings" w:hint="default"/>
        <w:color w:val="41918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F0762"/>
    <w:multiLevelType w:val="hybridMultilevel"/>
    <w:tmpl w:val="6570EDCE"/>
    <w:lvl w:ilvl="0" w:tplc="04090009">
      <w:start w:val="1"/>
      <w:numFmt w:val="bullet"/>
      <w:lvlText w:val=""/>
      <w:lvlJc w:val="left"/>
      <w:pPr>
        <w:ind w:left="720" w:hanging="360"/>
      </w:pPr>
      <w:rPr>
        <w:rFonts w:ascii="Wingdings" w:hAnsi="Wingdings" w:hint="default"/>
      </w:rPr>
    </w:lvl>
    <w:lvl w:ilvl="1" w:tplc="6B004E6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E3929"/>
    <w:multiLevelType w:val="hybridMultilevel"/>
    <w:tmpl w:val="1DE09894"/>
    <w:lvl w:ilvl="0" w:tplc="04090005">
      <w:start w:val="1"/>
      <w:numFmt w:val="bullet"/>
      <w:lvlText w:val=""/>
      <w:lvlJc w:val="left"/>
      <w:pPr>
        <w:ind w:left="1267" w:hanging="360"/>
      </w:pPr>
      <w:rPr>
        <w:rFonts w:ascii="Wingdings" w:hAnsi="Wingdings" w:hint="default"/>
        <w:color w:val="auto"/>
        <w:sz w:val="24"/>
      </w:rPr>
    </w:lvl>
    <w:lvl w:ilvl="1" w:tplc="04090003">
      <w:start w:val="1"/>
      <w:numFmt w:val="bullet"/>
      <w:lvlText w:val=""/>
      <w:lvlJc w:val="left"/>
      <w:pPr>
        <w:ind w:left="1987" w:hanging="360"/>
      </w:pPr>
      <w:rPr>
        <w:rFonts w:ascii="Wingdings" w:hAnsi="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nsid w:val="2F9825F0"/>
    <w:multiLevelType w:val="hybridMultilevel"/>
    <w:tmpl w:val="CE309F4E"/>
    <w:lvl w:ilvl="0" w:tplc="16D8A94C">
      <w:start w:val="1"/>
      <w:numFmt w:val="bullet"/>
      <w:lvlText w:val=""/>
      <w:lvlJc w:val="left"/>
      <w:pPr>
        <w:ind w:left="720" w:hanging="360"/>
      </w:pPr>
      <w:rPr>
        <w:rFonts w:ascii="Wingdings" w:hAnsi="Wingdings" w:hint="default"/>
        <w:color w:val="41918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55A95"/>
    <w:multiLevelType w:val="hybridMultilevel"/>
    <w:tmpl w:val="7D1E5A8C"/>
    <w:lvl w:ilvl="0" w:tplc="38A80C2A">
      <w:start w:val="1"/>
      <w:numFmt w:val="lowerRoman"/>
      <w:lvlText w:val="(%1)"/>
      <w:lvlJc w:val="left"/>
      <w:pPr>
        <w:ind w:left="810" w:hanging="720"/>
      </w:pPr>
      <w:rPr>
        <w:rFonts w:cs="Times New Roman" w:hint="default"/>
      </w:rPr>
    </w:lvl>
    <w:lvl w:ilvl="1" w:tplc="04090005"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34C17F25"/>
    <w:multiLevelType w:val="hybridMultilevel"/>
    <w:tmpl w:val="CD1EADDA"/>
    <w:lvl w:ilvl="0" w:tplc="8D0ECB72">
      <w:start w:val="1"/>
      <w:numFmt w:val="bullet"/>
      <w:lvlText w:val=""/>
      <w:lvlJc w:val="left"/>
      <w:pPr>
        <w:tabs>
          <w:tab w:val="num" w:pos="1980"/>
        </w:tabs>
        <w:ind w:left="1980" w:hanging="360"/>
      </w:pPr>
      <w:rPr>
        <w:rFonts w:ascii="Wingdings" w:hAnsi="Wingdings"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9">
    <w:nsid w:val="357C1392"/>
    <w:multiLevelType w:val="hybridMultilevel"/>
    <w:tmpl w:val="8F0096FE"/>
    <w:lvl w:ilvl="0" w:tplc="04090005">
      <w:start w:val="1"/>
      <w:numFmt w:val="bullet"/>
      <w:lvlText w:val=""/>
      <w:lvlJc w:val="left"/>
      <w:pPr>
        <w:ind w:left="1354" w:hanging="360"/>
      </w:pPr>
      <w:rPr>
        <w:rFonts w:ascii="Wingdings" w:hAnsi="Wingdings" w:hint="default"/>
        <w:color w:val="auto"/>
        <w:sz w:val="24"/>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nsid w:val="384612EE"/>
    <w:multiLevelType w:val="hybridMultilevel"/>
    <w:tmpl w:val="C0A2B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47901"/>
    <w:multiLevelType w:val="hybridMultilevel"/>
    <w:tmpl w:val="BF8E1BAA"/>
    <w:lvl w:ilvl="0" w:tplc="0CF434B8">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549F4"/>
    <w:multiLevelType w:val="hybridMultilevel"/>
    <w:tmpl w:val="F45AD5B8"/>
    <w:lvl w:ilvl="0" w:tplc="04090009">
      <w:start w:val="1"/>
      <w:numFmt w:val="bullet"/>
      <w:lvlText w:val=""/>
      <w:lvlJc w:val="left"/>
      <w:pPr>
        <w:ind w:left="720" w:hanging="360"/>
      </w:pPr>
      <w:rPr>
        <w:rFonts w:ascii="Wingdings" w:hAnsi="Wingdings" w:hint="default"/>
        <w:color w:val="auto"/>
        <w:sz w:val="24"/>
      </w:rPr>
    </w:lvl>
    <w:lvl w:ilvl="1" w:tplc="0CF434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A1084"/>
    <w:multiLevelType w:val="hybridMultilevel"/>
    <w:tmpl w:val="7B76FBD4"/>
    <w:lvl w:ilvl="0" w:tplc="04090005">
      <w:start w:val="1"/>
      <w:numFmt w:val="bullet"/>
      <w:lvlText w:val=""/>
      <w:lvlJc w:val="left"/>
      <w:pPr>
        <w:tabs>
          <w:tab w:val="num" w:pos="540"/>
        </w:tabs>
        <w:ind w:left="540" w:hanging="360"/>
      </w:pPr>
      <w:rPr>
        <w:rFonts w:ascii="Wingdings" w:hAnsi="Wingdings" w:hint="default"/>
      </w:rPr>
    </w:lvl>
    <w:lvl w:ilvl="1" w:tplc="20886BD8">
      <w:start w:val="1"/>
      <w:numFmt w:val="bullet"/>
      <w:lvlText w:val="o"/>
      <w:lvlJc w:val="left"/>
      <w:pPr>
        <w:tabs>
          <w:tab w:val="num" w:pos="1440"/>
        </w:tabs>
        <w:ind w:left="1440" w:hanging="360"/>
      </w:pPr>
      <w:rPr>
        <w:rFonts w:ascii="Courier New" w:hAnsi="Courier New" w:hint="default"/>
      </w:rPr>
    </w:lvl>
    <w:lvl w:ilvl="2" w:tplc="6B004E6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35506A"/>
    <w:multiLevelType w:val="hybridMultilevel"/>
    <w:tmpl w:val="85048288"/>
    <w:lvl w:ilvl="0" w:tplc="04090009">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B5D55"/>
    <w:multiLevelType w:val="hybridMultilevel"/>
    <w:tmpl w:val="7E0AD5E4"/>
    <w:lvl w:ilvl="0" w:tplc="0CF434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D20CC"/>
    <w:multiLevelType w:val="hybridMultilevel"/>
    <w:tmpl w:val="29C4C4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470059"/>
    <w:multiLevelType w:val="hybridMultilevel"/>
    <w:tmpl w:val="18B0760E"/>
    <w:lvl w:ilvl="0" w:tplc="04090005">
      <w:start w:val="1"/>
      <w:numFmt w:val="lowerRoman"/>
      <w:lvlText w:val="(%1)"/>
      <w:lvlJc w:val="left"/>
      <w:pPr>
        <w:ind w:left="810" w:hanging="72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53C86125"/>
    <w:multiLevelType w:val="hybridMultilevel"/>
    <w:tmpl w:val="120476C8"/>
    <w:lvl w:ilvl="0" w:tplc="21DAFB0C">
      <w:start w:val="1"/>
      <w:numFmt w:val="bullet"/>
      <w:lvlText w:val=""/>
      <w:lvlJc w:val="left"/>
      <w:pPr>
        <w:ind w:left="720" w:hanging="360"/>
      </w:pPr>
      <w:rPr>
        <w:rFonts w:ascii="Wingdings" w:hAnsi="Wingdings" w:hint="default"/>
        <w:color w:val="auto"/>
        <w:sz w:val="24"/>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4D11FD0"/>
    <w:multiLevelType w:val="hybridMultilevel"/>
    <w:tmpl w:val="F4B8E41E"/>
    <w:lvl w:ilvl="0" w:tplc="04090009">
      <w:start w:val="1"/>
      <w:numFmt w:val="bullet"/>
      <w:lvlText w:val=""/>
      <w:lvlJc w:val="left"/>
      <w:pPr>
        <w:ind w:left="36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160D4"/>
    <w:multiLevelType w:val="hybridMultilevel"/>
    <w:tmpl w:val="84869376"/>
    <w:lvl w:ilvl="0" w:tplc="04090009">
      <w:start w:val="1"/>
      <w:numFmt w:val="lowerRoman"/>
      <w:lvlText w:val="(%1)"/>
      <w:lvlJc w:val="left"/>
      <w:pPr>
        <w:ind w:left="967" w:hanging="720"/>
      </w:pPr>
      <w:rPr>
        <w:rFonts w:cs="Times New Roman" w:hint="default"/>
      </w:rPr>
    </w:lvl>
    <w:lvl w:ilvl="1" w:tplc="04090005" w:tentative="1">
      <w:start w:val="1"/>
      <w:numFmt w:val="lowerLetter"/>
      <w:lvlText w:val="%2."/>
      <w:lvlJc w:val="left"/>
      <w:pPr>
        <w:ind w:left="1327" w:hanging="360"/>
      </w:pPr>
      <w:rPr>
        <w:rFonts w:cs="Times New Roman"/>
      </w:rPr>
    </w:lvl>
    <w:lvl w:ilvl="2" w:tplc="04090005" w:tentative="1">
      <w:start w:val="1"/>
      <w:numFmt w:val="lowerRoman"/>
      <w:lvlText w:val="%3."/>
      <w:lvlJc w:val="right"/>
      <w:pPr>
        <w:ind w:left="2047" w:hanging="180"/>
      </w:pPr>
      <w:rPr>
        <w:rFonts w:cs="Times New Roman"/>
      </w:rPr>
    </w:lvl>
    <w:lvl w:ilvl="3" w:tplc="04090001" w:tentative="1">
      <w:start w:val="1"/>
      <w:numFmt w:val="decimal"/>
      <w:lvlText w:val="%4."/>
      <w:lvlJc w:val="left"/>
      <w:pPr>
        <w:ind w:left="2767" w:hanging="360"/>
      </w:pPr>
      <w:rPr>
        <w:rFonts w:cs="Times New Roman"/>
      </w:rPr>
    </w:lvl>
    <w:lvl w:ilvl="4" w:tplc="04090003" w:tentative="1">
      <w:start w:val="1"/>
      <w:numFmt w:val="lowerLetter"/>
      <w:lvlText w:val="%5."/>
      <w:lvlJc w:val="left"/>
      <w:pPr>
        <w:ind w:left="3487" w:hanging="360"/>
      </w:pPr>
      <w:rPr>
        <w:rFonts w:cs="Times New Roman"/>
      </w:rPr>
    </w:lvl>
    <w:lvl w:ilvl="5" w:tplc="04090005" w:tentative="1">
      <w:start w:val="1"/>
      <w:numFmt w:val="lowerRoman"/>
      <w:lvlText w:val="%6."/>
      <w:lvlJc w:val="right"/>
      <w:pPr>
        <w:ind w:left="4207" w:hanging="180"/>
      </w:pPr>
      <w:rPr>
        <w:rFonts w:cs="Times New Roman"/>
      </w:rPr>
    </w:lvl>
    <w:lvl w:ilvl="6" w:tplc="04090001" w:tentative="1">
      <w:start w:val="1"/>
      <w:numFmt w:val="decimal"/>
      <w:lvlText w:val="%7."/>
      <w:lvlJc w:val="left"/>
      <w:pPr>
        <w:ind w:left="4927" w:hanging="360"/>
      </w:pPr>
      <w:rPr>
        <w:rFonts w:cs="Times New Roman"/>
      </w:rPr>
    </w:lvl>
    <w:lvl w:ilvl="7" w:tplc="04090003" w:tentative="1">
      <w:start w:val="1"/>
      <w:numFmt w:val="lowerLetter"/>
      <w:lvlText w:val="%8."/>
      <w:lvlJc w:val="left"/>
      <w:pPr>
        <w:ind w:left="5647" w:hanging="360"/>
      </w:pPr>
      <w:rPr>
        <w:rFonts w:cs="Times New Roman"/>
      </w:rPr>
    </w:lvl>
    <w:lvl w:ilvl="8" w:tplc="04090005" w:tentative="1">
      <w:start w:val="1"/>
      <w:numFmt w:val="lowerRoman"/>
      <w:lvlText w:val="%9."/>
      <w:lvlJc w:val="right"/>
      <w:pPr>
        <w:ind w:left="6367" w:hanging="180"/>
      </w:pPr>
      <w:rPr>
        <w:rFonts w:cs="Times New Roman"/>
      </w:rPr>
    </w:lvl>
  </w:abstractNum>
  <w:abstractNum w:abstractNumId="31">
    <w:nsid w:val="58655EC9"/>
    <w:multiLevelType w:val="hybridMultilevel"/>
    <w:tmpl w:val="1B5AB3E8"/>
    <w:lvl w:ilvl="0" w:tplc="0E16CD10">
      <w:start w:val="1"/>
      <w:numFmt w:val="bullet"/>
      <w:lvlText w:val=""/>
      <w:lvlJc w:val="left"/>
      <w:pPr>
        <w:ind w:left="720" w:hanging="360"/>
      </w:pPr>
      <w:rPr>
        <w:rFonts w:ascii="Wingdings" w:hAnsi="Wing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9990AD2"/>
    <w:multiLevelType w:val="hybridMultilevel"/>
    <w:tmpl w:val="5BFA1836"/>
    <w:lvl w:ilvl="0" w:tplc="04090009">
      <w:start w:val="1"/>
      <w:numFmt w:val="bullet"/>
      <w:lvlText w:val=""/>
      <w:lvlJc w:val="left"/>
      <w:pPr>
        <w:ind w:left="630" w:hanging="360"/>
      </w:pPr>
      <w:rPr>
        <w:rFonts w:ascii="Wingdings" w:hAnsi="Wingdings" w:hint="default"/>
        <w:sz w:val="24"/>
        <w:vertAlign w:val="baseline"/>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24C5517"/>
    <w:multiLevelType w:val="hybridMultilevel"/>
    <w:tmpl w:val="13863A30"/>
    <w:lvl w:ilvl="0" w:tplc="0DCC8AAE">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026A0"/>
    <w:multiLevelType w:val="hybridMultilevel"/>
    <w:tmpl w:val="285CC1A8"/>
    <w:lvl w:ilvl="0" w:tplc="04090009">
      <w:start w:val="1"/>
      <w:numFmt w:val="lowerRoman"/>
      <w:lvlText w:val="(%1)"/>
      <w:lvlJc w:val="left"/>
      <w:pPr>
        <w:ind w:left="810" w:hanging="720"/>
      </w:pPr>
      <w:rPr>
        <w:rFonts w:cs="Times New Roman" w:hint="default"/>
      </w:rPr>
    </w:lvl>
    <w:lvl w:ilvl="1" w:tplc="0CF434B8" w:tentative="1">
      <w:start w:val="1"/>
      <w:numFmt w:val="lowerLetter"/>
      <w:lvlText w:val="%2."/>
      <w:lvlJc w:val="left"/>
      <w:pPr>
        <w:ind w:left="1170" w:hanging="360"/>
      </w:pPr>
      <w:rPr>
        <w:rFonts w:cs="Times New Roman"/>
      </w:rPr>
    </w:lvl>
    <w:lvl w:ilvl="2" w:tplc="04090005" w:tentative="1">
      <w:start w:val="1"/>
      <w:numFmt w:val="lowerRoman"/>
      <w:lvlText w:val="%3."/>
      <w:lvlJc w:val="right"/>
      <w:pPr>
        <w:ind w:left="1890" w:hanging="180"/>
      </w:pPr>
      <w:rPr>
        <w:rFonts w:cs="Times New Roman"/>
      </w:rPr>
    </w:lvl>
    <w:lvl w:ilvl="3" w:tplc="04090001" w:tentative="1">
      <w:start w:val="1"/>
      <w:numFmt w:val="decimal"/>
      <w:lvlText w:val="%4."/>
      <w:lvlJc w:val="left"/>
      <w:pPr>
        <w:ind w:left="2610" w:hanging="360"/>
      </w:pPr>
      <w:rPr>
        <w:rFonts w:cs="Times New Roman"/>
      </w:rPr>
    </w:lvl>
    <w:lvl w:ilvl="4" w:tplc="04090003" w:tentative="1">
      <w:start w:val="1"/>
      <w:numFmt w:val="lowerLetter"/>
      <w:lvlText w:val="%5."/>
      <w:lvlJc w:val="left"/>
      <w:pPr>
        <w:ind w:left="3330" w:hanging="360"/>
      </w:pPr>
      <w:rPr>
        <w:rFonts w:cs="Times New Roman"/>
      </w:rPr>
    </w:lvl>
    <w:lvl w:ilvl="5" w:tplc="04090005" w:tentative="1">
      <w:start w:val="1"/>
      <w:numFmt w:val="lowerRoman"/>
      <w:lvlText w:val="%6."/>
      <w:lvlJc w:val="right"/>
      <w:pPr>
        <w:ind w:left="4050" w:hanging="180"/>
      </w:pPr>
      <w:rPr>
        <w:rFonts w:cs="Times New Roman"/>
      </w:rPr>
    </w:lvl>
    <w:lvl w:ilvl="6" w:tplc="04090001" w:tentative="1">
      <w:start w:val="1"/>
      <w:numFmt w:val="decimal"/>
      <w:lvlText w:val="%7."/>
      <w:lvlJc w:val="left"/>
      <w:pPr>
        <w:ind w:left="4770" w:hanging="360"/>
      </w:pPr>
      <w:rPr>
        <w:rFonts w:cs="Times New Roman"/>
      </w:rPr>
    </w:lvl>
    <w:lvl w:ilvl="7" w:tplc="04090003" w:tentative="1">
      <w:start w:val="1"/>
      <w:numFmt w:val="lowerLetter"/>
      <w:lvlText w:val="%8."/>
      <w:lvlJc w:val="left"/>
      <w:pPr>
        <w:ind w:left="5490" w:hanging="360"/>
      </w:pPr>
      <w:rPr>
        <w:rFonts w:cs="Times New Roman"/>
      </w:rPr>
    </w:lvl>
    <w:lvl w:ilvl="8" w:tplc="04090005" w:tentative="1">
      <w:start w:val="1"/>
      <w:numFmt w:val="lowerRoman"/>
      <w:lvlText w:val="%9."/>
      <w:lvlJc w:val="right"/>
      <w:pPr>
        <w:ind w:left="6210" w:hanging="180"/>
      </w:pPr>
      <w:rPr>
        <w:rFonts w:cs="Times New Roman"/>
      </w:rPr>
    </w:lvl>
  </w:abstractNum>
  <w:abstractNum w:abstractNumId="35">
    <w:nsid w:val="646E218B"/>
    <w:multiLevelType w:val="hybridMultilevel"/>
    <w:tmpl w:val="10BC56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A37D98"/>
    <w:multiLevelType w:val="hybridMultilevel"/>
    <w:tmpl w:val="EDC4F7D6"/>
    <w:lvl w:ilvl="0" w:tplc="296A162E">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nsid w:val="67087B3C"/>
    <w:multiLevelType w:val="hybridMultilevel"/>
    <w:tmpl w:val="303A67F4"/>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E383E"/>
    <w:multiLevelType w:val="hybridMultilevel"/>
    <w:tmpl w:val="D362047E"/>
    <w:lvl w:ilvl="0" w:tplc="580E78B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C135D5"/>
    <w:multiLevelType w:val="hybridMultilevel"/>
    <w:tmpl w:val="0546B956"/>
    <w:lvl w:ilvl="0" w:tplc="D0922322">
      <w:start w:val="1"/>
      <w:numFmt w:val="decimal"/>
      <w:lvlText w:val="(%1)"/>
      <w:lvlJc w:val="left"/>
      <w:pPr>
        <w:ind w:left="1800" w:hanging="360"/>
      </w:pPr>
      <w:rPr>
        <w:rFonts w:cs="Arial"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40">
    <w:nsid w:val="6C275A99"/>
    <w:multiLevelType w:val="hybridMultilevel"/>
    <w:tmpl w:val="B1C0AE74"/>
    <w:lvl w:ilvl="0" w:tplc="C006300E">
      <w:start w:val="1"/>
      <w:numFmt w:val="bullet"/>
      <w:lvlText w:val=""/>
      <w:lvlJc w:val="left"/>
      <w:pPr>
        <w:ind w:left="720" w:hanging="360"/>
      </w:pPr>
      <w:rPr>
        <w:rFonts w:ascii="Wingdings" w:hAnsi="Wingdings" w:hint="default"/>
        <w:color w:val="auto"/>
        <w:sz w:val="24"/>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741809AD"/>
    <w:multiLevelType w:val="hybridMultilevel"/>
    <w:tmpl w:val="BDC497D6"/>
    <w:lvl w:ilvl="0" w:tplc="04090005">
      <w:start w:val="1"/>
      <w:numFmt w:val="bullet"/>
      <w:lvlText w:val=""/>
      <w:lvlJc w:val="left"/>
      <w:pPr>
        <w:tabs>
          <w:tab w:val="num" w:pos="720"/>
        </w:tabs>
        <w:ind w:left="720" w:hanging="360"/>
      </w:pPr>
      <w:rPr>
        <w:rFonts w:ascii="Wingdings" w:hAnsi="Wingdings" w:hint="default"/>
        <w:color w:val="auto"/>
        <w:sz w:val="24"/>
        <w:vertAlign w:val="baseline"/>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75866B56"/>
    <w:multiLevelType w:val="hybridMultilevel"/>
    <w:tmpl w:val="1E3C67AA"/>
    <w:lvl w:ilvl="0" w:tplc="580E78B0">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BD07E1"/>
    <w:multiLevelType w:val="hybridMultilevel"/>
    <w:tmpl w:val="CBD65F36"/>
    <w:lvl w:ilvl="0" w:tplc="580E78B0">
      <w:start w:val="1"/>
      <w:numFmt w:val="bullet"/>
      <w:lvlText w:val=""/>
      <w:lvlJc w:val="left"/>
      <w:pPr>
        <w:ind w:left="1350" w:hanging="360"/>
      </w:pPr>
      <w:rPr>
        <w:rFonts w:ascii="Wingdings" w:hAnsi="Wingdings" w:hint="default"/>
        <w:color w:val="auto"/>
        <w:sz w:val="24"/>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B5A6E24"/>
    <w:multiLevelType w:val="hybridMultilevel"/>
    <w:tmpl w:val="07C0B24A"/>
    <w:lvl w:ilvl="0" w:tplc="04090005">
      <w:start w:val="1"/>
      <w:numFmt w:val="lowerRoman"/>
      <w:lvlText w:val="(%1)"/>
      <w:lvlJc w:val="left"/>
      <w:pPr>
        <w:ind w:left="6300" w:hanging="720"/>
      </w:pPr>
      <w:rPr>
        <w:rFonts w:cs="Times New Roman" w:hint="default"/>
        <w:color w:val="auto"/>
      </w:rPr>
    </w:lvl>
    <w:lvl w:ilvl="1" w:tplc="04090003" w:tentative="1">
      <w:start w:val="1"/>
      <w:numFmt w:val="lowerLetter"/>
      <w:lvlText w:val="%2."/>
      <w:lvlJc w:val="left"/>
      <w:pPr>
        <w:ind w:left="6660" w:hanging="360"/>
      </w:pPr>
      <w:rPr>
        <w:rFonts w:cs="Times New Roman"/>
      </w:rPr>
    </w:lvl>
    <w:lvl w:ilvl="2" w:tplc="04090005" w:tentative="1">
      <w:start w:val="1"/>
      <w:numFmt w:val="lowerRoman"/>
      <w:lvlText w:val="%3."/>
      <w:lvlJc w:val="right"/>
      <w:pPr>
        <w:ind w:left="7380" w:hanging="180"/>
      </w:pPr>
      <w:rPr>
        <w:rFonts w:cs="Times New Roman"/>
      </w:rPr>
    </w:lvl>
    <w:lvl w:ilvl="3" w:tplc="04090001" w:tentative="1">
      <w:start w:val="1"/>
      <w:numFmt w:val="decimal"/>
      <w:lvlText w:val="%4."/>
      <w:lvlJc w:val="left"/>
      <w:pPr>
        <w:ind w:left="8100" w:hanging="360"/>
      </w:pPr>
      <w:rPr>
        <w:rFonts w:cs="Times New Roman"/>
      </w:rPr>
    </w:lvl>
    <w:lvl w:ilvl="4" w:tplc="04090003" w:tentative="1">
      <w:start w:val="1"/>
      <w:numFmt w:val="lowerLetter"/>
      <w:lvlText w:val="%5."/>
      <w:lvlJc w:val="left"/>
      <w:pPr>
        <w:ind w:left="8820" w:hanging="360"/>
      </w:pPr>
      <w:rPr>
        <w:rFonts w:cs="Times New Roman"/>
      </w:rPr>
    </w:lvl>
    <w:lvl w:ilvl="5" w:tplc="04090005" w:tentative="1">
      <w:start w:val="1"/>
      <w:numFmt w:val="lowerRoman"/>
      <w:lvlText w:val="%6."/>
      <w:lvlJc w:val="right"/>
      <w:pPr>
        <w:ind w:left="9540" w:hanging="180"/>
      </w:pPr>
      <w:rPr>
        <w:rFonts w:cs="Times New Roman"/>
      </w:rPr>
    </w:lvl>
    <w:lvl w:ilvl="6" w:tplc="04090001" w:tentative="1">
      <w:start w:val="1"/>
      <w:numFmt w:val="decimal"/>
      <w:lvlText w:val="%7."/>
      <w:lvlJc w:val="left"/>
      <w:pPr>
        <w:ind w:left="10260" w:hanging="360"/>
      </w:pPr>
      <w:rPr>
        <w:rFonts w:cs="Times New Roman"/>
      </w:rPr>
    </w:lvl>
    <w:lvl w:ilvl="7" w:tplc="04090003" w:tentative="1">
      <w:start w:val="1"/>
      <w:numFmt w:val="lowerLetter"/>
      <w:lvlText w:val="%8."/>
      <w:lvlJc w:val="left"/>
      <w:pPr>
        <w:ind w:left="10980" w:hanging="360"/>
      </w:pPr>
      <w:rPr>
        <w:rFonts w:cs="Times New Roman"/>
      </w:rPr>
    </w:lvl>
    <w:lvl w:ilvl="8" w:tplc="04090005" w:tentative="1">
      <w:start w:val="1"/>
      <w:numFmt w:val="lowerRoman"/>
      <w:lvlText w:val="%9."/>
      <w:lvlJc w:val="right"/>
      <w:pPr>
        <w:ind w:left="11700" w:hanging="180"/>
      </w:pPr>
      <w:rPr>
        <w:rFonts w:cs="Times New Roman"/>
      </w:rPr>
    </w:lvl>
  </w:abstractNum>
  <w:abstractNum w:abstractNumId="45">
    <w:nsid w:val="7C9C4FBA"/>
    <w:multiLevelType w:val="hybridMultilevel"/>
    <w:tmpl w:val="D4C666DA"/>
    <w:lvl w:ilvl="0" w:tplc="5E68485E">
      <w:start w:val="1"/>
      <w:numFmt w:val="bullet"/>
      <w:lvlText w:val=""/>
      <w:lvlJc w:val="left"/>
      <w:pPr>
        <w:ind w:left="720" w:hanging="360"/>
      </w:pPr>
      <w:rPr>
        <w:rFonts w:ascii="Wingdings" w:hAnsi="Wing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E4147C4"/>
    <w:multiLevelType w:val="hybridMultilevel"/>
    <w:tmpl w:val="CA2EFAF0"/>
    <w:lvl w:ilvl="0" w:tplc="04090009">
      <w:start w:val="1"/>
      <w:numFmt w:val="bullet"/>
      <w:lvlText w:val=""/>
      <w:lvlJc w:val="left"/>
      <w:pPr>
        <w:ind w:left="360" w:hanging="360"/>
      </w:pPr>
      <w:rPr>
        <w:rFonts w:ascii="Wingdings" w:hAnsi="Wingdings" w:hint="default"/>
        <w:color w:val="auto"/>
        <w:sz w:val="24"/>
      </w:rPr>
    </w:lvl>
    <w:lvl w:ilvl="1" w:tplc="04090003">
      <w:start w:val="1"/>
      <w:numFmt w:val="decimal"/>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8"/>
  </w:num>
  <w:num w:numId="4">
    <w:abstractNumId w:val="41"/>
  </w:num>
  <w:num w:numId="5">
    <w:abstractNumId w:val="32"/>
  </w:num>
  <w:num w:numId="6">
    <w:abstractNumId w:val="22"/>
  </w:num>
  <w:num w:numId="7">
    <w:abstractNumId w:val="37"/>
  </w:num>
  <w:num w:numId="8">
    <w:abstractNumId w:val="44"/>
  </w:num>
  <w:num w:numId="9">
    <w:abstractNumId w:val="46"/>
  </w:num>
  <w:num w:numId="10">
    <w:abstractNumId w:val="15"/>
  </w:num>
  <w:num w:numId="11">
    <w:abstractNumId w:val="29"/>
  </w:num>
  <w:num w:numId="12">
    <w:abstractNumId w:val="7"/>
  </w:num>
  <w:num w:numId="13">
    <w:abstractNumId w:val="19"/>
  </w:num>
  <w:num w:numId="14">
    <w:abstractNumId w:val="25"/>
  </w:num>
  <w:num w:numId="15">
    <w:abstractNumId w:val="45"/>
  </w:num>
  <w:num w:numId="16">
    <w:abstractNumId w:val="34"/>
  </w:num>
  <w:num w:numId="17">
    <w:abstractNumId w:val="31"/>
  </w:num>
  <w:num w:numId="18">
    <w:abstractNumId w:val="21"/>
  </w:num>
  <w:num w:numId="19">
    <w:abstractNumId w:val="33"/>
  </w:num>
  <w:num w:numId="20">
    <w:abstractNumId w:val="12"/>
  </w:num>
  <w:num w:numId="21">
    <w:abstractNumId w:val="3"/>
  </w:num>
  <w:num w:numId="22">
    <w:abstractNumId w:val="26"/>
  </w:num>
  <w:num w:numId="23">
    <w:abstractNumId w:val="1"/>
  </w:num>
  <w:num w:numId="24">
    <w:abstractNumId w:val="14"/>
  </w:num>
  <w:num w:numId="25">
    <w:abstractNumId w:val="11"/>
  </w:num>
  <w:num w:numId="26">
    <w:abstractNumId w:val="4"/>
  </w:num>
  <w:num w:numId="27">
    <w:abstractNumId w:val="2"/>
  </w:num>
  <w:num w:numId="28">
    <w:abstractNumId w:val="6"/>
  </w:num>
  <w:num w:numId="29">
    <w:abstractNumId w:val="30"/>
  </w:num>
  <w:num w:numId="30">
    <w:abstractNumId w:val="24"/>
  </w:num>
  <w:num w:numId="31">
    <w:abstractNumId w:val="36"/>
  </w:num>
  <w:num w:numId="32">
    <w:abstractNumId w:val="28"/>
  </w:num>
  <w:num w:numId="33">
    <w:abstractNumId w:val="27"/>
  </w:num>
  <w:num w:numId="34">
    <w:abstractNumId w:val="17"/>
  </w:num>
  <w:num w:numId="35">
    <w:abstractNumId w:val="40"/>
  </w:num>
  <w:num w:numId="36">
    <w:abstractNumId w:val="8"/>
  </w:num>
  <w:num w:numId="37">
    <w:abstractNumId w:val="0"/>
  </w:num>
  <w:num w:numId="38">
    <w:abstractNumId w:val="39"/>
  </w:num>
  <w:num w:numId="39">
    <w:abstractNumId w:val="35"/>
  </w:num>
  <w:num w:numId="40">
    <w:abstractNumId w:val="20"/>
  </w:num>
  <w:num w:numId="41">
    <w:abstractNumId w:val="13"/>
  </w:num>
  <w:num w:numId="42">
    <w:abstractNumId w:val="16"/>
  </w:num>
  <w:num w:numId="43">
    <w:abstractNumId w:val="10"/>
  </w:num>
  <w:num w:numId="44">
    <w:abstractNumId w:val="5"/>
  </w:num>
  <w:num w:numId="45">
    <w:abstractNumId w:val="43"/>
  </w:num>
  <w:num w:numId="46">
    <w:abstractNumId w:val="42"/>
  </w:num>
  <w:num w:numId="47">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5F9"/>
    <w:rsid w:val="0000069B"/>
    <w:rsid w:val="00000A4F"/>
    <w:rsid w:val="00000F91"/>
    <w:rsid w:val="00001B0B"/>
    <w:rsid w:val="00001F51"/>
    <w:rsid w:val="000024AB"/>
    <w:rsid w:val="00002599"/>
    <w:rsid w:val="00002AB5"/>
    <w:rsid w:val="00002D28"/>
    <w:rsid w:val="0000359A"/>
    <w:rsid w:val="00003971"/>
    <w:rsid w:val="00003F7E"/>
    <w:rsid w:val="000047C9"/>
    <w:rsid w:val="00004FBE"/>
    <w:rsid w:val="000053C4"/>
    <w:rsid w:val="00005B19"/>
    <w:rsid w:val="000071A8"/>
    <w:rsid w:val="00007E2D"/>
    <w:rsid w:val="000101DF"/>
    <w:rsid w:val="0001026D"/>
    <w:rsid w:val="00010761"/>
    <w:rsid w:val="00010A34"/>
    <w:rsid w:val="00010A90"/>
    <w:rsid w:val="00011022"/>
    <w:rsid w:val="000111C4"/>
    <w:rsid w:val="00011F55"/>
    <w:rsid w:val="00012220"/>
    <w:rsid w:val="00012366"/>
    <w:rsid w:val="000123D4"/>
    <w:rsid w:val="000128EB"/>
    <w:rsid w:val="00014D98"/>
    <w:rsid w:val="00014D9A"/>
    <w:rsid w:val="0001555A"/>
    <w:rsid w:val="00015871"/>
    <w:rsid w:val="0001670C"/>
    <w:rsid w:val="000168FF"/>
    <w:rsid w:val="00016AE6"/>
    <w:rsid w:val="00016AF1"/>
    <w:rsid w:val="00021343"/>
    <w:rsid w:val="00021429"/>
    <w:rsid w:val="000223AB"/>
    <w:rsid w:val="000224A2"/>
    <w:rsid w:val="0002270D"/>
    <w:rsid w:val="00022F32"/>
    <w:rsid w:val="000233B2"/>
    <w:rsid w:val="00023B50"/>
    <w:rsid w:val="00023CAC"/>
    <w:rsid w:val="00023F75"/>
    <w:rsid w:val="0002458B"/>
    <w:rsid w:val="00024EA0"/>
    <w:rsid w:val="0002675B"/>
    <w:rsid w:val="0003044E"/>
    <w:rsid w:val="00030C26"/>
    <w:rsid w:val="00030FC9"/>
    <w:rsid w:val="00031645"/>
    <w:rsid w:val="0003178E"/>
    <w:rsid w:val="00031A80"/>
    <w:rsid w:val="00031D2E"/>
    <w:rsid w:val="00031E3B"/>
    <w:rsid w:val="000341ED"/>
    <w:rsid w:val="000352EE"/>
    <w:rsid w:val="00035CC6"/>
    <w:rsid w:val="00035F5C"/>
    <w:rsid w:val="0003705B"/>
    <w:rsid w:val="00037C74"/>
    <w:rsid w:val="000404A1"/>
    <w:rsid w:val="00040B70"/>
    <w:rsid w:val="000416F5"/>
    <w:rsid w:val="000418AC"/>
    <w:rsid w:val="00041F1B"/>
    <w:rsid w:val="00041FB2"/>
    <w:rsid w:val="0004317F"/>
    <w:rsid w:val="00044E41"/>
    <w:rsid w:val="00044F26"/>
    <w:rsid w:val="0004538F"/>
    <w:rsid w:val="00045458"/>
    <w:rsid w:val="000454E4"/>
    <w:rsid w:val="00045EA2"/>
    <w:rsid w:val="00050B53"/>
    <w:rsid w:val="00050BF5"/>
    <w:rsid w:val="00051068"/>
    <w:rsid w:val="00052501"/>
    <w:rsid w:val="00053597"/>
    <w:rsid w:val="00053777"/>
    <w:rsid w:val="000540DE"/>
    <w:rsid w:val="00055322"/>
    <w:rsid w:val="000568E1"/>
    <w:rsid w:val="00057182"/>
    <w:rsid w:val="0005761C"/>
    <w:rsid w:val="000577DE"/>
    <w:rsid w:val="00060266"/>
    <w:rsid w:val="00060B27"/>
    <w:rsid w:val="00060EF7"/>
    <w:rsid w:val="00062C4B"/>
    <w:rsid w:val="00062CB9"/>
    <w:rsid w:val="00063139"/>
    <w:rsid w:val="0006342B"/>
    <w:rsid w:val="0006402E"/>
    <w:rsid w:val="00064D13"/>
    <w:rsid w:val="0006500B"/>
    <w:rsid w:val="00065FD1"/>
    <w:rsid w:val="000664B0"/>
    <w:rsid w:val="00066636"/>
    <w:rsid w:val="00070C49"/>
    <w:rsid w:val="00071B4C"/>
    <w:rsid w:val="00071EF2"/>
    <w:rsid w:val="00073444"/>
    <w:rsid w:val="000739CA"/>
    <w:rsid w:val="00074974"/>
    <w:rsid w:val="00074BD7"/>
    <w:rsid w:val="00075FF0"/>
    <w:rsid w:val="00076A23"/>
    <w:rsid w:val="00076D12"/>
    <w:rsid w:val="00077145"/>
    <w:rsid w:val="000773DF"/>
    <w:rsid w:val="000774FD"/>
    <w:rsid w:val="00077C3F"/>
    <w:rsid w:val="00077DBD"/>
    <w:rsid w:val="00080BFE"/>
    <w:rsid w:val="0008102A"/>
    <w:rsid w:val="000811FE"/>
    <w:rsid w:val="000819E9"/>
    <w:rsid w:val="00081FA8"/>
    <w:rsid w:val="000827B6"/>
    <w:rsid w:val="0008326D"/>
    <w:rsid w:val="00083702"/>
    <w:rsid w:val="00084235"/>
    <w:rsid w:val="000844A3"/>
    <w:rsid w:val="00084B31"/>
    <w:rsid w:val="00085F1F"/>
    <w:rsid w:val="00086794"/>
    <w:rsid w:val="0008685C"/>
    <w:rsid w:val="0008750F"/>
    <w:rsid w:val="00087579"/>
    <w:rsid w:val="00090058"/>
    <w:rsid w:val="000902BF"/>
    <w:rsid w:val="00090444"/>
    <w:rsid w:val="00090FC7"/>
    <w:rsid w:val="00091033"/>
    <w:rsid w:val="0009195B"/>
    <w:rsid w:val="00091ABF"/>
    <w:rsid w:val="00091CF6"/>
    <w:rsid w:val="0009241C"/>
    <w:rsid w:val="0009274C"/>
    <w:rsid w:val="00092A06"/>
    <w:rsid w:val="00092B87"/>
    <w:rsid w:val="00093F42"/>
    <w:rsid w:val="00094058"/>
    <w:rsid w:val="00094C46"/>
    <w:rsid w:val="00094F5C"/>
    <w:rsid w:val="000951DB"/>
    <w:rsid w:val="000962B3"/>
    <w:rsid w:val="00096403"/>
    <w:rsid w:val="0009689C"/>
    <w:rsid w:val="00097447"/>
    <w:rsid w:val="000974EA"/>
    <w:rsid w:val="00097F86"/>
    <w:rsid w:val="000A1ACA"/>
    <w:rsid w:val="000A2B3C"/>
    <w:rsid w:val="000A389F"/>
    <w:rsid w:val="000A3F6F"/>
    <w:rsid w:val="000A3F8D"/>
    <w:rsid w:val="000A4736"/>
    <w:rsid w:val="000A47AA"/>
    <w:rsid w:val="000A5B77"/>
    <w:rsid w:val="000A5C3C"/>
    <w:rsid w:val="000A7F23"/>
    <w:rsid w:val="000B116B"/>
    <w:rsid w:val="000B187D"/>
    <w:rsid w:val="000B2671"/>
    <w:rsid w:val="000B2D5A"/>
    <w:rsid w:val="000B3025"/>
    <w:rsid w:val="000B3315"/>
    <w:rsid w:val="000B347D"/>
    <w:rsid w:val="000B3AE0"/>
    <w:rsid w:val="000B3BAA"/>
    <w:rsid w:val="000B4AF8"/>
    <w:rsid w:val="000B4C7E"/>
    <w:rsid w:val="000B4FD4"/>
    <w:rsid w:val="000B55BE"/>
    <w:rsid w:val="000B5768"/>
    <w:rsid w:val="000B6EB8"/>
    <w:rsid w:val="000C0181"/>
    <w:rsid w:val="000C0925"/>
    <w:rsid w:val="000C1045"/>
    <w:rsid w:val="000C1334"/>
    <w:rsid w:val="000C13D2"/>
    <w:rsid w:val="000C2208"/>
    <w:rsid w:val="000C2C46"/>
    <w:rsid w:val="000C374C"/>
    <w:rsid w:val="000C3794"/>
    <w:rsid w:val="000C3857"/>
    <w:rsid w:val="000C4508"/>
    <w:rsid w:val="000C4599"/>
    <w:rsid w:val="000C49BA"/>
    <w:rsid w:val="000C4F66"/>
    <w:rsid w:val="000C5844"/>
    <w:rsid w:val="000C6345"/>
    <w:rsid w:val="000C684A"/>
    <w:rsid w:val="000C6A65"/>
    <w:rsid w:val="000C7525"/>
    <w:rsid w:val="000C7A1D"/>
    <w:rsid w:val="000D025A"/>
    <w:rsid w:val="000D066C"/>
    <w:rsid w:val="000D069E"/>
    <w:rsid w:val="000D0876"/>
    <w:rsid w:val="000D0956"/>
    <w:rsid w:val="000D0B95"/>
    <w:rsid w:val="000D132E"/>
    <w:rsid w:val="000D249E"/>
    <w:rsid w:val="000D262C"/>
    <w:rsid w:val="000D2E89"/>
    <w:rsid w:val="000D35B6"/>
    <w:rsid w:val="000D3AB9"/>
    <w:rsid w:val="000D3E1B"/>
    <w:rsid w:val="000D4103"/>
    <w:rsid w:val="000D431C"/>
    <w:rsid w:val="000D4FB7"/>
    <w:rsid w:val="000D5CE0"/>
    <w:rsid w:val="000D62E8"/>
    <w:rsid w:val="000D66FC"/>
    <w:rsid w:val="000D6C90"/>
    <w:rsid w:val="000D7820"/>
    <w:rsid w:val="000E157E"/>
    <w:rsid w:val="000E1680"/>
    <w:rsid w:val="000E1A5A"/>
    <w:rsid w:val="000E2227"/>
    <w:rsid w:val="000E2482"/>
    <w:rsid w:val="000E25D8"/>
    <w:rsid w:val="000E3D36"/>
    <w:rsid w:val="000E4B30"/>
    <w:rsid w:val="000E4B8E"/>
    <w:rsid w:val="000E4F0D"/>
    <w:rsid w:val="000E6674"/>
    <w:rsid w:val="000E717D"/>
    <w:rsid w:val="000E727E"/>
    <w:rsid w:val="000E790B"/>
    <w:rsid w:val="000E7B77"/>
    <w:rsid w:val="000E7CA2"/>
    <w:rsid w:val="000F2259"/>
    <w:rsid w:val="000F22B6"/>
    <w:rsid w:val="000F29C8"/>
    <w:rsid w:val="000F3549"/>
    <w:rsid w:val="000F4129"/>
    <w:rsid w:val="000F4A3D"/>
    <w:rsid w:val="000F5CFD"/>
    <w:rsid w:val="000F675D"/>
    <w:rsid w:val="000F79A2"/>
    <w:rsid w:val="000F7CBE"/>
    <w:rsid w:val="0010005C"/>
    <w:rsid w:val="001002C5"/>
    <w:rsid w:val="0010037E"/>
    <w:rsid w:val="00100623"/>
    <w:rsid w:val="00100830"/>
    <w:rsid w:val="00100D8C"/>
    <w:rsid w:val="00101211"/>
    <w:rsid w:val="00101EBD"/>
    <w:rsid w:val="001020A9"/>
    <w:rsid w:val="001023BB"/>
    <w:rsid w:val="001026C4"/>
    <w:rsid w:val="00102E13"/>
    <w:rsid w:val="001045D6"/>
    <w:rsid w:val="0010526C"/>
    <w:rsid w:val="00105459"/>
    <w:rsid w:val="00106C74"/>
    <w:rsid w:val="00106D77"/>
    <w:rsid w:val="00106FCC"/>
    <w:rsid w:val="00107429"/>
    <w:rsid w:val="00107C95"/>
    <w:rsid w:val="00107CB5"/>
    <w:rsid w:val="001109FB"/>
    <w:rsid w:val="00110B0B"/>
    <w:rsid w:val="00110E08"/>
    <w:rsid w:val="00110F33"/>
    <w:rsid w:val="00111365"/>
    <w:rsid w:val="0011246A"/>
    <w:rsid w:val="00113AB1"/>
    <w:rsid w:val="00113E54"/>
    <w:rsid w:val="001149E2"/>
    <w:rsid w:val="001152DB"/>
    <w:rsid w:val="00116543"/>
    <w:rsid w:val="00116A34"/>
    <w:rsid w:val="00116D1F"/>
    <w:rsid w:val="00116E0F"/>
    <w:rsid w:val="00120450"/>
    <w:rsid w:val="0012119C"/>
    <w:rsid w:val="001216E8"/>
    <w:rsid w:val="00122838"/>
    <w:rsid w:val="00123181"/>
    <w:rsid w:val="00123573"/>
    <w:rsid w:val="00123F85"/>
    <w:rsid w:val="00123F91"/>
    <w:rsid w:val="00124048"/>
    <w:rsid w:val="0012427C"/>
    <w:rsid w:val="0012476D"/>
    <w:rsid w:val="00124925"/>
    <w:rsid w:val="00125188"/>
    <w:rsid w:val="001259EE"/>
    <w:rsid w:val="00125B4B"/>
    <w:rsid w:val="001274E6"/>
    <w:rsid w:val="0013094D"/>
    <w:rsid w:val="00130B37"/>
    <w:rsid w:val="00130B51"/>
    <w:rsid w:val="00131883"/>
    <w:rsid w:val="0013228B"/>
    <w:rsid w:val="001325C6"/>
    <w:rsid w:val="001329E1"/>
    <w:rsid w:val="00133E8D"/>
    <w:rsid w:val="00134DB6"/>
    <w:rsid w:val="00134EA2"/>
    <w:rsid w:val="00134ED6"/>
    <w:rsid w:val="00135211"/>
    <w:rsid w:val="001356F1"/>
    <w:rsid w:val="00136D4C"/>
    <w:rsid w:val="00136E36"/>
    <w:rsid w:val="00136F3B"/>
    <w:rsid w:val="00137008"/>
    <w:rsid w:val="00137D9C"/>
    <w:rsid w:val="001407F3"/>
    <w:rsid w:val="001413A5"/>
    <w:rsid w:val="0014143A"/>
    <w:rsid w:val="00141C62"/>
    <w:rsid w:val="00142699"/>
    <w:rsid w:val="00142BAC"/>
    <w:rsid w:val="00142D1A"/>
    <w:rsid w:val="00142E45"/>
    <w:rsid w:val="0014358B"/>
    <w:rsid w:val="0014358E"/>
    <w:rsid w:val="00143B6E"/>
    <w:rsid w:val="00145409"/>
    <w:rsid w:val="00145AF7"/>
    <w:rsid w:val="001474B5"/>
    <w:rsid w:val="0014787A"/>
    <w:rsid w:val="00147CA3"/>
    <w:rsid w:val="00150A36"/>
    <w:rsid w:val="00150A3E"/>
    <w:rsid w:val="00150D03"/>
    <w:rsid w:val="00151F13"/>
    <w:rsid w:val="0015285C"/>
    <w:rsid w:val="00153322"/>
    <w:rsid w:val="001543C4"/>
    <w:rsid w:val="0015446C"/>
    <w:rsid w:val="001546B5"/>
    <w:rsid w:val="00155119"/>
    <w:rsid w:val="001552CE"/>
    <w:rsid w:val="00155DF5"/>
    <w:rsid w:val="00155FC9"/>
    <w:rsid w:val="00156279"/>
    <w:rsid w:val="00156534"/>
    <w:rsid w:val="001569DF"/>
    <w:rsid w:val="0015723D"/>
    <w:rsid w:val="00157CFD"/>
    <w:rsid w:val="00157DCF"/>
    <w:rsid w:val="00160511"/>
    <w:rsid w:val="001607A7"/>
    <w:rsid w:val="001608BA"/>
    <w:rsid w:val="001613A5"/>
    <w:rsid w:val="0016157C"/>
    <w:rsid w:val="00162C63"/>
    <w:rsid w:val="00165436"/>
    <w:rsid w:val="00165565"/>
    <w:rsid w:val="00165B0B"/>
    <w:rsid w:val="00166078"/>
    <w:rsid w:val="001660B2"/>
    <w:rsid w:val="00166702"/>
    <w:rsid w:val="001668A9"/>
    <w:rsid w:val="00166B09"/>
    <w:rsid w:val="00167530"/>
    <w:rsid w:val="00167908"/>
    <w:rsid w:val="00170230"/>
    <w:rsid w:val="0017097A"/>
    <w:rsid w:val="00170E11"/>
    <w:rsid w:val="00171C53"/>
    <w:rsid w:val="00172189"/>
    <w:rsid w:val="00172A14"/>
    <w:rsid w:val="00173730"/>
    <w:rsid w:val="001739F4"/>
    <w:rsid w:val="00174578"/>
    <w:rsid w:val="00174961"/>
    <w:rsid w:val="001750A4"/>
    <w:rsid w:val="00175BFA"/>
    <w:rsid w:val="001766A9"/>
    <w:rsid w:val="001768B1"/>
    <w:rsid w:val="00176B26"/>
    <w:rsid w:val="00176E39"/>
    <w:rsid w:val="00181EEE"/>
    <w:rsid w:val="0018212E"/>
    <w:rsid w:val="0018242D"/>
    <w:rsid w:val="00183F13"/>
    <w:rsid w:val="001842AD"/>
    <w:rsid w:val="00184309"/>
    <w:rsid w:val="001849D9"/>
    <w:rsid w:val="00185B22"/>
    <w:rsid w:val="00186484"/>
    <w:rsid w:val="0018688D"/>
    <w:rsid w:val="0018722B"/>
    <w:rsid w:val="001879BD"/>
    <w:rsid w:val="0019076B"/>
    <w:rsid w:val="00190B5A"/>
    <w:rsid w:val="0019190D"/>
    <w:rsid w:val="00191B7F"/>
    <w:rsid w:val="00192075"/>
    <w:rsid w:val="001922FE"/>
    <w:rsid w:val="001925EB"/>
    <w:rsid w:val="00192DC6"/>
    <w:rsid w:val="00193DA3"/>
    <w:rsid w:val="00193DD8"/>
    <w:rsid w:val="00194A19"/>
    <w:rsid w:val="00194FFA"/>
    <w:rsid w:val="00195011"/>
    <w:rsid w:val="0019522C"/>
    <w:rsid w:val="0019680A"/>
    <w:rsid w:val="00197C6E"/>
    <w:rsid w:val="001A17FB"/>
    <w:rsid w:val="001A3928"/>
    <w:rsid w:val="001A3C1E"/>
    <w:rsid w:val="001A4004"/>
    <w:rsid w:val="001A437C"/>
    <w:rsid w:val="001A485F"/>
    <w:rsid w:val="001A5368"/>
    <w:rsid w:val="001A540C"/>
    <w:rsid w:val="001A5584"/>
    <w:rsid w:val="001A5C68"/>
    <w:rsid w:val="001A5FB5"/>
    <w:rsid w:val="001A6275"/>
    <w:rsid w:val="001A65CE"/>
    <w:rsid w:val="001A6B75"/>
    <w:rsid w:val="001A756D"/>
    <w:rsid w:val="001A79A0"/>
    <w:rsid w:val="001A7A63"/>
    <w:rsid w:val="001A7F89"/>
    <w:rsid w:val="001B059F"/>
    <w:rsid w:val="001B05E3"/>
    <w:rsid w:val="001B0F8B"/>
    <w:rsid w:val="001B108E"/>
    <w:rsid w:val="001B1B8F"/>
    <w:rsid w:val="001B1C09"/>
    <w:rsid w:val="001B23CD"/>
    <w:rsid w:val="001B2617"/>
    <w:rsid w:val="001B2877"/>
    <w:rsid w:val="001B2E60"/>
    <w:rsid w:val="001B3ACE"/>
    <w:rsid w:val="001B3CE4"/>
    <w:rsid w:val="001B3E38"/>
    <w:rsid w:val="001B476A"/>
    <w:rsid w:val="001B5089"/>
    <w:rsid w:val="001B58CF"/>
    <w:rsid w:val="001B5C1E"/>
    <w:rsid w:val="001B6153"/>
    <w:rsid w:val="001B630A"/>
    <w:rsid w:val="001B6BD1"/>
    <w:rsid w:val="001B6EC7"/>
    <w:rsid w:val="001B742A"/>
    <w:rsid w:val="001B74AB"/>
    <w:rsid w:val="001B7784"/>
    <w:rsid w:val="001C08C9"/>
    <w:rsid w:val="001C131F"/>
    <w:rsid w:val="001C1BFD"/>
    <w:rsid w:val="001C1F96"/>
    <w:rsid w:val="001C23FE"/>
    <w:rsid w:val="001C2A3F"/>
    <w:rsid w:val="001C2A4E"/>
    <w:rsid w:val="001C2D51"/>
    <w:rsid w:val="001C3106"/>
    <w:rsid w:val="001C36CA"/>
    <w:rsid w:val="001C3AC9"/>
    <w:rsid w:val="001C4120"/>
    <w:rsid w:val="001C42B5"/>
    <w:rsid w:val="001C45CD"/>
    <w:rsid w:val="001C4818"/>
    <w:rsid w:val="001C5254"/>
    <w:rsid w:val="001C5E14"/>
    <w:rsid w:val="001C622F"/>
    <w:rsid w:val="001C6B01"/>
    <w:rsid w:val="001C7113"/>
    <w:rsid w:val="001C7132"/>
    <w:rsid w:val="001C7990"/>
    <w:rsid w:val="001D017F"/>
    <w:rsid w:val="001D1A81"/>
    <w:rsid w:val="001D21DA"/>
    <w:rsid w:val="001D264B"/>
    <w:rsid w:val="001D2E7F"/>
    <w:rsid w:val="001D3750"/>
    <w:rsid w:val="001D3F48"/>
    <w:rsid w:val="001D4BFC"/>
    <w:rsid w:val="001D5942"/>
    <w:rsid w:val="001D6A3B"/>
    <w:rsid w:val="001D6A61"/>
    <w:rsid w:val="001D6ECC"/>
    <w:rsid w:val="001D783E"/>
    <w:rsid w:val="001D7929"/>
    <w:rsid w:val="001E0D81"/>
    <w:rsid w:val="001E1F5D"/>
    <w:rsid w:val="001E2117"/>
    <w:rsid w:val="001E24B5"/>
    <w:rsid w:val="001E2863"/>
    <w:rsid w:val="001E2E15"/>
    <w:rsid w:val="001E2EFF"/>
    <w:rsid w:val="001E2FF6"/>
    <w:rsid w:val="001E3249"/>
    <w:rsid w:val="001E3AEC"/>
    <w:rsid w:val="001E3C06"/>
    <w:rsid w:val="001E4130"/>
    <w:rsid w:val="001E4199"/>
    <w:rsid w:val="001E4362"/>
    <w:rsid w:val="001E467D"/>
    <w:rsid w:val="001E4F06"/>
    <w:rsid w:val="001E5793"/>
    <w:rsid w:val="001E5AD5"/>
    <w:rsid w:val="001E5BFD"/>
    <w:rsid w:val="001E626F"/>
    <w:rsid w:val="001E6438"/>
    <w:rsid w:val="001E686A"/>
    <w:rsid w:val="001E71EC"/>
    <w:rsid w:val="001E72AB"/>
    <w:rsid w:val="001E73FD"/>
    <w:rsid w:val="001E7B2E"/>
    <w:rsid w:val="001F0D4F"/>
    <w:rsid w:val="001F119D"/>
    <w:rsid w:val="001F134F"/>
    <w:rsid w:val="001F2384"/>
    <w:rsid w:val="001F261E"/>
    <w:rsid w:val="001F281F"/>
    <w:rsid w:val="001F2E40"/>
    <w:rsid w:val="001F2EB5"/>
    <w:rsid w:val="001F3221"/>
    <w:rsid w:val="001F333A"/>
    <w:rsid w:val="001F3C9E"/>
    <w:rsid w:val="001F3E85"/>
    <w:rsid w:val="001F44E9"/>
    <w:rsid w:val="001F4967"/>
    <w:rsid w:val="001F4F38"/>
    <w:rsid w:val="001F5A93"/>
    <w:rsid w:val="001F5BDD"/>
    <w:rsid w:val="001F60F9"/>
    <w:rsid w:val="002011FB"/>
    <w:rsid w:val="00201B19"/>
    <w:rsid w:val="002021A5"/>
    <w:rsid w:val="0020277C"/>
    <w:rsid w:val="002034D5"/>
    <w:rsid w:val="00203606"/>
    <w:rsid w:val="0020388B"/>
    <w:rsid w:val="002042C7"/>
    <w:rsid w:val="00204A68"/>
    <w:rsid w:val="00205A89"/>
    <w:rsid w:val="0020644F"/>
    <w:rsid w:val="002068ED"/>
    <w:rsid w:val="00206C69"/>
    <w:rsid w:val="00206C79"/>
    <w:rsid w:val="00207239"/>
    <w:rsid w:val="00207354"/>
    <w:rsid w:val="002075D4"/>
    <w:rsid w:val="002075F7"/>
    <w:rsid w:val="00207CFB"/>
    <w:rsid w:val="00210444"/>
    <w:rsid w:val="002104AD"/>
    <w:rsid w:val="00210C0A"/>
    <w:rsid w:val="00210F7F"/>
    <w:rsid w:val="002111D9"/>
    <w:rsid w:val="00211E75"/>
    <w:rsid w:val="002126DA"/>
    <w:rsid w:val="002127DB"/>
    <w:rsid w:val="00212956"/>
    <w:rsid w:val="0021313E"/>
    <w:rsid w:val="0021321A"/>
    <w:rsid w:val="002141AA"/>
    <w:rsid w:val="0021503D"/>
    <w:rsid w:val="00215BBF"/>
    <w:rsid w:val="0021695C"/>
    <w:rsid w:val="002179C5"/>
    <w:rsid w:val="00220060"/>
    <w:rsid w:val="0022058C"/>
    <w:rsid w:val="0022067D"/>
    <w:rsid w:val="00221977"/>
    <w:rsid w:val="002222C6"/>
    <w:rsid w:val="0022253B"/>
    <w:rsid w:val="00222811"/>
    <w:rsid w:val="00222AD3"/>
    <w:rsid w:val="002245B5"/>
    <w:rsid w:val="00224A30"/>
    <w:rsid w:val="00224CA1"/>
    <w:rsid w:val="002251FF"/>
    <w:rsid w:val="002256BC"/>
    <w:rsid w:val="002258FE"/>
    <w:rsid w:val="00225EC7"/>
    <w:rsid w:val="00226410"/>
    <w:rsid w:val="00227318"/>
    <w:rsid w:val="0023029E"/>
    <w:rsid w:val="002308BB"/>
    <w:rsid w:val="00230CE1"/>
    <w:rsid w:val="00230D44"/>
    <w:rsid w:val="002310F5"/>
    <w:rsid w:val="0023141B"/>
    <w:rsid w:val="002326E4"/>
    <w:rsid w:val="002331D4"/>
    <w:rsid w:val="0023385E"/>
    <w:rsid w:val="00234171"/>
    <w:rsid w:val="00234398"/>
    <w:rsid w:val="002345DA"/>
    <w:rsid w:val="002350CB"/>
    <w:rsid w:val="00235919"/>
    <w:rsid w:val="00235DA6"/>
    <w:rsid w:val="00236311"/>
    <w:rsid w:val="00236544"/>
    <w:rsid w:val="00236A2B"/>
    <w:rsid w:val="00236E69"/>
    <w:rsid w:val="00237A91"/>
    <w:rsid w:val="002403EA"/>
    <w:rsid w:val="00241DA7"/>
    <w:rsid w:val="0024341F"/>
    <w:rsid w:val="00244066"/>
    <w:rsid w:val="00245F1E"/>
    <w:rsid w:val="00246C9A"/>
    <w:rsid w:val="00246DA2"/>
    <w:rsid w:val="00247272"/>
    <w:rsid w:val="002476DF"/>
    <w:rsid w:val="00250326"/>
    <w:rsid w:val="00250A74"/>
    <w:rsid w:val="002514F6"/>
    <w:rsid w:val="0025247E"/>
    <w:rsid w:val="00253676"/>
    <w:rsid w:val="00253A66"/>
    <w:rsid w:val="0025606B"/>
    <w:rsid w:val="0025620B"/>
    <w:rsid w:val="00257217"/>
    <w:rsid w:val="00260B26"/>
    <w:rsid w:val="00261116"/>
    <w:rsid w:val="00261373"/>
    <w:rsid w:val="00261A00"/>
    <w:rsid w:val="00261C66"/>
    <w:rsid w:val="00261D06"/>
    <w:rsid w:val="00262902"/>
    <w:rsid w:val="00262D1D"/>
    <w:rsid w:val="00263331"/>
    <w:rsid w:val="00263B12"/>
    <w:rsid w:val="00263F2B"/>
    <w:rsid w:val="00266165"/>
    <w:rsid w:val="00266255"/>
    <w:rsid w:val="00271564"/>
    <w:rsid w:val="002716BC"/>
    <w:rsid w:val="00271C6A"/>
    <w:rsid w:val="0027229C"/>
    <w:rsid w:val="002726D9"/>
    <w:rsid w:val="0027383C"/>
    <w:rsid w:val="00273880"/>
    <w:rsid w:val="002744D9"/>
    <w:rsid w:val="00274522"/>
    <w:rsid w:val="00275B76"/>
    <w:rsid w:val="00275C02"/>
    <w:rsid w:val="00275CD1"/>
    <w:rsid w:val="002762F9"/>
    <w:rsid w:val="002765B2"/>
    <w:rsid w:val="0027763E"/>
    <w:rsid w:val="00277EF8"/>
    <w:rsid w:val="00277FCA"/>
    <w:rsid w:val="002802F9"/>
    <w:rsid w:val="002808C1"/>
    <w:rsid w:val="00280E45"/>
    <w:rsid w:val="00282547"/>
    <w:rsid w:val="00283561"/>
    <w:rsid w:val="00284215"/>
    <w:rsid w:val="00284644"/>
    <w:rsid w:val="00284658"/>
    <w:rsid w:val="002847B8"/>
    <w:rsid w:val="00285580"/>
    <w:rsid w:val="00285A1D"/>
    <w:rsid w:val="0028626C"/>
    <w:rsid w:val="0028633A"/>
    <w:rsid w:val="00286F46"/>
    <w:rsid w:val="00287016"/>
    <w:rsid w:val="002876C4"/>
    <w:rsid w:val="002878DA"/>
    <w:rsid w:val="00290152"/>
    <w:rsid w:val="002902D9"/>
    <w:rsid w:val="00290627"/>
    <w:rsid w:val="002907D9"/>
    <w:rsid w:val="002907F2"/>
    <w:rsid w:val="00290D1C"/>
    <w:rsid w:val="00291626"/>
    <w:rsid w:val="002917F6"/>
    <w:rsid w:val="0029282E"/>
    <w:rsid w:val="002933CC"/>
    <w:rsid w:val="002955F1"/>
    <w:rsid w:val="0029743B"/>
    <w:rsid w:val="002A00A2"/>
    <w:rsid w:val="002A0143"/>
    <w:rsid w:val="002A02EA"/>
    <w:rsid w:val="002A02EB"/>
    <w:rsid w:val="002A02FF"/>
    <w:rsid w:val="002A0C44"/>
    <w:rsid w:val="002A1B5D"/>
    <w:rsid w:val="002A1CD5"/>
    <w:rsid w:val="002A1D06"/>
    <w:rsid w:val="002A2184"/>
    <w:rsid w:val="002A21EB"/>
    <w:rsid w:val="002A2CD6"/>
    <w:rsid w:val="002A3B59"/>
    <w:rsid w:val="002A5280"/>
    <w:rsid w:val="002A56D1"/>
    <w:rsid w:val="002A5A36"/>
    <w:rsid w:val="002A65B4"/>
    <w:rsid w:val="002A6A70"/>
    <w:rsid w:val="002A6DAF"/>
    <w:rsid w:val="002A7567"/>
    <w:rsid w:val="002A77C5"/>
    <w:rsid w:val="002A7AFF"/>
    <w:rsid w:val="002B001D"/>
    <w:rsid w:val="002B0776"/>
    <w:rsid w:val="002B09A4"/>
    <w:rsid w:val="002B0E66"/>
    <w:rsid w:val="002B12C5"/>
    <w:rsid w:val="002B2E05"/>
    <w:rsid w:val="002B436F"/>
    <w:rsid w:val="002B4DBF"/>
    <w:rsid w:val="002B5094"/>
    <w:rsid w:val="002B562B"/>
    <w:rsid w:val="002B56D4"/>
    <w:rsid w:val="002B579F"/>
    <w:rsid w:val="002B581A"/>
    <w:rsid w:val="002B6641"/>
    <w:rsid w:val="002B74C8"/>
    <w:rsid w:val="002B7947"/>
    <w:rsid w:val="002C12A3"/>
    <w:rsid w:val="002C1970"/>
    <w:rsid w:val="002C20D1"/>
    <w:rsid w:val="002C241E"/>
    <w:rsid w:val="002C3358"/>
    <w:rsid w:val="002C35A2"/>
    <w:rsid w:val="002C45A6"/>
    <w:rsid w:val="002C48B0"/>
    <w:rsid w:val="002C5246"/>
    <w:rsid w:val="002C53BF"/>
    <w:rsid w:val="002C5878"/>
    <w:rsid w:val="002C5AD4"/>
    <w:rsid w:val="002C5D0F"/>
    <w:rsid w:val="002C6061"/>
    <w:rsid w:val="002C606B"/>
    <w:rsid w:val="002C6E53"/>
    <w:rsid w:val="002C6E7F"/>
    <w:rsid w:val="002C72BA"/>
    <w:rsid w:val="002C7706"/>
    <w:rsid w:val="002C77D7"/>
    <w:rsid w:val="002C798D"/>
    <w:rsid w:val="002C7C4C"/>
    <w:rsid w:val="002C7E25"/>
    <w:rsid w:val="002D0BA4"/>
    <w:rsid w:val="002D0C40"/>
    <w:rsid w:val="002D13B7"/>
    <w:rsid w:val="002D2329"/>
    <w:rsid w:val="002D2A20"/>
    <w:rsid w:val="002D3313"/>
    <w:rsid w:val="002D4433"/>
    <w:rsid w:val="002D5264"/>
    <w:rsid w:val="002D5D9F"/>
    <w:rsid w:val="002D5F7B"/>
    <w:rsid w:val="002D606D"/>
    <w:rsid w:val="002D6245"/>
    <w:rsid w:val="002D66AD"/>
    <w:rsid w:val="002D6B28"/>
    <w:rsid w:val="002D6E1F"/>
    <w:rsid w:val="002D7349"/>
    <w:rsid w:val="002E0580"/>
    <w:rsid w:val="002E2557"/>
    <w:rsid w:val="002E302F"/>
    <w:rsid w:val="002E310C"/>
    <w:rsid w:val="002E491D"/>
    <w:rsid w:val="002E51EB"/>
    <w:rsid w:val="002E5A54"/>
    <w:rsid w:val="002E5BEE"/>
    <w:rsid w:val="002E5DF6"/>
    <w:rsid w:val="002E65F0"/>
    <w:rsid w:val="002E6657"/>
    <w:rsid w:val="002E7107"/>
    <w:rsid w:val="002E7928"/>
    <w:rsid w:val="002E7CC3"/>
    <w:rsid w:val="002E7D1F"/>
    <w:rsid w:val="002F00F1"/>
    <w:rsid w:val="002F019A"/>
    <w:rsid w:val="002F14F7"/>
    <w:rsid w:val="002F21FB"/>
    <w:rsid w:val="002F2344"/>
    <w:rsid w:val="002F2543"/>
    <w:rsid w:val="002F2C68"/>
    <w:rsid w:val="002F2D06"/>
    <w:rsid w:val="002F3483"/>
    <w:rsid w:val="002F3F1E"/>
    <w:rsid w:val="002F4686"/>
    <w:rsid w:val="002F4A54"/>
    <w:rsid w:val="002F5985"/>
    <w:rsid w:val="002F6FAB"/>
    <w:rsid w:val="002F72B2"/>
    <w:rsid w:val="002F7967"/>
    <w:rsid w:val="002F7F45"/>
    <w:rsid w:val="003015C3"/>
    <w:rsid w:val="0030171A"/>
    <w:rsid w:val="00301C12"/>
    <w:rsid w:val="00301D88"/>
    <w:rsid w:val="0030226A"/>
    <w:rsid w:val="003026F8"/>
    <w:rsid w:val="003027E7"/>
    <w:rsid w:val="003035F8"/>
    <w:rsid w:val="003040A4"/>
    <w:rsid w:val="0030412D"/>
    <w:rsid w:val="00304298"/>
    <w:rsid w:val="003044D0"/>
    <w:rsid w:val="00304A1E"/>
    <w:rsid w:val="003058BF"/>
    <w:rsid w:val="003072B7"/>
    <w:rsid w:val="00307349"/>
    <w:rsid w:val="003076DE"/>
    <w:rsid w:val="00307755"/>
    <w:rsid w:val="00307794"/>
    <w:rsid w:val="00307811"/>
    <w:rsid w:val="00307A82"/>
    <w:rsid w:val="00307F6B"/>
    <w:rsid w:val="0031016D"/>
    <w:rsid w:val="0031030C"/>
    <w:rsid w:val="0031032D"/>
    <w:rsid w:val="00310738"/>
    <w:rsid w:val="00310B79"/>
    <w:rsid w:val="00310E12"/>
    <w:rsid w:val="00310F1F"/>
    <w:rsid w:val="00312195"/>
    <w:rsid w:val="0031231D"/>
    <w:rsid w:val="0031385B"/>
    <w:rsid w:val="00313D8B"/>
    <w:rsid w:val="00313FAD"/>
    <w:rsid w:val="00314209"/>
    <w:rsid w:val="0031607D"/>
    <w:rsid w:val="00316679"/>
    <w:rsid w:val="0031683A"/>
    <w:rsid w:val="00317139"/>
    <w:rsid w:val="00317A92"/>
    <w:rsid w:val="00317E54"/>
    <w:rsid w:val="0032049F"/>
    <w:rsid w:val="00320AC5"/>
    <w:rsid w:val="0032172B"/>
    <w:rsid w:val="00321B46"/>
    <w:rsid w:val="0032204A"/>
    <w:rsid w:val="00322FBD"/>
    <w:rsid w:val="0032366C"/>
    <w:rsid w:val="0032367C"/>
    <w:rsid w:val="00323F1B"/>
    <w:rsid w:val="003241F3"/>
    <w:rsid w:val="0032448F"/>
    <w:rsid w:val="0032489B"/>
    <w:rsid w:val="00324E8C"/>
    <w:rsid w:val="00324F75"/>
    <w:rsid w:val="0032556A"/>
    <w:rsid w:val="003260E6"/>
    <w:rsid w:val="00326809"/>
    <w:rsid w:val="0032727A"/>
    <w:rsid w:val="00327C39"/>
    <w:rsid w:val="00330E49"/>
    <w:rsid w:val="00331CF7"/>
    <w:rsid w:val="003327E8"/>
    <w:rsid w:val="00332C76"/>
    <w:rsid w:val="003341AB"/>
    <w:rsid w:val="0033433F"/>
    <w:rsid w:val="00334771"/>
    <w:rsid w:val="00334C7F"/>
    <w:rsid w:val="00334EA3"/>
    <w:rsid w:val="003371C1"/>
    <w:rsid w:val="0033754A"/>
    <w:rsid w:val="00340416"/>
    <w:rsid w:val="0034056E"/>
    <w:rsid w:val="00340F9A"/>
    <w:rsid w:val="0034133F"/>
    <w:rsid w:val="003424AC"/>
    <w:rsid w:val="00342B92"/>
    <w:rsid w:val="0034463D"/>
    <w:rsid w:val="0034584B"/>
    <w:rsid w:val="00345ED1"/>
    <w:rsid w:val="00346145"/>
    <w:rsid w:val="00346A6D"/>
    <w:rsid w:val="0034714E"/>
    <w:rsid w:val="00347C10"/>
    <w:rsid w:val="003505E6"/>
    <w:rsid w:val="003508C0"/>
    <w:rsid w:val="00350A54"/>
    <w:rsid w:val="003511A8"/>
    <w:rsid w:val="003516C9"/>
    <w:rsid w:val="003519B9"/>
    <w:rsid w:val="00352606"/>
    <w:rsid w:val="00352615"/>
    <w:rsid w:val="00352C23"/>
    <w:rsid w:val="003536E3"/>
    <w:rsid w:val="00353902"/>
    <w:rsid w:val="00354330"/>
    <w:rsid w:val="00354C49"/>
    <w:rsid w:val="00355528"/>
    <w:rsid w:val="00355F63"/>
    <w:rsid w:val="00355FCF"/>
    <w:rsid w:val="00356DF9"/>
    <w:rsid w:val="00356E85"/>
    <w:rsid w:val="00357AEB"/>
    <w:rsid w:val="00357EA6"/>
    <w:rsid w:val="00357F2C"/>
    <w:rsid w:val="00360251"/>
    <w:rsid w:val="00360299"/>
    <w:rsid w:val="00360738"/>
    <w:rsid w:val="00360FB3"/>
    <w:rsid w:val="00361210"/>
    <w:rsid w:val="0036156D"/>
    <w:rsid w:val="00361741"/>
    <w:rsid w:val="00361B6F"/>
    <w:rsid w:val="00362E5C"/>
    <w:rsid w:val="00363334"/>
    <w:rsid w:val="00363B77"/>
    <w:rsid w:val="003641A3"/>
    <w:rsid w:val="003650B3"/>
    <w:rsid w:val="00365580"/>
    <w:rsid w:val="003655F4"/>
    <w:rsid w:val="00366BC5"/>
    <w:rsid w:val="00366BE6"/>
    <w:rsid w:val="00366FA9"/>
    <w:rsid w:val="003674F0"/>
    <w:rsid w:val="003677A6"/>
    <w:rsid w:val="0036781A"/>
    <w:rsid w:val="00367E9D"/>
    <w:rsid w:val="0037001A"/>
    <w:rsid w:val="003710AE"/>
    <w:rsid w:val="00371B84"/>
    <w:rsid w:val="00371D75"/>
    <w:rsid w:val="00371E80"/>
    <w:rsid w:val="003728C2"/>
    <w:rsid w:val="003729A0"/>
    <w:rsid w:val="00373F46"/>
    <w:rsid w:val="00374A24"/>
    <w:rsid w:val="00375707"/>
    <w:rsid w:val="00376AEC"/>
    <w:rsid w:val="00377186"/>
    <w:rsid w:val="0037720C"/>
    <w:rsid w:val="0037742F"/>
    <w:rsid w:val="0037753A"/>
    <w:rsid w:val="00381C66"/>
    <w:rsid w:val="003824B6"/>
    <w:rsid w:val="00382B63"/>
    <w:rsid w:val="00382DF3"/>
    <w:rsid w:val="0038384D"/>
    <w:rsid w:val="0038391B"/>
    <w:rsid w:val="00383C8A"/>
    <w:rsid w:val="003848DA"/>
    <w:rsid w:val="003849C4"/>
    <w:rsid w:val="00384E59"/>
    <w:rsid w:val="003856F9"/>
    <w:rsid w:val="00386818"/>
    <w:rsid w:val="00386960"/>
    <w:rsid w:val="003869D9"/>
    <w:rsid w:val="00386CAB"/>
    <w:rsid w:val="00387874"/>
    <w:rsid w:val="00391502"/>
    <w:rsid w:val="003917A0"/>
    <w:rsid w:val="003923DE"/>
    <w:rsid w:val="00392777"/>
    <w:rsid w:val="003927D7"/>
    <w:rsid w:val="00392B6D"/>
    <w:rsid w:val="003936CA"/>
    <w:rsid w:val="00393857"/>
    <w:rsid w:val="00393A02"/>
    <w:rsid w:val="0039418D"/>
    <w:rsid w:val="003955EF"/>
    <w:rsid w:val="00396646"/>
    <w:rsid w:val="00396719"/>
    <w:rsid w:val="003A010D"/>
    <w:rsid w:val="003A1F04"/>
    <w:rsid w:val="003A22E7"/>
    <w:rsid w:val="003A2A9A"/>
    <w:rsid w:val="003A3257"/>
    <w:rsid w:val="003A332C"/>
    <w:rsid w:val="003A3EBA"/>
    <w:rsid w:val="003A3F11"/>
    <w:rsid w:val="003A434C"/>
    <w:rsid w:val="003A4EAC"/>
    <w:rsid w:val="003A522F"/>
    <w:rsid w:val="003A53E5"/>
    <w:rsid w:val="003A54A1"/>
    <w:rsid w:val="003A5DA3"/>
    <w:rsid w:val="003A75DB"/>
    <w:rsid w:val="003B10F0"/>
    <w:rsid w:val="003B1279"/>
    <w:rsid w:val="003B183B"/>
    <w:rsid w:val="003B1FBD"/>
    <w:rsid w:val="003B20AB"/>
    <w:rsid w:val="003B29EA"/>
    <w:rsid w:val="003B2A32"/>
    <w:rsid w:val="003B2FDA"/>
    <w:rsid w:val="003B30A2"/>
    <w:rsid w:val="003B3B52"/>
    <w:rsid w:val="003B40C4"/>
    <w:rsid w:val="003B46DE"/>
    <w:rsid w:val="003B49EB"/>
    <w:rsid w:val="003B4C4F"/>
    <w:rsid w:val="003B4DDB"/>
    <w:rsid w:val="003B56ED"/>
    <w:rsid w:val="003B5F62"/>
    <w:rsid w:val="003B65A5"/>
    <w:rsid w:val="003B66D9"/>
    <w:rsid w:val="003C050A"/>
    <w:rsid w:val="003C09BD"/>
    <w:rsid w:val="003C0C6D"/>
    <w:rsid w:val="003C13BE"/>
    <w:rsid w:val="003C19FB"/>
    <w:rsid w:val="003C2216"/>
    <w:rsid w:val="003C2CA2"/>
    <w:rsid w:val="003C2F4D"/>
    <w:rsid w:val="003C33DA"/>
    <w:rsid w:val="003C353A"/>
    <w:rsid w:val="003C4BAE"/>
    <w:rsid w:val="003C5252"/>
    <w:rsid w:val="003C57D8"/>
    <w:rsid w:val="003C6A6C"/>
    <w:rsid w:val="003D03C5"/>
    <w:rsid w:val="003D086B"/>
    <w:rsid w:val="003D17E4"/>
    <w:rsid w:val="003D2138"/>
    <w:rsid w:val="003D28FE"/>
    <w:rsid w:val="003D2906"/>
    <w:rsid w:val="003D2944"/>
    <w:rsid w:val="003D2FEB"/>
    <w:rsid w:val="003D307D"/>
    <w:rsid w:val="003D3675"/>
    <w:rsid w:val="003D373F"/>
    <w:rsid w:val="003D4B41"/>
    <w:rsid w:val="003D522B"/>
    <w:rsid w:val="003D5579"/>
    <w:rsid w:val="003D5A20"/>
    <w:rsid w:val="003D5E18"/>
    <w:rsid w:val="003D6583"/>
    <w:rsid w:val="003D6C7C"/>
    <w:rsid w:val="003D71A0"/>
    <w:rsid w:val="003E02E4"/>
    <w:rsid w:val="003E0928"/>
    <w:rsid w:val="003E1733"/>
    <w:rsid w:val="003E20B2"/>
    <w:rsid w:val="003E2178"/>
    <w:rsid w:val="003E2A2D"/>
    <w:rsid w:val="003E343C"/>
    <w:rsid w:val="003E3B2A"/>
    <w:rsid w:val="003E4E5D"/>
    <w:rsid w:val="003E5798"/>
    <w:rsid w:val="003E5FA9"/>
    <w:rsid w:val="003E6312"/>
    <w:rsid w:val="003E6355"/>
    <w:rsid w:val="003E6ED1"/>
    <w:rsid w:val="003E6ED6"/>
    <w:rsid w:val="003E71F9"/>
    <w:rsid w:val="003E7F15"/>
    <w:rsid w:val="003F0275"/>
    <w:rsid w:val="003F27B6"/>
    <w:rsid w:val="003F363D"/>
    <w:rsid w:val="003F3F22"/>
    <w:rsid w:val="003F4181"/>
    <w:rsid w:val="003F477D"/>
    <w:rsid w:val="003F5C66"/>
    <w:rsid w:val="003F6162"/>
    <w:rsid w:val="003F7691"/>
    <w:rsid w:val="003F78DB"/>
    <w:rsid w:val="003F7D5C"/>
    <w:rsid w:val="004005AF"/>
    <w:rsid w:val="00401988"/>
    <w:rsid w:val="00401A62"/>
    <w:rsid w:val="00401F3A"/>
    <w:rsid w:val="00402822"/>
    <w:rsid w:val="00402BA4"/>
    <w:rsid w:val="00402EC7"/>
    <w:rsid w:val="00403FE9"/>
    <w:rsid w:val="0040421D"/>
    <w:rsid w:val="0040497E"/>
    <w:rsid w:val="00404C86"/>
    <w:rsid w:val="00405C68"/>
    <w:rsid w:val="0040614D"/>
    <w:rsid w:val="00406833"/>
    <w:rsid w:val="00406CA2"/>
    <w:rsid w:val="00406FB5"/>
    <w:rsid w:val="00410917"/>
    <w:rsid w:val="00410D34"/>
    <w:rsid w:val="00411305"/>
    <w:rsid w:val="00411E67"/>
    <w:rsid w:val="00412236"/>
    <w:rsid w:val="0041298E"/>
    <w:rsid w:val="00415A8E"/>
    <w:rsid w:val="00415D65"/>
    <w:rsid w:val="00416CF9"/>
    <w:rsid w:val="004176E0"/>
    <w:rsid w:val="00417EA3"/>
    <w:rsid w:val="00420D9A"/>
    <w:rsid w:val="00420FAB"/>
    <w:rsid w:val="0042109A"/>
    <w:rsid w:val="00421D3A"/>
    <w:rsid w:val="00421DFA"/>
    <w:rsid w:val="00422581"/>
    <w:rsid w:val="004226CB"/>
    <w:rsid w:val="004234C6"/>
    <w:rsid w:val="0042415A"/>
    <w:rsid w:val="0042429D"/>
    <w:rsid w:val="004243B1"/>
    <w:rsid w:val="004250A2"/>
    <w:rsid w:val="0042601F"/>
    <w:rsid w:val="004261E4"/>
    <w:rsid w:val="0042698B"/>
    <w:rsid w:val="0042706A"/>
    <w:rsid w:val="00427361"/>
    <w:rsid w:val="004275D9"/>
    <w:rsid w:val="004275E6"/>
    <w:rsid w:val="00430E7C"/>
    <w:rsid w:val="0043123D"/>
    <w:rsid w:val="004312E9"/>
    <w:rsid w:val="004317EC"/>
    <w:rsid w:val="0043180B"/>
    <w:rsid w:val="00431975"/>
    <w:rsid w:val="004324BB"/>
    <w:rsid w:val="00432B20"/>
    <w:rsid w:val="00432FD3"/>
    <w:rsid w:val="0043376F"/>
    <w:rsid w:val="00433C7A"/>
    <w:rsid w:val="0043418B"/>
    <w:rsid w:val="00434C39"/>
    <w:rsid w:val="00435707"/>
    <w:rsid w:val="00435837"/>
    <w:rsid w:val="004358B7"/>
    <w:rsid w:val="00436B6B"/>
    <w:rsid w:val="00437566"/>
    <w:rsid w:val="004403A5"/>
    <w:rsid w:val="004403A9"/>
    <w:rsid w:val="00440C3F"/>
    <w:rsid w:val="00440E33"/>
    <w:rsid w:val="00441337"/>
    <w:rsid w:val="004414BE"/>
    <w:rsid w:val="004419AA"/>
    <w:rsid w:val="0044208C"/>
    <w:rsid w:val="00442B63"/>
    <w:rsid w:val="00443EBE"/>
    <w:rsid w:val="00443F04"/>
    <w:rsid w:val="00444AAA"/>
    <w:rsid w:val="00444E79"/>
    <w:rsid w:val="00444FD2"/>
    <w:rsid w:val="00445B51"/>
    <w:rsid w:val="0044633C"/>
    <w:rsid w:val="004463DE"/>
    <w:rsid w:val="00446DD8"/>
    <w:rsid w:val="00447285"/>
    <w:rsid w:val="00447347"/>
    <w:rsid w:val="00447AD5"/>
    <w:rsid w:val="004500A3"/>
    <w:rsid w:val="004505C6"/>
    <w:rsid w:val="00451282"/>
    <w:rsid w:val="0045180A"/>
    <w:rsid w:val="00451F3E"/>
    <w:rsid w:val="00452FFE"/>
    <w:rsid w:val="00453BB8"/>
    <w:rsid w:val="00453CAF"/>
    <w:rsid w:val="00453F68"/>
    <w:rsid w:val="00455510"/>
    <w:rsid w:val="00456076"/>
    <w:rsid w:val="00456BC4"/>
    <w:rsid w:val="00456EAB"/>
    <w:rsid w:val="004579F7"/>
    <w:rsid w:val="004606BC"/>
    <w:rsid w:val="00460CE1"/>
    <w:rsid w:val="00461428"/>
    <w:rsid w:val="004622DE"/>
    <w:rsid w:val="004629C9"/>
    <w:rsid w:val="00462F82"/>
    <w:rsid w:val="0046459A"/>
    <w:rsid w:val="00464BA8"/>
    <w:rsid w:val="00465628"/>
    <w:rsid w:val="00466D56"/>
    <w:rsid w:val="00466F3F"/>
    <w:rsid w:val="004672EF"/>
    <w:rsid w:val="004678FE"/>
    <w:rsid w:val="00467A2F"/>
    <w:rsid w:val="00470CCE"/>
    <w:rsid w:val="0047109A"/>
    <w:rsid w:val="004710BE"/>
    <w:rsid w:val="004711AC"/>
    <w:rsid w:val="0047128B"/>
    <w:rsid w:val="00471E02"/>
    <w:rsid w:val="00471F90"/>
    <w:rsid w:val="00472BAD"/>
    <w:rsid w:val="004731C7"/>
    <w:rsid w:val="004731D4"/>
    <w:rsid w:val="0047421E"/>
    <w:rsid w:val="00474286"/>
    <w:rsid w:val="00475004"/>
    <w:rsid w:val="00475073"/>
    <w:rsid w:val="00475835"/>
    <w:rsid w:val="00475C0D"/>
    <w:rsid w:val="00476B18"/>
    <w:rsid w:val="004772B8"/>
    <w:rsid w:val="00477811"/>
    <w:rsid w:val="00477AF1"/>
    <w:rsid w:val="00480467"/>
    <w:rsid w:val="0048053D"/>
    <w:rsid w:val="00481437"/>
    <w:rsid w:val="00481670"/>
    <w:rsid w:val="00481750"/>
    <w:rsid w:val="00482ADD"/>
    <w:rsid w:val="004830A9"/>
    <w:rsid w:val="004834A5"/>
    <w:rsid w:val="0048421D"/>
    <w:rsid w:val="004853FD"/>
    <w:rsid w:val="00486BEC"/>
    <w:rsid w:val="004873F0"/>
    <w:rsid w:val="0048741E"/>
    <w:rsid w:val="00490A6D"/>
    <w:rsid w:val="00490C7E"/>
    <w:rsid w:val="00490EC0"/>
    <w:rsid w:val="00491ABC"/>
    <w:rsid w:val="00492210"/>
    <w:rsid w:val="00492399"/>
    <w:rsid w:val="004924BB"/>
    <w:rsid w:val="00494011"/>
    <w:rsid w:val="004948E1"/>
    <w:rsid w:val="00495231"/>
    <w:rsid w:val="00495B11"/>
    <w:rsid w:val="00495F43"/>
    <w:rsid w:val="00496184"/>
    <w:rsid w:val="004962DC"/>
    <w:rsid w:val="004966D5"/>
    <w:rsid w:val="004967F8"/>
    <w:rsid w:val="00496D3A"/>
    <w:rsid w:val="00496FD3"/>
    <w:rsid w:val="0049734F"/>
    <w:rsid w:val="00497720"/>
    <w:rsid w:val="00497C60"/>
    <w:rsid w:val="00497DE4"/>
    <w:rsid w:val="004A0ACD"/>
    <w:rsid w:val="004A1A9E"/>
    <w:rsid w:val="004A236E"/>
    <w:rsid w:val="004A3986"/>
    <w:rsid w:val="004A417D"/>
    <w:rsid w:val="004A4525"/>
    <w:rsid w:val="004A4E12"/>
    <w:rsid w:val="004A582B"/>
    <w:rsid w:val="004A6280"/>
    <w:rsid w:val="004A62A6"/>
    <w:rsid w:val="004A7511"/>
    <w:rsid w:val="004A754B"/>
    <w:rsid w:val="004A761A"/>
    <w:rsid w:val="004B0560"/>
    <w:rsid w:val="004B1AC9"/>
    <w:rsid w:val="004B2636"/>
    <w:rsid w:val="004B3C2E"/>
    <w:rsid w:val="004B4489"/>
    <w:rsid w:val="004B5362"/>
    <w:rsid w:val="004B5D47"/>
    <w:rsid w:val="004B60FD"/>
    <w:rsid w:val="004B63AE"/>
    <w:rsid w:val="004B6601"/>
    <w:rsid w:val="004B6BEC"/>
    <w:rsid w:val="004B6C3F"/>
    <w:rsid w:val="004B6DB4"/>
    <w:rsid w:val="004B735F"/>
    <w:rsid w:val="004B7525"/>
    <w:rsid w:val="004B7B14"/>
    <w:rsid w:val="004C01D7"/>
    <w:rsid w:val="004C0E45"/>
    <w:rsid w:val="004C141E"/>
    <w:rsid w:val="004C1927"/>
    <w:rsid w:val="004C30FA"/>
    <w:rsid w:val="004C3593"/>
    <w:rsid w:val="004C4254"/>
    <w:rsid w:val="004C4CAD"/>
    <w:rsid w:val="004C5130"/>
    <w:rsid w:val="004C555C"/>
    <w:rsid w:val="004C6F16"/>
    <w:rsid w:val="004C70A9"/>
    <w:rsid w:val="004C756F"/>
    <w:rsid w:val="004C7984"/>
    <w:rsid w:val="004D0908"/>
    <w:rsid w:val="004D155E"/>
    <w:rsid w:val="004D160E"/>
    <w:rsid w:val="004D2046"/>
    <w:rsid w:val="004D526B"/>
    <w:rsid w:val="004D587A"/>
    <w:rsid w:val="004D5AD4"/>
    <w:rsid w:val="004D5EC9"/>
    <w:rsid w:val="004D70D8"/>
    <w:rsid w:val="004D73A7"/>
    <w:rsid w:val="004D7F5F"/>
    <w:rsid w:val="004E05A0"/>
    <w:rsid w:val="004E066D"/>
    <w:rsid w:val="004E0F11"/>
    <w:rsid w:val="004E11AD"/>
    <w:rsid w:val="004E1741"/>
    <w:rsid w:val="004E1830"/>
    <w:rsid w:val="004E30AF"/>
    <w:rsid w:val="004E4802"/>
    <w:rsid w:val="004E48FD"/>
    <w:rsid w:val="004E4CB6"/>
    <w:rsid w:val="004E4DE3"/>
    <w:rsid w:val="004E4F74"/>
    <w:rsid w:val="004E56E2"/>
    <w:rsid w:val="004E6397"/>
    <w:rsid w:val="004E7226"/>
    <w:rsid w:val="004E7A9B"/>
    <w:rsid w:val="004F0762"/>
    <w:rsid w:val="004F0FE2"/>
    <w:rsid w:val="004F17FF"/>
    <w:rsid w:val="004F1A51"/>
    <w:rsid w:val="004F2385"/>
    <w:rsid w:val="004F30DC"/>
    <w:rsid w:val="004F3ED5"/>
    <w:rsid w:val="004F4214"/>
    <w:rsid w:val="004F4408"/>
    <w:rsid w:val="004F5358"/>
    <w:rsid w:val="004F5B5A"/>
    <w:rsid w:val="004F5CFB"/>
    <w:rsid w:val="004F688A"/>
    <w:rsid w:val="004F6D6D"/>
    <w:rsid w:val="004F7057"/>
    <w:rsid w:val="004F760A"/>
    <w:rsid w:val="00500538"/>
    <w:rsid w:val="005005D6"/>
    <w:rsid w:val="0050076A"/>
    <w:rsid w:val="005012F9"/>
    <w:rsid w:val="005013F4"/>
    <w:rsid w:val="00501B8F"/>
    <w:rsid w:val="005021B7"/>
    <w:rsid w:val="00502BF4"/>
    <w:rsid w:val="00503AAD"/>
    <w:rsid w:val="00503B02"/>
    <w:rsid w:val="00503D62"/>
    <w:rsid w:val="0050411C"/>
    <w:rsid w:val="005045A7"/>
    <w:rsid w:val="00504991"/>
    <w:rsid w:val="00504C39"/>
    <w:rsid w:val="005066F8"/>
    <w:rsid w:val="00507CFD"/>
    <w:rsid w:val="00507DEC"/>
    <w:rsid w:val="005107F0"/>
    <w:rsid w:val="005108DA"/>
    <w:rsid w:val="005112A6"/>
    <w:rsid w:val="005121AD"/>
    <w:rsid w:val="005122BE"/>
    <w:rsid w:val="00512C80"/>
    <w:rsid w:val="00514BF5"/>
    <w:rsid w:val="0051552F"/>
    <w:rsid w:val="0051592B"/>
    <w:rsid w:val="00515E95"/>
    <w:rsid w:val="00516116"/>
    <w:rsid w:val="00517725"/>
    <w:rsid w:val="005177EA"/>
    <w:rsid w:val="00520459"/>
    <w:rsid w:val="005217BB"/>
    <w:rsid w:val="00521F71"/>
    <w:rsid w:val="00524A94"/>
    <w:rsid w:val="00524DAD"/>
    <w:rsid w:val="00526071"/>
    <w:rsid w:val="00527D81"/>
    <w:rsid w:val="00530A7B"/>
    <w:rsid w:val="005314D9"/>
    <w:rsid w:val="00531531"/>
    <w:rsid w:val="00532171"/>
    <w:rsid w:val="00534BBB"/>
    <w:rsid w:val="00535150"/>
    <w:rsid w:val="00537CF0"/>
    <w:rsid w:val="00540CCC"/>
    <w:rsid w:val="00540DD9"/>
    <w:rsid w:val="005412F3"/>
    <w:rsid w:val="00541DBC"/>
    <w:rsid w:val="00542352"/>
    <w:rsid w:val="005423A9"/>
    <w:rsid w:val="00542770"/>
    <w:rsid w:val="00543932"/>
    <w:rsid w:val="00544433"/>
    <w:rsid w:val="00544957"/>
    <w:rsid w:val="0054535F"/>
    <w:rsid w:val="00545EE2"/>
    <w:rsid w:val="00546A99"/>
    <w:rsid w:val="00546AF8"/>
    <w:rsid w:val="00547E1A"/>
    <w:rsid w:val="00547E88"/>
    <w:rsid w:val="00547F84"/>
    <w:rsid w:val="00550469"/>
    <w:rsid w:val="00551C3D"/>
    <w:rsid w:val="00551DD2"/>
    <w:rsid w:val="00551F62"/>
    <w:rsid w:val="00554822"/>
    <w:rsid w:val="00554906"/>
    <w:rsid w:val="00554C62"/>
    <w:rsid w:val="00555A04"/>
    <w:rsid w:val="0055667E"/>
    <w:rsid w:val="00556B2F"/>
    <w:rsid w:val="00557111"/>
    <w:rsid w:val="00557466"/>
    <w:rsid w:val="0056025D"/>
    <w:rsid w:val="00560CBA"/>
    <w:rsid w:val="00561A50"/>
    <w:rsid w:val="00561EAB"/>
    <w:rsid w:val="00562446"/>
    <w:rsid w:val="00562771"/>
    <w:rsid w:val="00564758"/>
    <w:rsid w:val="00564A7F"/>
    <w:rsid w:val="00564D8F"/>
    <w:rsid w:val="00565BAF"/>
    <w:rsid w:val="005660B8"/>
    <w:rsid w:val="0056698C"/>
    <w:rsid w:val="00566BE4"/>
    <w:rsid w:val="00566D79"/>
    <w:rsid w:val="00570433"/>
    <w:rsid w:val="00570E87"/>
    <w:rsid w:val="00571095"/>
    <w:rsid w:val="005710C9"/>
    <w:rsid w:val="005710F0"/>
    <w:rsid w:val="005714A5"/>
    <w:rsid w:val="00571A63"/>
    <w:rsid w:val="00572238"/>
    <w:rsid w:val="0057257C"/>
    <w:rsid w:val="00573054"/>
    <w:rsid w:val="005739B9"/>
    <w:rsid w:val="00574804"/>
    <w:rsid w:val="00574A99"/>
    <w:rsid w:val="00574AF0"/>
    <w:rsid w:val="00574ED6"/>
    <w:rsid w:val="00574F69"/>
    <w:rsid w:val="0057746A"/>
    <w:rsid w:val="00577512"/>
    <w:rsid w:val="005779AE"/>
    <w:rsid w:val="00577BF6"/>
    <w:rsid w:val="0058058F"/>
    <w:rsid w:val="00581000"/>
    <w:rsid w:val="00581AE1"/>
    <w:rsid w:val="00581D1A"/>
    <w:rsid w:val="005822C6"/>
    <w:rsid w:val="00582DA7"/>
    <w:rsid w:val="00584AA3"/>
    <w:rsid w:val="00584E24"/>
    <w:rsid w:val="00584E75"/>
    <w:rsid w:val="0058630A"/>
    <w:rsid w:val="0058663A"/>
    <w:rsid w:val="005870C7"/>
    <w:rsid w:val="005874EE"/>
    <w:rsid w:val="0058759D"/>
    <w:rsid w:val="00587A81"/>
    <w:rsid w:val="00587BC8"/>
    <w:rsid w:val="00587E91"/>
    <w:rsid w:val="00587FF4"/>
    <w:rsid w:val="00590051"/>
    <w:rsid w:val="00590A8B"/>
    <w:rsid w:val="00590BFE"/>
    <w:rsid w:val="00590E2C"/>
    <w:rsid w:val="00591ADC"/>
    <w:rsid w:val="00591B28"/>
    <w:rsid w:val="00592765"/>
    <w:rsid w:val="00592A2F"/>
    <w:rsid w:val="00593750"/>
    <w:rsid w:val="005938A4"/>
    <w:rsid w:val="005938E6"/>
    <w:rsid w:val="00595C8E"/>
    <w:rsid w:val="00597359"/>
    <w:rsid w:val="00597BF8"/>
    <w:rsid w:val="00597FB9"/>
    <w:rsid w:val="005A0271"/>
    <w:rsid w:val="005A0659"/>
    <w:rsid w:val="005A1D1D"/>
    <w:rsid w:val="005A220C"/>
    <w:rsid w:val="005A2A2A"/>
    <w:rsid w:val="005A3176"/>
    <w:rsid w:val="005A3F0C"/>
    <w:rsid w:val="005A3F71"/>
    <w:rsid w:val="005A4332"/>
    <w:rsid w:val="005A5A92"/>
    <w:rsid w:val="005A5D17"/>
    <w:rsid w:val="005A5D5E"/>
    <w:rsid w:val="005A6B20"/>
    <w:rsid w:val="005A71FA"/>
    <w:rsid w:val="005A72EA"/>
    <w:rsid w:val="005A771F"/>
    <w:rsid w:val="005A79A7"/>
    <w:rsid w:val="005B002E"/>
    <w:rsid w:val="005B0483"/>
    <w:rsid w:val="005B0978"/>
    <w:rsid w:val="005B0D37"/>
    <w:rsid w:val="005B1138"/>
    <w:rsid w:val="005B1679"/>
    <w:rsid w:val="005B1984"/>
    <w:rsid w:val="005B1BA7"/>
    <w:rsid w:val="005B1DA5"/>
    <w:rsid w:val="005B2768"/>
    <w:rsid w:val="005B3117"/>
    <w:rsid w:val="005B3C4F"/>
    <w:rsid w:val="005B4AD7"/>
    <w:rsid w:val="005B4C12"/>
    <w:rsid w:val="005B51ED"/>
    <w:rsid w:val="005B550C"/>
    <w:rsid w:val="005B59FE"/>
    <w:rsid w:val="005B6DFD"/>
    <w:rsid w:val="005B7E6E"/>
    <w:rsid w:val="005C0B9B"/>
    <w:rsid w:val="005C0C56"/>
    <w:rsid w:val="005C1E6C"/>
    <w:rsid w:val="005C2109"/>
    <w:rsid w:val="005C2142"/>
    <w:rsid w:val="005C27A4"/>
    <w:rsid w:val="005C29E5"/>
    <w:rsid w:val="005C3DB4"/>
    <w:rsid w:val="005C3DC9"/>
    <w:rsid w:val="005C3E44"/>
    <w:rsid w:val="005C40B8"/>
    <w:rsid w:val="005C53EF"/>
    <w:rsid w:val="005C54F5"/>
    <w:rsid w:val="005C5530"/>
    <w:rsid w:val="005C5976"/>
    <w:rsid w:val="005C5CAB"/>
    <w:rsid w:val="005C5D3B"/>
    <w:rsid w:val="005C6733"/>
    <w:rsid w:val="005C6A8B"/>
    <w:rsid w:val="005C6C9F"/>
    <w:rsid w:val="005C7350"/>
    <w:rsid w:val="005D0BBF"/>
    <w:rsid w:val="005D1320"/>
    <w:rsid w:val="005D1588"/>
    <w:rsid w:val="005D295B"/>
    <w:rsid w:val="005D3A5D"/>
    <w:rsid w:val="005D4401"/>
    <w:rsid w:val="005D5329"/>
    <w:rsid w:val="005D6199"/>
    <w:rsid w:val="005D61CD"/>
    <w:rsid w:val="005D6E71"/>
    <w:rsid w:val="005D70FE"/>
    <w:rsid w:val="005E00C9"/>
    <w:rsid w:val="005E29CB"/>
    <w:rsid w:val="005E2FCC"/>
    <w:rsid w:val="005E3105"/>
    <w:rsid w:val="005E4AE2"/>
    <w:rsid w:val="005E4DF4"/>
    <w:rsid w:val="005E50E9"/>
    <w:rsid w:val="005E5CA0"/>
    <w:rsid w:val="005F0321"/>
    <w:rsid w:val="005F03D9"/>
    <w:rsid w:val="005F089F"/>
    <w:rsid w:val="005F0B46"/>
    <w:rsid w:val="005F1DD3"/>
    <w:rsid w:val="005F1F7F"/>
    <w:rsid w:val="005F238D"/>
    <w:rsid w:val="005F2DF3"/>
    <w:rsid w:val="005F31C0"/>
    <w:rsid w:val="005F3D97"/>
    <w:rsid w:val="005F4BA4"/>
    <w:rsid w:val="005F5264"/>
    <w:rsid w:val="005F541C"/>
    <w:rsid w:val="005F5B6B"/>
    <w:rsid w:val="005F6D67"/>
    <w:rsid w:val="005F75EA"/>
    <w:rsid w:val="005F776C"/>
    <w:rsid w:val="005F7851"/>
    <w:rsid w:val="005F7AAA"/>
    <w:rsid w:val="005F7AEA"/>
    <w:rsid w:val="00600929"/>
    <w:rsid w:val="00600AED"/>
    <w:rsid w:val="00600E46"/>
    <w:rsid w:val="0060139B"/>
    <w:rsid w:val="00601CC6"/>
    <w:rsid w:val="00601D9E"/>
    <w:rsid w:val="0060202D"/>
    <w:rsid w:val="0060285D"/>
    <w:rsid w:val="006028E9"/>
    <w:rsid w:val="00603F7A"/>
    <w:rsid w:val="00604501"/>
    <w:rsid w:val="0060464D"/>
    <w:rsid w:val="00604C02"/>
    <w:rsid w:val="00605285"/>
    <w:rsid w:val="006053AC"/>
    <w:rsid w:val="006053DA"/>
    <w:rsid w:val="00605B44"/>
    <w:rsid w:val="006107E5"/>
    <w:rsid w:val="00610B7A"/>
    <w:rsid w:val="00610E7D"/>
    <w:rsid w:val="006110A1"/>
    <w:rsid w:val="006122D7"/>
    <w:rsid w:val="00612639"/>
    <w:rsid w:val="00612A70"/>
    <w:rsid w:val="006135C1"/>
    <w:rsid w:val="0061387C"/>
    <w:rsid w:val="00614343"/>
    <w:rsid w:val="0061470E"/>
    <w:rsid w:val="00614D59"/>
    <w:rsid w:val="006156CA"/>
    <w:rsid w:val="00615A33"/>
    <w:rsid w:val="00615D21"/>
    <w:rsid w:val="00620296"/>
    <w:rsid w:val="0062074F"/>
    <w:rsid w:val="00620C2A"/>
    <w:rsid w:val="00622E4B"/>
    <w:rsid w:val="0062384B"/>
    <w:rsid w:val="00623D7B"/>
    <w:rsid w:val="00623F04"/>
    <w:rsid w:val="006249D7"/>
    <w:rsid w:val="0062529D"/>
    <w:rsid w:val="00625731"/>
    <w:rsid w:val="006259B2"/>
    <w:rsid w:val="00625A0D"/>
    <w:rsid w:val="00626389"/>
    <w:rsid w:val="00626CF5"/>
    <w:rsid w:val="00627440"/>
    <w:rsid w:val="00627867"/>
    <w:rsid w:val="006278B2"/>
    <w:rsid w:val="00630A2C"/>
    <w:rsid w:val="00630ACF"/>
    <w:rsid w:val="00631711"/>
    <w:rsid w:val="00631A93"/>
    <w:rsid w:val="00631ED0"/>
    <w:rsid w:val="00632688"/>
    <w:rsid w:val="00632945"/>
    <w:rsid w:val="00633054"/>
    <w:rsid w:val="00633E47"/>
    <w:rsid w:val="00634267"/>
    <w:rsid w:val="006343E5"/>
    <w:rsid w:val="00634540"/>
    <w:rsid w:val="00634605"/>
    <w:rsid w:val="00634EB2"/>
    <w:rsid w:val="0063593D"/>
    <w:rsid w:val="00635F6D"/>
    <w:rsid w:val="0063601D"/>
    <w:rsid w:val="00636835"/>
    <w:rsid w:val="00636C6F"/>
    <w:rsid w:val="00637041"/>
    <w:rsid w:val="00637586"/>
    <w:rsid w:val="006408CD"/>
    <w:rsid w:val="006410AE"/>
    <w:rsid w:val="00641692"/>
    <w:rsid w:val="00641695"/>
    <w:rsid w:val="00641D9A"/>
    <w:rsid w:val="00642DD3"/>
    <w:rsid w:val="006449EA"/>
    <w:rsid w:val="00644FE9"/>
    <w:rsid w:val="00645423"/>
    <w:rsid w:val="0064593D"/>
    <w:rsid w:val="00645AE6"/>
    <w:rsid w:val="00645FE2"/>
    <w:rsid w:val="00646EE7"/>
    <w:rsid w:val="0065074D"/>
    <w:rsid w:val="00650C79"/>
    <w:rsid w:val="00652851"/>
    <w:rsid w:val="00653E50"/>
    <w:rsid w:val="006540F5"/>
    <w:rsid w:val="006542CB"/>
    <w:rsid w:val="006543A3"/>
    <w:rsid w:val="006547B6"/>
    <w:rsid w:val="006549EC"/>
    <w:rsid w:val="00655703"/>
    <w:rsid w:val="00655740"/>
    <w:rsid w:val="00655877"/>
    <w:rsid w:val="00656727"/>
    <w:rsid w:val="00656AD5"/>
    <w:rsid w:val="00657643"/>
    <w:rsid w:val="006602FB"/>
    <w:rsid w:val="00660376"/>
    <w:rsid w:val="00660840"/>
    <w:rsid w:val="006616E2"/>
    <w:rsid w:val="006627CA"/>
    <w:rsid w:val="0066358E"/>
    <w:rsid w:val="006641FD"/>
    <w:rsid w:val="00664321"/>
    <w:rsid w:val="006659EB"/>
    <w:rsid w:val="006663F1"/>
    <w:rsid w:val="0066700D"/>
    <w:rsid w:val="00667F85"/>
    <w:rsid w:val="00670898"/>
    <w:rsid w:val="00670C49"/>
    <w:rsid w:val="006713B6"/>
    <w:rsid w:val="00671EF0"/>
    <w:rsid w:val="006721D1"/>
    <w:rsid w:val="006722CD"/>
    <w:rsid w:val="006729C9"/>
    <w:rsid w:val="00672C49"/>
    <w:rsid w:val="00672C5C"/>
    <w:rsid w:val="006732FB"/>
    <w:rsid w:val="0067353B"/>
    <w:rsid w:val="00673619"/>
    <w:rsid w:val="00673776"/>
    <w:rsid w:val="00673851"/>
    <w:rsid w:val="00673C27"/>
    <w:rsid w:val="006744DA"/>
    <w:rsid w:val="00675396"/>
    <w:rsid w:val="00675BE5"/>
    <w:rsid w:val="00675E83"/>
    <w:rsid w:val="00675EA3"/>
    <w:rsid w:val="00675F32"/>
    <w:rsid w:val="006760C9"/>
    <w:rsid w:val="00676E38"/>
    <w:rsid w:val="006771D7"/>
    <w:rsid w:val="006778B6"/>
    <w:rsid w:val="00677C21"/>
    <w:rsid w:val="00677F2A"/>
    <w:rsid w:val="00677F5C"/>
    <w:rsid w:val="00680980"/>
    <w:rsid w:val="00680D26"/>
    <w:rsid w:val="00680D85"/>
    <w:rsid w:val="006818A1"/>
    <w:rsid w:val="0068195D"/>
    <w:rsid w:val="00681D37"/>
    <w:rsid w:val="00681F68"/>
    <w:rsid w:val="006827D0"/>
    <w:rsid w:val="00682AA9"/>
    <w:rsid w:val="00682D52"/>
    <w:rsid w:val="006832A6"/>
    <w:rsid w:val="00683E08"/>
    <w:rsid w:val="00683F3D"/>
    <w:rsid w:val="00684EDB"/>
    <w:rsid w:val="00685D19"/>
    <w:rsid w:val="00687358"/>
    <w:rsid w:val="006879D0"/>
    <w:rsid w:val="00687CFE"/>
    <w:rsid w:val="00690CA5"/>
    <w:rsid w:val="00691B4B"/>
    <w:rsid w:val="00691FD2"/>
    <w:rsid w:val="00692002"/>
    <w:rsid w:val="006924BD"/>
    <w:rsid w:val="006927FB"/>
    <w:rsid w:val="00693084"/>
    <w:rsid w:val="00694A68"/>
    <w:rsid w:val="00695384"/>
    <w:rsid w:val="006958AC"/>
    <w:rsid w:val="006963DB"/>
    <w:rsid w:val="00696908"/>
    <w:rsid w:val="00696DD1"/>
    <w:rsid w:val="00697096"/>
    <w:rsid w:val="0069732F"/>
    <w:rsid w:val="00697345"/>
    <w:rsid w:val="006975AB"/>
    <w:rsid w:val="00697E5C"/>
    <w:rsid w:val="006A064A"/>
    <w:rsid w:val="006A086A"/>
    <w:rsid w:val="006A0D2A"/>
    <w:rsid w:val="006A10AC"/>
    <w:rsid w:val="006A11D1"/>
    <w:rsid w:val="006A27E9"/>
    <w:rsid w:val="006A32F7"/>
    <w:rsid w:val="006A3991"/>
    <w:rsid w:val="006A3ABF"/>
    <w:rsid w:val="006A3B93"/>
    <w:rsid w:val="006A3FA9"/>
    <w:rsid w:val="006A429C"/>
    <w:rsid w:val="006A4B9F"/>
    <w:rsid w:val="006A4ECC"/>
    <w:rsid w:val="006A4F14"/>
    <w:rsid w:val="006A5C9D"/>
    <w:rsid w:val="006A629C"/>
    <w:rsid w:val="006A6A85"/>
    <w:rsid w:val="006A6A98"/>
    <w:rsid w:val="006A6AE9"/>
    <w:rsid w:val="006A70E5"/>
    <w:rsid w:val="006A736D"/>
    <w:rsid w:val="006A784A"/>
    <w:rsid w:val="006A7ACC"/>
    <w:rsid w:val="006B0B05"/>
    <w:rsid w:val="006B0E0C"/>
    <w:rsid w:val="006B1119"/>
    <w:rsid w:val="006B11AB"/>
    <w:rsid w:val="006B1850"/>
    <w:rsid w:val="006B3B29"/>
    <w:rsid w:val="006B4469"/>
    <w:rsid w:val="006B4628"/>
    <w:rsid w:val="006B47CE"/>
    <w:rsid w:val="006B4917"/>
    <w:rsid w:val="006B4E7F"/>
    <w:rsid w:val="006B500A"/>
    <w:rsid w:val="006B5D3B"/>
    <w:rsid w:val="006B6249"/>
    <w:rsid w:val="006B6677"/>
    <w:rsid w:val="006B70F8"/>
    <w:rsid w:val="006B775B"/>
    <w:rsid w:val="006B7E59"/>
    <w:rsid w:val="006C04EA"/>
    <w:rsid w:val="006C10D6"/>
    <w:rsid w:val="006C188C"/>
    <w:rsid w:val="006C1A7C"/>
    <w:rsid w:val="006C1AC6"/>
    <w:rsid w:val="006C2419"/>
    <w:rsid w:val="006C24E9"/>
    <w:rsid w:val="006C285F"/>
    <w:rsid w:val="006C3401"/>
    <w:rsid w:val="006C4196"/>
    <w:rsid w:val="006C5377"/>
    <w:rsid w:val="006C55EE"/>
    <w:rsid w:val="006C5C26"/>
    <w:rsid w:val="006C708B"/>
    <w:rsid w:val="006C71C8"/>
    <w:rsid w:val="006C7B90"/>
    <w:rsid w:val="006C7DC4"/>
    <w:rsid w:val="006D0454"/>
    <w:rsid w:val="006D0EC4"/>
    <w:rsid w:val="006D15B8"/>
    <w:rsid w:val="006D1AAE"/>
    <w:rsid w:val="006D1ADE"/>
    <w:rsid w:val="006D225F"/>
    <w:rsid w:val="006D24A1"/>
    <w:rsid w:val="006D2969"/>
    <w:rsid w:val="006D2FB4"/>
    <w:rsid w:val="006D308F"/>
    <w:rsid w:val="006D3119"/>
    <w:rsid w:val="006D339B"/>
    <w:rsid w:val="006D5314"/>
    <w:rsid w:val="006D5965"/>
    <w:rsid w:val="006D5A37"/>
    <w:rsid w:val="006D61A4"/>
    <w:rsid w:val="006D6224"/>
    <w:rsid w:val="006D63FD"/>
    <w:rsid w:val="006D689C"/>
    <w:rsid w:val="006D71B4"/>
    <w:rsid w:val="006D71FA"/>
    <w:rsid w:val="006D7CC7"/>
    <w:rsid w:val="006D7ED4"/>
    <w:rsid w:val="006E0EF8"/>
    <w:rsid w:val="006E24D5"/>
    <w:rsid w:val="006E273D"/>
    <w:rsid w:val="006E3BCC"/>
    <w:rsid w:val="006E4530"/>
    <w:rsid w:val="006E5663"/>
    <w:rsid w:val="006E5D36"/>
    <w:rsid w:val="006E605A"/>
    <w:rsid w:val="006E6150"/>
    <w:rsid w:val="006E63CB"/>
    <w:rsid w:val="006E6465"/>
    <w:rsid w:val="006E66A1"/>
    <w:rsid w:val="006E73CE"/>
    <w:rsid w:val="006E77C8"/>
    <w:rsid w:val="006E7AB5"/>
    <w:rsid w:val="006F0E57"/>
    <w:rsid w:val="006F1AAC"/>
    <w:rsid w:val="006F23F9"/>
    <w:rsid w:val="006F244A"/>
    <w:rsid w:val="006F3169"/>
    <w:rsid w:val="006F3781"/>
    <w:rsid w:val="006F3951"/>
    <w:rsid w:val="006F3AEB"/>
    <w:rsid w:val="006F3F4B"/>
    <w:rsid w:val="006F42E7"/>
    <w:rsid w:val="006F47B8"/>
    <w:rsid w:val="006F4AF4"/>
    <w:rsid w:val="006F4CFC"/>
    <w:rsid w:val="006F5F4B"/>
    <w:rsid w:val="006F6D3B"/>
    <w:rsid w:val="006F703E"/>
    <w:rsid w:val="006F7338"/>
    <w:rsid w:val="006F7F1C"/>
    <w:rsid w:val="0070001D"/>
    <w:rsid w:val="007003EF"/>
    <w:rsid w:val="00700461"/>
    <w:rsid w:val="00700759"/>
    <w:rsid w:val="00700AB5"/>
    <w:rsid w:val="00702028"/>
    <w:rsid w:val="00702F23"/>
    <w:rsid w:val="007043D7"/>
    <w:rsid w:val="00706312"/>
    <w:rsid w:val="0070638E"/>
    <w:rsid w:val="007067F9"/>
    <w:rsid w:val="00706926"/>
    <w:rsid w:val="0070778E"/>
    <w:rsid w:val="00707878"/>
    <w:rsid w:val="0071003E"/>
    <w:rsid w:val="00710180"/>
    <w:rsid w:val="00711E61"/>
    <w:rsid w:val="00712AD2"/>
    <w:rsid w:val="00713AE5"/>
    <w:rsid w:val="00713D33"/>
    <w:rsid w:val="00714485"/>
    <w:rsid w:val="007159B1"/>
    <w:rsid w:val="00715C00"/>
    <w:rsid w:val="00716592"/>
    <w:rsid w:val="00716C3F"/>
    <w:rsid w:val="00717D64"/>
    <w:rsid w:val="00720253"/>
    <w:rsid w:val="0072061F"/>
    <w:rsid w:val="0072097B"/>
    <w:rsid w:val="0072099F"/>
    <w:rsid w:val="00721A6A"/>
    <w:rsid w:val="0072230A"/>
    <w:rsid w:val="00722BCD"/>
    <w:rsid w:val="00722BFF"/>
    <w:rsid w:val="00722C4D"/>
    <w:rsid w:val="0072404C"/>
    <w:rsid w:val="007252D1"/>
    <w:rsid w:val="0072556E"/>
    <w:rsid w:val="00726654"/>
    <w:rsid w:val="007274E1"/>
    <w:rsid w:val="00727E1D"/>
    <w:rsid w:val="00730703"/>
    <w:rsid w:val="00730AF7"/>
    <w:rsid w:val="00730D0D"/>
    <w:rsid w:val="007311E3"/>
    <w:rsid w:val="007329CE"/>
    <w:rsid w:val="00732F57"/>
    <w:rsid w:val="00733BC6"/>
    <w:rsid w:val="0073405F"/>
    <w:rsid w:val="00734142"/>
    <w:rsid w:val="00734501"/>
    <w:rsid w:val="00734DC7"/>
    <w:rsid w:val="007356EE"/>
    <w:rsid w:val="007359EB"/>
    <w:rsid w:val="00735DF5"/>
    <w:rsid w:val="00736348"/>
    <w:rsid w:val="00736C19"/>
    <w:rsid w:val="00736D66"/>
    <w:rsid w:val="00740446"/>
    <w:rsid w:val="00740957"/>
    <w:rsid w:val="00740C12"/>
    <w:rsid w:val="00740E81"/>
    <w:rsid w:val="00740EB0"/>
    <w:rsid w:val="0074166D"/>
    <w:rsid w:val="00741750"/>
    <w:rsid w:val="00741AAD"/>
    <w:rsid w:val="00741C2D"/>
    <w:rsid w:val="00741F3D"/>
    <w:rsid w:val="00742AC2"/>
    <w:rsid w:val="00743F45"/>
    <w:rsid w:val="007452D9"/>
    <w:rsid w:val="0074535A"/>
    <w:rsid w:val="00745F73"/>
    <w:rsid w:val="00746353"/>
    <w:rsid w:val="007465F0"/>
    <w:rsid w:val="0075112E"/>
    <w:rsid w:val="007511C1"/>
    <w:rsid w:val="0075126B"/>
    <w:rsid w:val="00751288"/>
    <w:rsid w:val="00751808"/>
    <w:rsid w:val="00751914"/>
    <w:rsid w:val="00751938"/>
    <w:rsid w:val="007520B4"/>
    <w:rsid w:val="00752326"/>
    <w:rsid w:val="007523B6"/>
    <w:rsid w:val="00752486"/>
    <w:rsid w:val="00752A05"/>
    <w:rsid w:val="00752AAA"/>
    <w:rsid w:val="007531D1"/>
    <w:rsid w:val="007538E7"/>
    <w:rsid w:val="00754295"/>
    <w:rsid w:val="007552D4"/>
    <w:rsid w:val="007554DC"/>
    <w:rsid w:val="00755799"/>
    <w:rsid w:val="00755A64"/>
    <w:rsid w:val="00757C88"/>
    <w:rsid w:val="00760604"/>
    <w:rsid w:val="00760BBA"/>
    <w:rsid w:val="00760C37"/>
    <w:rsid w:val="00760FD3"/>
    <w:rsid w:val="007612C3"/>
    <w:rsid w:val="007632A0"/>
    <w:rsid w:val="0076497A"/>
    <w:rsid w:val="00766269"/>
    <w:rsid w:val="00766AAE"/>
    <w:rsid w:val="00767F7F"/>
    <w:rsid w:val="00770015"/>
    <w:rsid w:val="007708C6"/>
    <w:rsid w:val="007714CA"/>
    <w:rsid w:val="0077184D"/>
    <w:rsid w:val="00771AA6"/>
    <w:rsid w:val="007728B2"/>
    <w:rsid w:val="00772BCC"/>
    <w:rsid w:val="007731D6"/>
    <w:rsid w:val="007735A2"/>
    <w:rsid w:val="00773B0B"/>
    <w:rsid w:val="0077743A"/>
    <w:rsid w:val="00777742"/>
    <w:rsid w:val="007808F6"/>
    <w:rsid w:val="00780EEB"/>
    <w:rsid w:val="007812CB"/>
    <w:rsid w:val="00781764"/>
    <w:rsid w:val="007818F7"/>
    <w:rsid w:val="00783472"/>
    <w:rsid w:val="007836EC"/>
    <w:rsid w:val="007845A4"/>
    <w:rsid w:val="00785DF5"/>
    <w:rsid w:val="007870F7"/>
    <w:rsid w:val="0078783D"/>
    <w:rsid w:val="00790FFB"/>
    <w:rsid w:val="00791636"/>
    <w:rsid w:val="00791665"/>
    <w:rsid w:val="0079294B"/>
    <w:rsid w:val="00792B54"/>
    <w:rsid w:val="0079323E"/>
    <w:rsid w:val="00793BF5"/>
    <w:rsid w:val="00793CB2"/>
    <w:rsid w:val="007942D1"/>
    <w:rsid w:val="00795D1F"/>
    <w:rsid w:val="00797229"/>
    <w:rsid w:val="00797508"/>
    <w:rsid w:val="007A06E4"/>
    <w:rsid w:val="007A0C22"/>
    <w:rsid w:val="007A1377"/>
    <w:rsid w:val="007A261F"/>
    <w:rsid w:val="007A27E0"/>
    <w:rsid w:val="007A3493"/>
    <w:rsid w:val="007A3BC0"/>
    <w:rsid w:val="007A459A"/>
    <w:rsid w:val="007A4647"/>
    <w:rsid w:val="007A4C93"/>
    <w:rsid w:val="007A4CDC"/>
    <w:rsid w:val="007A5F11"/>
    <w:rsid w:val="007A61CB"/>
    <w:rsid w:val="007A640B"/>
    <w:rsid w:val="007A676B"/>
    <w:rsid w:val="007A6F3E"/>
    <w:rsid w:val="007A7F7D"/>
    <w:rsid w:val="007B14EF"/>
    <w:rsid w:val="007B2787"/>
    <w:rsid w:val="007B3084"/>
    <w:rsid w:val="007B32C1"/>
    <w:rsid w:val="007B3C0F"/>
    <w:rsid w:val="007B40A9"/>
    <w:rsid w:val="007B4F4F"/>
    <w:rsid w:val="007B5A00"/>
    <w:rsid w:val="007B7BA3"/>
    <w:rsid w:val="007C02DA"/>
    <w:rsid w:val="007C07EF"/>
    <w:rsid w:val="007C21DF"/>
    <w:rsid w:val="007C24B7"/>
    <w:rsid w:val="007C3E5C"/>
    <w:rsid w:val="007C4185"/>
    <w:rsid w:val="007C4793"/>
    <w:rsid w:val="007C5620"/>
    <w:rsid w:val="007C58FB"/>
    <w:rsid w:val="007C592B"/>
    <w:rsid w:val="007C5EDC"/>
    <w:rsid w:val="007C62E4"/>
    <w:rsid w:val="007C6C17"/>
    <w:rsid w:val="007C775F"/>
    <w:rsid w:val="007C7C43"/>
    <w:rsid w:val="007D0A7E"/>
    <w:rsid w:val="007D1571"/>
    <w:rsid w:val="007D2A5B"/>
    <w:rsid w:val="007D3330"/>
    <w:rsid w:val="007D34B8"/>
    <w:rsid w:val="007D480B"/>
    <w:rsid w:val="007D49A9"/>
    <w:rsid w:val="007D55D6"/>
    <w:rsid w:val="007D577A"/>
    <w:rsid w:val="007D5CB6"/>
    <w:rsid w:val="007D6099"/>
    <w:rsid w:val="007D75D8"/>
    <w:rsid w:val="007D7B4B"/>
    <w:rsid w:val="007E01BB"/>
    <w:rsid w:val="007E050B"/>
    <w:rsid w:val="007E0A9B"/>
    <w:rsid w:val="007E0FF0"/>
    <w:rsid w:val="007E13E2"/>
    <w:rsid w:val="007E1917"/>
    <w:rsid w:val="007E2678"/>
    <w:rsid w:val="007E2AB3"/>
    <w:rsid w:val="007E2ED1"/>
    <w:rsid w:val="007E304D"/>
    <w:rsid w:val="007E39FB"/>
    <w:rsid w:val="007E410A"/>
    <w:rsid w:val="007E4645"/>
    <w:rsid w:val="007E4CA5"/>
    <w:rsid w:val="007E5781"/>
    <w:rsid w:val="007E7790"/>
    <w:rsid w:val="007E7D8E"/>
    <w:rsid w:val="007F0D7A"/>
    <w:rsid w:val="007F0FB2"/>
    <w:rsid w:val="007F1EF4"/>
    <w:rsid w:val="007F219E"/>
    <w:rsid w:val="007F21FB"/>
    <w:rsid w:val="007F32DA"/>
    <w:rsid w:val="007F40CC"/>
    <w:rsid w:val="007F46F7"/>
    <w:rsid w:val="007F4CEE"/>
    <w:rsid w:val="007F4D72"/>
    <w:rsid w:val="007F6520"/>
    <w:rsid w:val="007F678C"/>
    <w:rsid w:val="007F6C35"/>
    <w:rsid w:val="007F6FF4"/>
    <w:rsid w:val="00800052"/>
    <w:rsid w:val="008004E9"/>
    <w:rsid w:val="00800524"/>
    <w:rsid w:val="00800C38"/>
    <w:rsid w:val="00801719"/>
    <w:rsid w:val="00802F56"/>
    <w:rsid w:val="00803630"/>
    <w:rsid w:val="00803A2B"/>
    <w:rsid w:val="00803C39"/>
    <w:rsid w:val="00803ECF"/>
    <w:rsid w:val="008041B0"/>
    <w:rsid w:val="00805493"/>
    <w:rsid w:val="0080553D"/>
    <w:rsid w:val="00806745"/>
    <w:rsid w:val="00810BFB"/>
    <w:rsid w:val="00810CBA"/>
    <w:rsid w:val="00810FCE"/>
    <w:rsid w:val="008117CE"/>
    <w:rsid w:val="008118FF"/>
    <w:rsid w:val="00812FA8"/>
    <w:rsid w:val="00813B0B"/>
    <w:rsid w:val="00814C0C"/>
    <w:rsid w:val="0081599E"/>
    <w:rsid w:val="00816190"/>
    <w:rsid w:val="0081661F"/>
    <w:rsid w:val="00816E51"/>
    <w:rsid w:val="00816F6F"/>
    <w:rsid w:val="008177B6"/>
    <w:rsid w:val="00817C01"/>
    <w:rsid w:val="00820711"/>
    <w:rsid w:val="00821BEA"/>
    <w:rsid w:val="0082259D"/>
    <w:rsid w:val="00822F3B"/>
    <w:rsid w:val="00822F66"/>
    <w:rsid w:val="008250ED"/>
    <w:rsid w:val="008258C0"/>
    <w:rsid w:val="008264FA"/>
    <w:rsid w:val="008271E3"/>
    <w:rsid w:val="00827D69"/>
    <w:rsid w:val="00830228"/>
    <w:rsid w:val="00830369"/>
    <w:rsid w:val="00830486"/>
    <w:rsid w:val="00830912"/>
    <w:rsid w:val="00830CE6"/>
    <w:rsid w:val="00830F3C"/>
    <w:rsid w:val="008313C2"/>
    <w:rsid w:val="00832710"/>
    <w:rsid w:val="0083324A"/>
    <w:rsid w:val="00833482"/>
    <w:rsid w:val="00833DE4"/>
    <w:rsid w:val="00836A03"/>
    <w:rsid w:val="00836F01"/>
    <w:rsid w:val="00837533"/>
    <w:rsid w:val="00837651"/>
    <w:rsid w:val="00837C99"/>
    <w:rsid w:val="008401A2"/>
    <w:rsid w:val="00840491"/>
    <w:rsid w:val="008412AF"/>
    <w:rsid w:val="00841690"/>
    <w:rsid w:val="008426AD"/>
    <w:rsid w:val="00842DC2"/>
    <w:rsid w:val="00843426"/>
    <w:rsid w:val="00843890"/>
    <w:rsid w:val="008439A6"/>
    <w:rsid w:val="00843B89"/>
    <w:rsid w:val="00844159"/>
    <w:rsid w:val="0084500A"/>
    <w:rsid w:val="008451C1"/>
    <w:rsid w:val="00845820"/>
    <w:rsid w:val="00847113"/>
    <w:rsid w:val="00847830"/>
    <w:rsid w:val="008507C8"/>
    <w:rsid w:val="00850A45"/>
    <w:rsid w:val="00850C49"/>
    <w:rsid w:val="008516FF"/>
    <w:rsid w:val="00852AF3"/>
    <w:rsid w:val="00852BD6"/>
    <w:rsid w:val="008531B7"/>
    <w:rsid w:val="00853644"/>
    <w:rsid w:val="00853838"/>
    <w:rsid w:val="00853A83"/>
    <w:rsid w:val="00854170"/>
    <w:rsid w:val="0085444D"/>
    <w:rsid w:val="00854482"/>
    <w:rsid w:val="008546E2"/>
    <w:rsid w:val="00854789"/>
    <w:rsid w:val="00854A69"/>
    <w:rsid w:val="008560E6"/>
    <w:rsid w:val="00856D6C"/>
    <w:rsid w:val="00857412"/>
    <w:rsid w:val="00857BAA"/>
    <w:rsid w:val="008600AA"/>
    <w:rsid w:val="0086011F"/>
    <w:rsid w:val="00860782"/>
    <w:rsid w:val="00861065"/>
    <w:rsid w:val="00861648"/>
    <w:rsid w:val="00862818"/>
    <w:rsid w:val="00862F33"/>
    <w:rsid w:val="00863953"/>
    <w:rsid w:val="00863B18"/>
    <w:rsid w:val="00864D9C"/>
    <w:rsid w:val="008650F8"/>
    <w:rsid w:val="00865990"/>
    <w:rsid w:val="00867056"/>
    <w:rsid w:val="00870281"/>
    <w:rsid w:val="0087094F"/>
    <w:rsid w:val="00871858"/>
    <w:rsid w:val="00871A2C"/>
    <w:rsid w:val="00872257"/>
    <w:rsid w:val="00872BBF"/>
    <w:rsid w:val="00873AA9"/>
    <w:rsid w:val="008742A1"/>
    <w:rsid w:val="00874D3C"/>
    <w:rsid w:val="00874DF9"/>
    <w:rsid w:val="00875391"/>
    <w:rsid w:val="00875CAC"/>
    <w:rsid w:val="00876605"/>
    <w:rsid w:val="00876695"/>
    <w:rsid w:val="00876CF2"/>
    <w:rsid w:val="00876EBA"/>
    <w:rsid w:val="00877333"/>
    <w:rsid w:val="00877A7B"/>
    <w:rsid w:val="00877D1F"/>
    <w:rsid w:val="00880BD1"/>
    <w:rsid w:val="0088186B"/>
    <w:rsid w:val="008819E8"/>
    <w:rsid w:val="00881BED"/>
    <w:rsid w:val="00882BFA"/>
    <w:rsid w:val="008833A7"/>
    <w:rsid w:val="008834DA"/>
    <w:rsid w:val="00883751"/>
    <w:rsid w:val="00883AF7"/>
    <w:rsid w:val="00883B44"/>
    <w:rsid w:val="008857D6"/>
    <w:rsid w:val="008859CB"/>
    <w:rsid w:val="00886591"/>
    <w:rsid w:val="00886CCA"/>
    <w:rsid w:val="00887C27"/>
    <w:rsid w:val="0089084B"/>
    <w:rsid w:val="0089117D"/>
    <w:rsid w:val="00891661"/>
    <w:rsid w:val="008919F3"/>
    <w:rsid w:val="008922EC"/>
    <w:rsid w:val="0089297D"/>
    <w:rsid w:val="008929B2"/>
    <w:rsid w:val="00893291"/>
    <w:rsid w:val="00893D55"/>
    <w:rsid w:val="00893E91"/>
    <w:rsid w:val="008945E3"/>
    <w:rsid w:val="008946E3"/>
    <w:rsid w:val="008948C1"/>
    <w:rsid w:val="00894B72"/>
    <w:rsid w:val="00894C66"/>
    <w:rsid w:val="00894D6E"/>
    <w:rsid w:val="00894DEF"/>
    <w:rsid w:val="0089503A"/>
    <w:rsid w:val="00896A3C"/>
    <w:rsid w:val="0089710D"/>
    <w:rsid w:val="00897A0E"/>
    <w:rsid w:val="00897B52"/>
    <w:rsid w:val="00897C7E"/>
    <w:rsid w:val="00897D04"/>
    <w:rsid w:val="008A0667"/>
    <w:rsid w:val="008A0ACC"/>
    <w:rsid w:val="008A0F42"/>
    <w:rsid w:val="008A1183"/>
    <w:rsid w:val="008A11D7"/>
    <w:rsid w:val="008A11F6"/>
    <w:rsid w:val="008A257F"/>
    <w:rsid w:val="008A2AB6"/>
    <w:rsid w:val="008A31D2"/>
    <w:rsid w:val="008A3446"/>
    <w:rsid w:val="008A3D77"/>
    <w:rsid w:val="008A3ED4"/>
    <w:rsid w:val="008A4005"/>
    <w:rsid w:val="008A4923"/>
    <w:rsid w:val="008A4DC7"/>
    <w:rsid w:val="008A50A7"/>
    <w:rsid w:val="008A5772"/>
    <w:rsid w:val="008A5893"/>
    <w:rsid w:val="008A6E8A"/>
    <w:rsid w:val="008A744E"/>
    <w:rsid w:val="008A7E19"/>
    <w:rsid w:val="008B0877"/>
    <w:rsid w:val="008B0F27"/>
    <w:rsid w:val="008B1C12"/>
    <w:rsid w:val="008B269E"/>
    <w:rsid w:val="008B2B0E"/>
    <w:rsid w:val="008B2B5B"/>
    <w:rsid w:val="008B3DC3"/>
    <w:rsid w:val="008B46C3"/>
    <w:rsid w:val="008B48EC"/>
    <w:rsid w:val="008B50F5"/>
    <w:rsid w:val="008B63E3"/>
    <w:rsid w:val="008B65E2"/>
    <w:rsid w:val="008B7328"/>
    <w:rsid w:val="008B73A0"/>
    <w:rsid w:val="008B7F21"/>
    <w:rsid w:val="008C0031"/>
    <w:rsid w:val="008C03B5"/>
    <w:rsid w:val="008C086E"/>
    <w:rsid w:val="008C0FE3"/>
    <w:rsid w:val="008C10D7"/>
    <w:rsid w:val="008C17A8"/>
    <w:rsid w:val="008C1A63"/>
    <w:rsid w:val="008C1EBA"/>
    <w:rsid w:val="008C2177"/>
    <w:rsid w:val="008C2EAF"/>
    <w:rsid w:val="008C3687"/>
    <w:rsid w:val="008C389E"/>
    <w:rsid w:val="008C3EC6"/>
    <w:rsid w:val="008C3FBE"/>
    <w:rsid w:val="008C4A0A"/>
    <w:rsid w:val="008C4B45"/>
    <w:rsid w:val="008C5CC4"/>
    <w:rsid w:val="008C60D5"/>
    <w:rsid w:val="008C6F02"/>
    <w:rsid w:val="008C74A2"/>
    <w:rsid w:val="008C77C9"/>
    <w:rsid w:val="008D0150"/>
    <w:rsid w:val="008D019F"/>
    <w:rsid w:val="008D0ED8"/>
    <w:rsid w:val="008D1CE8"/>
    <w:rsid w:val="008D3A99"/>
    <w:rsid w:val="008D4452"/>
    <w:rsid w:val="008D4DB6"/>
    <w:rsid w:val="008D584D"/>
    <w:rsid w:val="008D66A4"/>
    <w:rsid w:val="008D6BF5"/>
    <w:rsid w:val="008D6DBC"/>
    <w:rsid w:val="008D7461"/>
    <w:rsid w:val="008D790E"/>
    <w:rsid w:val="008E0412"/>
    <w:rsid w:val="008E052A"/>
    <w:rsid w:val="008E096D"/>
    <w:rsid w:val="008E0EBD"/>
    <w:rsid w:val="008E0F54"/>
    <w:rsid w:val="008E19F6"/>
    <w:rsid w:val="008E2502"/>
    <w:rsid w:val="008E2C46"/>
    <w:rsid w:val="008E2CFF"/>
    <w:rsid w:val="008E3116"/>
    <w:rsid w:val="008E3572"/>
    <w:rsid w:val="008E3AAF"/>
    <w:rsid w:val="008E3CCB"/>
    <w:rsid w:val="008E4A58"/>
    <w:rsid w:val="008E577B"/>
    <w:rsid w:val="008E66C3"/>
    <w:rsid w:val="008E76F4"/>
    <w:rsid w:val="008E788C"/>
    <w:rsid w:val="008F0DEF"/>
    <w:rsid w:val="008F2EB8"/>
    <w:rsid w:val="008F3305"/>
    <w:rsid w:val="008F3AC2"/>
    <w:rsid w:val="008F3FD8"/>
    <w:rsid w:val="008F4240"/>
    <w:rsid w:val="008F43E7"/>
    <w:rsid w:val="008F4965"/>
    <w:rsid w:val="008F4CE0"/>
    <w:rsid w:val="008F4FE0"/>
    <w:rsid w:val="008F535D"/>
    <w:rsid w:val="008F74A6"/>
    <w:rsid w:val="008F7BD6"/>
    <w:rsid w:val="00900884"/>
    <w:rsid w:val="009016B1"/>
    <w:rsid w:val="00901BA1"/>
    <w:rsid w:val="00901F2E"/>
    <w:rsid w:val="0090215E"/>
    <w:rsid w:val="00902AC3"/>
    <w:rsid w:val="00902B6D"/>
    <w:rsid w:val="00903873"/>
    <w:rsid w:val="0090465A"/>
    <w:rsid w:val="00904DAA"/>
    <w:rsid w:val="00904E59"/>
    <w:rsid w:val="00904F66"/>
    <w:rsid w:val="009051A1"/>
    <w:rsid w:val="009052CB"/>
    <w:rsid w:val="00906A15"/>
    <w:rsid w:val="00906F70"/>
    <w:rsid w:val="00910147"/>
    <w:rsid w:val="00910967"/>
    <w:rsid w:val="00910B1E"/>
    <w:rsid w:val="00911198"/>
    <w:rsid w:val="009111EA"/>
    <w:rsid w:val="00911DEB"/>
    <w:rsid w:val="009122C8"/>
    <w:rsid w:val="009126F8"/>
    <w:rsid w:val="0091270B"/>
    <w:rsid w:val="0091486C"/>
    <w:rsid w:val="00914B04"/>
    <w:rsid w:val="00914F9D"/>
    <w:rsid w:val="00916A31"/>
    <w:rsid w:val="00916BD9"/>
    <w:rsid w:val="009171C7"/>
    <w:rsid w:val="00917B80"/>
    <w:rsid w:val="00920DC6"/>
    <w:rsid w:val="00921800"/>
    <w:rsid w:val="009231BA"/>
    <w:rsid w:val="009233B0"/>
    <w:rsid w:val="00923588"/>
    <w:rsid w:val="009236E5"/>
    <w:rsid w:val="00924BC9"/>
    <w:rsid w:val="00925192"/>
    <w:rsid w:val="00925F36"/>
    <w:rsid w:val="009262D4"/>
    <w:rsid w:val="009276AC"/>
    <w:rsid w:val="00927B66"/>
    <w:rsid w:val="00927DAA"/>
    <w:rsid w:val="00930A64"/>
    <w:rsid w:val="0093125D"/>
    <w:rsid w:val="00931C81"/>
    <w:rsid w:val="009323C9"/>
    <w:rsid w:val="00932A28"/>
    <w:rsid w:val="00932A4F"/>
    <w:rsid w:val="009336B9"/>
    <w:rsid w:val="00933D3C"/>
    <w:rsid w:val="0093518C"/>
    <w:rsid w:val="00935A33"/>
    <w:rsid w:val="009362F5"/>
    <w:rsid w:val="009367A2"/>
    <w:rsid w:val="00936981"/>
    <w:rsid w:val="00937D50"/>
    <w:rsid w:val="00937E25"/>
    <w:rsid w:val="009411D8"/>
    <w:rsid w:val="00941AE5"/>
    <w:rsid w:val="009421AF"/>
    <w:rsid w:val="009422C5"/>
    <w:rsid w:val="00942F6C"/>
    <w:rsid w:val="00943B89"/>
    <w:rsid w:val="00944059"/>
    <w:rsid w:val="009444AA"/>
    <w:rsid w:val="00944E1B"/>
    <w:rsid w:val="00944FB6"/>
    <w:rsid w:val="00945101"/>
    <w:rsid w:val="00945212"/>
    <w:rsid w:val="009452B8"/>
    <w:rsid w:val="009455D8"/>
    <w:rsid w:val="009456CD"/>
    <w:rsid w:val="009466B3"/>
    <w:rsid w:val="00947594"/>
    <w:rsid w:val="00947F0A"/>
    <w:rsid w:val="0095015A"/>
    <w:rsid w:val="0095107A"/>
    <w:rsid w:val="009516B8"/>
    <w:rsid w:val="00951854"/>
    <w:rsid w:val="0095254D"/>
    <w:rsid w:val="00952B7A"/>
    <w:rsid w:val="00952E80"/>
    <w:rsid w:val="0095345A"/>
    <w:rsid w:val="009535D9"/>
    <w:rsid w:val="00954630"/>
    <w:rsid w:val="00954682"/>
    <w:rsid w:val="00954A02"/>
    <w:rsid w:val="00954FC1"/>
    <w:rsid w:val="009552DE"/>
    <w:rsid w:val="009555AD"/>
    <w:rsid w:val="00955808"/>
    <w:rsid w:val="00955947"/>
    <w:rsid w:val="00955A54"/>
    <w:rsid w:val="00956878"/>
    <w:rsid w:val="00956D77"/>
    <w:rsid w:val="00956EA1"/>
    <w:rsid w:val="00960649"/>
    <w:rsid w:val="00960686"/>
    <w:rsid w:val="009619F2"/>
    <w:rsid w:val="009636F1"/>
    <w:rsid w:val="00963F6E"/>
    <w:rsid w:val="0096435C"/>
    <w:rsid w:val="00964F5F"/>
    <w:rsid w:val="009655B6"/>
    <w:rsid w:val="00966187"/>
    <w:rsid w:val="00966E54"/>
    <w:rsid w:val="0097008B"/>
    <w:rsid w:val="00970134"/>
    <w:rsid w:val="0097041F"/>
    <w:rsid w:val="00971646"/>
    <w:rsid w:val="009721F0"/>
    <w:rsid w:val="009723A3"/>
    <w:rsid w:val="009724C1"/>
    <w:rsid w:val="00972BEA"/>
    <w:rsid w:val="00973E09"/>
    <w:rsid w:val="0097421E"/>
    <w:rsid w:val="009745B9"/>
    <w:rsid w:val="0097540E"/>
    <w:rsid w:val="00975549"/>
    <w:rsid w:val="0097618B"/>
    <w:rsid w:val="00976A79"/>
    <w:rsid w:val="009770DA"/>
    <w:rsid w:val="00977B43"/>
    <w:rsid w:val="0098055E"/>
    <w:rsid w:val="0098117F"/>
    <w:rsid w:val="00981D06"/>
    <w:rsid w:val="00982746"/>
    <w:rsid w:val="009836A1"/>
    <w:rsid w:val="0098405A"/>
    <w:rsid w:val="00984266"/>
    <w:rsid w:val="00984416"/>
    <w:rsid w:val="00985B50"/>
    <w:rsid w:val="0098777D"/>
    <w:rsid w:val="00990C5D"/>
    <w:rsid w:val="00990D08"/>
    <w:rsid w:val="00990ED8"/>
    <w:rsid w:val="009914A1"/>
    <w:rsid w:val="00991C01"/>
    <w:rsid w:val="00991F46"/>
    <w:rsid w:val="00991F78"/>
    <w:rsid w:val="00992D15"/>
    <w:rsid w:val="00992F02"/>
    <w:rsid w:val="00993114"/>
    <w:rsid w:val="0099452E"/>
    <w:rsid w:val="00994B63"/>
    <w:rsid w:val="00994EB9"/>
    <w:rsid w:val="00995708"/>
    <w:rsid w:val="009958D5"/>
    <w:rsid w:val="00995B9B"/>
    <w:rsid w:val="00996839"/>
    <w:rsid w:val="00996A0E"/>
    <w:rsid w:val="00996B74"/>
    <w:rsid w:val="009979AA"/>
    <w:rsid w:val="009A0482"/>
    <w:rsid w:val="009A051B"/>
    <w:rsid w:val="009A0E15"/>
    <w:rsid w:val="009A0F73"/>
    <w:rsid w:val="009A133F"/>
    <w:rsid w:val="009A1AA0"/>
    <w:rsid w:val="009A276E"/>
    <w:rsid w:val="009A278A"/>
    <w:rsid w:val="009A314E"/>
    <w:rsid w:val="009A32D0"/>
    <w:rsid w:val="009A36FA"/>
    <w:rsid w:val="009A4082"/>
    <w:rsid w:val="009A4BBB"/>
    <w:rsid w:val="009A4C6C"/>
    <w:rsid w:val="009A59CD"/>
    <w:rsid w:val="009A6156"/>
    <w:rsid w:val="009A68F2"/>
    <w:rsid w:val="009A6940"/>
    <w:rsid w:val="009A73F8"/>
    <w:rsid w:val="009A7BD8"/>
    <w:rsid w:val="009A7C21"/>
    <w:rsid w:val="009B012D"/>
    <w:rsid w:val="009B0519"/>
    <w:rsid w:val="009B2765"/>
    <w:rsid w:val="009B3086"/>
    <w:rsid w:val="009B4F61"/>
    <w:rsid w:val="009B509A"/>
    <w:rsid w:val="009B5500"/>
    <w:rsid w:val="009B5EB1"/>
    <w:rsid w:val="009B6376"/>
    <w:rsid w:val="009B768D"/>
    <w:rsid w:val="009B7D83"/>
    <w:rsid w:val="009C13BA"/>
    <w:rsid w:val="009C16F0"/>
    <w:rsid w:val="009C1DE5"/>
    <w:rsid w:val="009C2109"/>
    <w:rsid w:val="009C26B8"/>
    <w:rsid w:val="009C2A52"/>
    <w:rsid w:val="009C2CD3"/>
    <w:rsid w:val="009C2E6C"/>
    <w:rsid w:val="009C37E0"/>
    <w:rsid w:val="009C44F7"/>
    <w:rsid w:val="009C515E"/>
    <w:rsid w:val="009C5557"/>
    <w:rsid w:val="009C599E"/>
    <w:rsid w:val="009C7106"/>
    <w:rsid w:val="009C7408"/>
    <w:rsid w:val="009C7496"/>
    <w:rsid w:val="009C74E6"/>
    <w:rsid w:val="009C7ADF"/>
    <w:rsid w:val="009C7CE1"/>
    <w:rsid w:val="009D0213"/>
    <w:rsid w:val="009D2123"/>
    <w:rsid w:val="009D2189"/>
    <w:rsid w:val="009D222B"/>
    <w:rsid w:val="009D25DE"/>
    <w:rsid w:val="009D2E04"/>
    <w:rsid w:val="009D3FCD"/>
    <w:rsid w:val="009D4DB3"/>
    <w:rsid w:val="009D540B"/>
    <w:rsid w:val="009D542A"/>
    <w:rsid w:val="009D5B71"/>
    <w:rsid w:val="009D6AF8"/>
    <w:rsid w:val="009D6D23"/>
    <w:rsid w:val="009D6D3B"/>
    <w:rsid w:val="009D7121"/>
    <w:rsid w:val="009D726F"/>
    <w:rsid w:val="009D7644"/>
    <w:rsid w:val="009D7B77"/>
    <w:rsid w:val="009E1ACC"/>
    <w:rsid w:val="009E34C1"/>
    <w:rsid w:val="009E3A3A"/>
    <w:rsid w:val="009E3E72"/>
    <w:rsid w:val="009E4454"/>
    <w:rsid w:val="009E4647"/>
    <w:rsid w:val="009E46DC"/>
    <w:rsid w:val="009E6F88"/>
    <w:rsid w:val="009E739F"/>
    <w:rsid w:val="009E758B"/>
    <w:rsid w:val="009E7B7F"/>
    <w:rsid w:val="009F022E"/>
    <w:rsid w:val="009F096E"/>
    <w:rsid w:val="009F2284"/>
    <w:rsid w:val="009F23C1"/>
    <w:rsid w:val="009F3398"/>
    <w:rsid w:val="009F38F2"/>
    <w:rsid w:val="009F3AE2"/>
    <w:rsid w:val="009F3F49"/>
    <w:rsid w:val="009F48AD"/>
    <w:rsid w:val="009F51F4"/>
    <w:rsid w:val="009F7513"/>
    <w:rsid w:val="009F7621"/>
    <w:rsid w:val="009F7884"/>
    <w:rsid w:val="009F7D12"/>
    <w:rsid w:val="00A013E1"/>
    <w:rsid w:val="00A01840"/>
    <w:rsid w:val="00A02693"/>
    <w:rsid w:val="00A0280D"/>
    <w:rsid w:val="00A03662"/>
    <w:rsid w:val="00A03828"/>
    <w:rsid w:val="00A03BE0"/>
    <w:rsid w:val="00A03C59"/>
    <w:rsid w:val="00A03C7E"/>
    <w:rsid w:val="00A04727"/>
    <w:rsid w:val="00A056B5"/>
    <w:rsid w:val="00A06828"/>
    <w:rsid w:val="00A06A12"/>
    <w:rsid w:val="00A06B25"/>
    <w:rsid w:val="00A0736C"/>
    <w:rsid w:val="00A11257"/>
    <w:rsid w:val="00A1171D"/>
    <w:rsid w:val="00A1190A"/>
    <w:rsid w:val="00A12080"/>
    <w:rsid w:val="00A1300A"/>
    <w:rsid w:val="00A13295"/>
    <w:rsid w:val="00A13425"/>
    <w:rsid w:val="00A1377A"/>
    <w:rsid w:val="00A139A9"/>
    <w:rsid w:val="00A13ACE"/>
    <w:rsid w:val="00A13B2D"/>
    <w:rsid w:val="00A13BBD"/>
    <w:rsid w:val="00A15742"/>
    <w:rsid w:val="00A157D8"/>
    <w:rsid w:val="00A16569"/>
    <w:rsid w:val="00A17114"/>
    <w:rsid w:val="00A20127"/>
    <w:rsid w:val="00A20388"/>
    <w:rsid w:val="00A20A51"/>
    <w:rsid w:val="00A22DEF"/>
    <w:rsid w:val="00A23121"/>
    <w:rsid w:val="00A23A1E"/>
    <w:rsid w:val="00A241B0"/>
    <w:rsid w:val="00A243ED"/>
    <w:rsid w:val="00A24C40"/>
    <w:rsid w:val="00A26286"/>
    <w:rsid w:val="00A266F3"/>
    <w:rsid w:val="00A26783"/>
    <w:rsid w:val="00A26C42"/>
    <w:rsid w:val="00A271F9"/>
    <w:rsid w:val="00A276BF"/>
    <w:rsid w:val="00A27D96"/>
    <w:rsid w:val="00A305F5"/>
    <w:rsid w:val="00A30A89"/>
    <w:rsid w:val="00A3252A"/>
    <w:rsid w:val="00A3264F"/>
    <w:rsid w:val="00A3437C"/>
    <w:rsid w:val="00A353A6"/>
    <w:rsid w:val="00A354BE"/>
    <w:rsid w:val="00A35E58"/>
    <w:rsid w:val="00A36829"/>
    <w:rsid w:val="00A37001"/>
    <w:rsid w:val="00A3756B"/>
    <w:rsid w:val="00A37864"/>
    <w:rsid w:val="00A37EDF"/>
    <w:rsid w:val="00A37EFE"/>
    <w:rsid w:val="00A40280"/>
    <w:rsid w:val="00A404F4"/>
    <w:rsid w:val="00A40DE5"/>
    <w:rsid w:val="00A41346"/>
    <w:rsid w:val="00A42376"/>
    <w:rsid w:val="00A42A7B"/>
    <w:rsid w:val="00A430C0"/>
    <w:rsid w:val="00A43248"/>
    <w:rsid w:val="00A43A87"/>
    <w:rsid w:val="00A43B51"/>
    <w:rsid w:val="00A4416F"/>
    <w:rsid w:val="00A442B1"/>
    <w:rsid w:val="00A44A48"/>
    <w:rsid w:val="00A46B12"/>
    <w:rsid w:val="00A47493"/>
    <w:rsid w:val="00A50787"/>
    <w:rsid w:val="00A50CBE"/>
    <w:rsid w:val="00A52CE3"/>
    <w:rsid w:val="00A53306"/>
    <w:rsid w:val="00A54394"/>
    <w:rsid w:val="00A5456A"/>
    <w:rsid w:val="00A55359"/>
    <w:rsid w:val="00A558DF"/>
    <w:rsid w:val="00A57852"/>
    <w:rsid w:val="00A60743"/>
    <w:rsid w:val="00A6084B"/>
    <w:rsid w:val="00A60B02"/>
    <w:rsid w:val="00A6104F"/>
    <w:rsid w:val="00A618B7"/>
    <w:rsid w:val="00A61E29"/>
    <w:rsid w:val="00A628FF"/>
    <w:rsid w:val="00A6322A"/>
    <w:rsid w:val="00A63753"/>
    <w:rsid w:val="00A63A6C"/>
    <w:rsid w:val="00A642B9"/>
    <w:rsid w:val="00A64516"/>
    <w:rsid w:val="00A645E4"/>
    <w:rsid w:val="00A65568"/>
    <w:rsid w:val="00A65D53"/>
    <w:rsid w:val="00A6662E"/>
    <w:rsid w:val="00A668DB"/>
    <w:rsid w:val="00A66E0D"/>
    <w:rsid w:val="00A671E0"/>
    <w:rsid w:val="00A675B3"/>
    <w:rsid w:val="00A6784C"/>
    <w:rsid w:val="00A67900"/>
    <w:rsid w:val="00A704EF"/>
    <w:rsid w:val="00A70553"/>
    <w:rsid w:val="00A705EA"/>
    <w:rsid w:val="00A710B3"/>
    <w:rsid w:val="00A71BD8"/>
    <w:rsid w:val="00A71C46"/>
    <w:rsid w:val="00A72F57"/>
    <w:rsid w:val="00A737AA"/>
    <w:rsid w:val="00A73A77"/>
    <w:rsid w:val="00A73EB8"/>
    <w:rsid w:val="00A743E8"/>
    <w:rsid w:val="00A74C32"/>
    <w:rsid w:val="00A75480"/>
    <w:rsid w:val="00A756E7"/>
    <w:rsid w:val="00A75B6A"/>
    <w:rsid w:val="00A761E6"/>
    <w:rsid w:val="00A768BF"/>
    <w:rsid w:val="00A771F0"/>
    <w:rsid w:val="00A77A17"/>
    <w:rsid w:val="00A77BF6"/>
    <w:rsid w:val="00A800F3"/>
    <w:rsid w:val="00A8024F"/>
    <w:rsid w:val="00A80D4D"/>
    <w:rsid w:val="00A81A63"/>
    <w:rsid w:val="00A82041"/>
    <w:rsid w:val="00A829AD"/>
    <w:rsid w:val="00A82F17"/>
    <w:rsid w:val="00A83194"/>
    <w:rsid w:val="00A8326C"/>
    <w:rsid w:val="00A83556"/>
    <w:rsid w:val="00A84174"/>
    <w:rsid w:val="00A85052"/>
    <w:rsid w:val="00A8599C"/>
    <w:rsid w:val="00A85AC8"/>
    <w:rsid w:val="00A86644"/>
    <w:rsid w:val="00A86668"/>
    <w:rsid w:val="00A86AF8"/>
    <w:rsid w:val="00A915AC"/>
    <w:rsid w:val="00A92B9C"/>
    <w:rsid w:val="00A93461"/>
    <w:rsid w:val="00A93D24"/>
    <w:rsid w:val="00A94466"/>
    <w:rsid w:val="00A94876"/>
    <w:rsid w:val="00A959C4"/>
    <w:rsid w:val="00A959CD"/>
    <w:rsid w:val="00A96E26"/>
    <w:rsid w:val="00A9792F"/>
    <w:rsid w:val="00AA061C"/>
    <w:rsid w:val="00AA0F52"/>
    <w:rsid w:val="00AA0FCE"/>
    <w:rsid w:val="00AA1824"/>
    <w:rsid w:val="00AA36CD"/>
    <w:rsid w:val="00AA45E0"/>
    <w:rsid w:val="00AA5CFE"/>
    <w:rsid w:val="00AA5E74"/>
    <w:rsid w:val="00AA6305"/>
    <w:rsid w:val="00AA6931"/>
    <w:rsid w:val="00AA6DA5"/>
    <w:rsid w:val="00AA70C2"/>
    <w:rsid w:val="00AA763E"/>
    <w:rsid w:val="00AA767B"/>
    <w:rsid w:val="00AA7893"/>
    <w:rsid w:val="00AA78C5"/>
    <w:rsid w:val="00AA7F78"/>
    <w:rsid w:val="00AB08EB"/>
    <w:rsid w:val="00AB1091"/>
    <w:rsid w:val="00AB126F"/>
    <w:rsid w:val="00AB16D1"/>
    <w:rsid w:val="00AB285C"/>
    <w:rsid w:val="00AB44B2"/>
    <w:rsid w:val="00AB465B"/>
    <w:rsid w:val="00AB4968"/>
    <w:rsid w:val="00AB5021"/>
    <w:rsid w:val="00AB6256"/>
    <w:rsid w:val="00AB71ED"/>
    <w:rsid w:val="00AB768F"/>
    <w:rsid w:val="00AB78E1"/>
    <w:rsid w:val="00AB7FBF"/>
    <w:rsid w:val="00AC0756"/>
    <w:rsid w:val="00AC090B"/>
    <w:rsid w:val="00AC1206"/>
    <w:rsid w:val="00AC1BC6"/>
    <w:rsid w:val="00AC24FD"/>
    <w:rsid w:val="00AC3486"/>
    <w:rsid w:val="00AC3A47"/>
    <w:rsid w:val="00AC503A"/>
    <w:rsid w:val="00AC785F"/>
    <w:rsid w:val="00AC7A24"/>
    <w:rsid w:val="00AC7D2D"/>
    <w:rsid w:val="00AD0375"/>
    <w:rsid w:val="00AD0D61"/>
    <w:rsid w:val="00AD1040"/>
    <w:rsid w:val="00AD1A04"/>
    <w:rsid w:val="00AD2D9A"/>
    <w:rsid w:val="00AD3303"/>
    <w:rsid w:val="00AD5E03"/>
    <w:rsid w:val="00AD653A"/>
    <w:rsid w:val="00AD65A0"/>
    <w:rsid w:val="00AD6BC2"/>
    <w:rsid w:val="00AD76BB"/>
    <w:rsid w:val="00AD7DC9"/>
    <w:rsid w:val="00AE0344"/>
    <w:rsid w:val="00AE0FAC"/>
    <w:rsid w:val="00AE11F3"/>
    <w:rsid w:val="00AE1207"/>
    <w:rsid w:val="00AE16D0"/>
    <w:rsid w:val="00AE2AB5"/>
    <w:rsid w:val="00AE2C2A"/>
    <w:rsid w:val="00AE502F"/>
    <w:rsid w:val="00AE528D"/>
    <w:rsid w:val="00AE5620"/>
    <w:rsid w:val="00AE5D83"/>
    <w:rsid w:val="00AE647F"/>
    <w:rsid w:val="00AE6D9C"/>
    <w:rsid w:val="00AF033E"/>
    <w:rsid w:val="00AF0892"/>
    <w:rsid w:val="00AF167A"/>
    <w:rsid w:val="00AF1EC3"/>
    <w:rsid w:val="00AF2233"/>
    <w:rsid w:val="00AF2B04"/>
    <w:rsid w:val="00AF2CE3"/>
    <w:rsid w:val="00AF2F78"/>
    <w:rsid w:val="00AF3488"/>
    <w:rsid w:val="00AF37ED"/>
    <w:rsid w:val="00AF3CDA"/>
    <w:rsid w:val="00AF3D4D"/>
    <w:rsid w:val="00AF450A"/>
    <w:rsid w:val="00AF46B1"/>
    <w:rsid w:val="00AF4AD0"/>
    <w:rsid w:val="00AF4D65"/>
    <w:rsid w:val="00AF511C"/>
    <w:rsid w:val="00AF5854"/>
    <w:rsid w:val="00AF6F74"/>
    <w:rsid w:val="00AF7221"/>
    <w:rsid w:val="00AF72A2"/>
    <w:rsid w:val="00AF73E0"/>
    <w:rsid w:val="00B003ED"/>
    <w:rsid w:val="00B01365"/>
    <w:rsid w:val="00B01D8F"/>
    <w:rsid w:val="00B02217"/>
    <w:rsid w:val="00B02C75"/>
    <w:rsid w:val="00B02EA4"/>
    <w:rsid w:val="00B02F12"/>
    <w:rsid w:val="00B03218"/>
    <w:rsid w:val="00B034E8"/>
    <w:rsid w:val="00B03627"/>
    <w:rsid w:val="00B0459A"/>
    <w:rsid w:val="00B045AF"/>
    <w:rsid w:val="00B04D15"/>
    <w:rsid w:val="00B04F2B"/>
    <w:rsid w:val="00B05A9E"/>
    <w:rsid w:val="00B06032"/>
    <w:rsid w:val="00B06631"/>
    <w:rsid w:val="00B0697B"/>
    <w:rsid w:val="00B077A6"/>
    <w:rsid w:val="00B07AEF"/>
    <w:rsid w:val="00B101AA"/>
    <w:rsid w:val="00B1025C"/>
    <w:rsid w:val="00B1029E"/>
    <w:rsid w:val="00B1053B"/>
    <w:rsid w:val="00B10B8E"/>
    <w:rsid w:val="00B10C2A"/>
    <w:rsid w:val="00B10D09"/>
    <w:rsid w:val="00B11073"/>
    <w:rsid w:val="00B110A0"/>
    <w:rsid w:val="00B114AD"/>
    <w:rsid w:val="00B120DD"/>
    <w:rsid w:val="00B12D27"/>
    <w:rsid w:val="00B12FB7"/>
    <w:rsid w:val="00B13662"/>
    <w:rsid w:val="00B16C4D"/>
    <w:rsid w:val="00B16E4F"/>
    <w:rsid w:val="00B16ECD"/>
    <w:rsid w:val="00B176CB"/>
    <w:rsid w:val="00B20F9A"/>
    <w:rsid w:val="00B212E2"/>
    <w:rsid w:val="00B212E5"/>
    <w:rsid w:val="00B21998"/>
    <w:rsid w:val="00B224D3"/>
    <w:rsid w:val="00B22510"/>
    <w:rsid w:val="00B226A3"/>
    <w:rsid w:val="00B22B93"/>
    <w:rsid w:val="00B2332A"/>
    <w:rsid w:val="00B242F5"/>
    <w:rsid w:val="00B24529"/>
    <w:rsid w:val="00B27342"/>
    <w:rsid w:val="00B31072"/>
    <w:rsid w:val="00B3119B"/>
    <w:rsid w:val="00B31B5D"/>
    <w:rsid w:val="00B32318"/>
    <w:rsid w:val="00B32713"/>
    <w:rsid w:val="00B328F6"/>
    <w:rsid w:val="00B334D3"/>
    <w:rsid w:val="00B3379B"/>
    <w:rsid w:val="00B3420A"/>
    <w:rsid w:val="00B34A40"/>
    <w:rsid w:val="00B34C25"/>
    <w:rsid w:val="00B34CBA"/>
    <w:rsid w:val="00B35428"/>
    <w:rsid w:val="00B35964"/>
    <w:rsid w:val="00B36B5F"/>
    <w:rsid w:val="00B36E87"/>
    <w:rsid w:val="00B37347"/>
    <w:rsid w:val="00B402C5"/>
    <w:rsid w:val="00B418DF"/>
    <w:rsid w:val="00B41CA4"/>
    <w:rsid w:val="00B4226E"/>
    <w:rsid w:val="00B423C9"/>
    <w:rsid w:val="00B42815"/>
    <w:rsid w:val="00B42C06"/>
    <w:rsid w:val="00B42F3C"/>
    <w:rsid w:val="00B43459"/>
    <w:rsid w:val="00B43C0C"/>
    <w:rsid w:val="00B44565"/>
    <w:rsid w:val="00B44BFF"/>
    <w:rsid w:val="00B467AC"/>
    <w:rsid w:val="00B46C02"/>
    <w:rsid w:val="00B47411"/>
    <w:rsid w:val="00B502CE"/>
    <w:rsid w:val="00B5034C"/>
    <w:rsid w:val="00B503F4"/>
    <w:rsid w:val="00B5041E"/>
    <w:rsid w:val="00B51A72"/>
    <w:rsid w:val="00B51CB8"/>
    <w:rsid w:val="00B52E93"/>
    <w:rsid w:val="00B5460C"/>
    <w:rsid w:val="00B54EE7"/>
    <w:rsid w:val="00B55584"/>
    <w:rsid w:val="00B559BA"/>
    <w:rsid w:val="00B55DCF"/>
    <w:rsid w:val="00B5711E"/>
    <w:rsid w:val="00B57265"/>
    <w:rsid w:val="00B57499"/>
    <w:rsid w:val="00B57E37"/>
    <w:rsid w:val="00B615AA"/>
    <w:rsid w:val="00B620A1"/>
    <w:rsid w:val="00B62CAB"/>
    <w:rsid w:val="00B6374B"/>
    <w:rsid w:val="00B63B7C"/>
    <w:rsid w:val="00B63DBF"/>
    <w:rsid w:val="00B63E4D"/>
    <w:rsid w:val="00B654D2"/>
    <w:rsid w:val="00B67340"/>
    <w:rsid w:val="00B676BD"/>
    <w:rsid w:val="00B700A1"/>
    <w:rsid w:val="00B71235"/>
    <w:rsid w:val="00B72221"/>
    <w:rsid w:val="00B726CF"/>
    <w:rsid w:val="00B73C44"/>
    <w:rsid w:val="00B73D54"/>
    <w:rsid w:val="00B73FF5"/>
    <w:rsid w:val="00B74195"/>
    <w:rsid w:val="00B75697"/>
    <w:rsid w:val="00B75838"/>
    <w:rsid w:val="00B7640D"/>
    <w:rsid w:val="00B76649"/>
    <w:rsid w:val="00B779EB"/>
    <w:rsid w:val="00B77AE7"/>
    <w:rsid w:val="00B77CB4"/>
    <w:rsid w:val="00B77F17"/>
    <w:rsid w:val="00B80195"/>
    <w:rsid w:val="00B8034E"/>
    <w:rsid w:val="00B8039D"/>
    <w:rsid w:val="00B80ED8"/>
    <w:rsid w:val="00B81A24"/>
    <w:rsid w:val="00B81BB0"/>
    <w:rsid w:val="00B82139"/>
    <w:rsid w:val="00B84570"/>
    <w:rsid w:val="00B84B93"/>
    <w:rsid w:val="00B8531F"/>
    <w:rsid w:val="00B85831"/>
    <w:rsid w:val="00B85F91"/>
    <w:rsid w:val="00B86043"/>
    <w:rsid w:val="00B86585"/>
    <w:rsid w:val="00B86CE5"/>
    <w:rsid w:val="00B86EDB"/>
    <w:rsid w:val="00B8738E"/>
    <w:rsid w:val="00B874F5"/>
    <w:rsid w:val="00B87971"/>
    <w:rsid w:val="00B902E2"/>
    <w:rsid w:val="00B90EBA"/>
    <w:rsid w:val="00B91F8C"/>
    <w:rsid w:val="00B92965"/>
    <w:rsid w:val="00B9298C"/>
    <w:rsid w:val="00B930B8"/>
    <w:rsid w:val="00B93528"/>
    <w:rsid w:val="00B938DF"/>
    <w:rsid w:val="00B93E9C"/>
    <w:rsid w:val="00B940D9"/>
    <w:rsid w:val="00B9485C"/>
    <w:rsid w:val="00B9526D"/>
    <w:rsid w:val="00B96701"/>
    <w:rsid w:val="00B9712C"/>
    <w:rsid w:val="00B9721B"/>
    <w:rsid w:val="00B977B5"/>
    <w:rsid w:val="00B978F7"/>
    <w:rsid w:val="00BA09D7"/>
    <w:rsid w:val="00BA1D55"/>
    <w:rsid w:val="00BA2172"/>
    <w:rsid w:val="00BA296A"/>
    <w:rsid w:val="00BA2A7F"/>
    <w:rsid w:val="00BA3155"/>
    <w:rsid w:val="00BA40C0"/>
    <w:rsid w:val="00BA4A1F"/>
    <w:rsid w:val="00BA4FFE"/>
    <w:rsid w:val="00BA5A3A"/>
    <w:rsid w:val="00BA5AB9"/>
    <w:rsid w:val="00BA6203"/>
    <w:rsid w:val="00BA666F"/>
    <w:rsid w:val="00BA7A06"/>
    <w:rsid w:val="00BB0044"/>
    <w:rsid w:val="00BB0172"/>
    <w:rsid w:val="00BB1129"/>
    <w:rsid w:val="00BB1393"/>
    <w:rsid w:val="00BB1925"/>
    <w:rsid w:val="00BB1B57"/>
    <w:rsid w:val="00BB24EE"/>
    <w:rsid w:val="00BB29B5"/>
    <w:rsid w:val="00BB2C18"/>
    <w:rsid w:val="00BB3064"/>
    <w:rsid w:val="00BB309B"/>
    <w:rsid w:val="00BB312A"/>
    <w:rsid w:val="00BB3F66"/>
    <w:rsid w:val="00BB40AD"/>
    <w:rsid w:val="00BB5AED"/>
    <w:rsid w:val="00BB658F"/>
    <w:rsid w:val="00BB6C4C"/>
    <w:rsid w:val="00BC00E3"/>
    <w:rsid w:val="00BC065C"/>
    <w:rsid w:val="00BC0830"/>
    <w:rsid w:val="00BC0B15"/>
    <w:rsid w:val="00BC0FAF"/>
    <w:rsid w:val="00BC1966"/>
    <w:rsid w:val="00BC19C4"/>
    <w:rsid w:val="00BC1F7B"/>
    <w:rsid w:val="00BC2001"/>
    <w:rsid w:val="00BC2945"/>
    <w:rsid w:val="00BC2D5D"/>
    <w:rsid w:val="00BC32DE"/>
    <w:rsid w:val="00BC3826"/>
    <w:rsid w:val="00BC39EC"/>
    <w:rsid w:val="00BC3CDA"/>
    <w:rsid w:val="00BC43F3"/>
    <w:rsid w:val="00BC4651"/>
    <w:rsid w:val="00BC498B"/>
    <w:rsid w:val="00BC5649"/>
    <w:rsid w:val="00BC62E5"/>
    <w:rsid w:val="00BC6D96"/>
    <w:rsid w:val="00BC7508"/>
    <w:rsid w:val="00BC7874"/>
    <w:rsid w:val="00BC7F02"/>
    <w:rsid w:val="00BD1081"/>
    <w:rsid w:val="00BD13A3"/>
    <w:rsid w:val="00BD295B"/>
    <w:rsid w:val="00BD35F9"/>
    <w:rsid w:val="00BD361A"/>
    <w:rsid w:val="00BD36E0"/>
    <w:rsid w:val="00BD4573"/>
    <w:rsid w:val="00BD4F2A"/>
    <w:rsid w:val="00BD52B0"/>
    <w:rsid w:val="00BD54F2"/>
    <w:rsid w:val="00BD566F"/>
    <w:rsid w:val="00BD5A34"/>
    <w:rsid w:val="00BD5F8E"/>
    <w:rsid w:val="00BD6D72"/>
    <w:rsid w:val="00BD71D3"/>
    <w:rsid w:val="00BD7246"/>
    <w:rsid w:val="00BD7576"/>
    <w:rsid w:val="00BE0A23"/>
    <w:rsid w:val="00BE102D"/>
    <w:rsid w:val="00BE27E3"/>
    <w:rsid w:val="00BE2D19"/>
    <w:rsid w:val="00BE3092"/>
    <w:rsid w:val="00BE3462"/>
    <w:rsid w:val="00BE4E13"/>
    <w:rsid w:val="00BE5759"/>
    <w:rsid w:val="00BE57AC"/>
    <w:rsid w:val="00BE63C6"/>
    <w:rsid w:val="00BE67AB"/>
    <w:rsid w:val="00BE7021"/>
    <w:rsid w:val="00BE7C16"/>
    <w:rsid w:val="00BF098F"/>
    <w:rsid w:val="00BF106B"/>
    <w:rsid w:val="00BF1A61"/>
    <w:rsid w:val="00BF1CCB"/>
    <w:rsid w:val="00BF2CD8"/>
    <w:rsid w:val="00BF3BDC"/>
    <w:rsid w:val="00BF61F3"/>
    <w:rsid w:val="00BF71E4"/>
    <w:rsid w:val="00BF769E"/>
    <w:rsid w:val="00BF77C8"/>
    <w:rsid w:val="00BF7FBD"/>
    <w:rsid w:val="00C008C1"/>
    <w:rsid w:val="00C0096F"/>
    <w:rsid w:val="00C009A0"/>
    <w:rsid w:val="00C013C7"/>
    <w:rsid w:val="00C02BFD"/>
    <w:rsid w:val="00C030AE"/>
    <w:rsid w:val="00C03456"/>
    <w:rsid w:val="00C03EF6"/>
    <w:rsid w:val="00C03FE3"/>
    <w:rsid w:val="00C04689"/>
    <w:rsid w:val="00C04F9C"/>
    <w:rsid w:val="00C07091"/>
    <w:rsid w:val="00C071C0"/>
    <w:rsid w:val="00C10863"/>
    <w:rsid w:val="00C10A4C"/>
    <w:rsid w:val="00C120D3"/>
    <w:rsid w:val="00C124A6"/>
    <w:rsid w:val="00C1263A"/>
    <w:rsid w:val="00C136E0"/>
    <w:rsid w:val="00C13A27"/>
    <w:rsid w:val="00C1412F"/>
    <w:rsid w:val="00C1464F"/>
    <w:rsid w:val="00C1472B"/>
    <w:rsid w:val="00C151B3"/>
    <w:rsid w:val="00C15559"/>
    <w:rsid w:val="00C15B8E"/>
    <w:rsid w:val="00C161AD"/>
    <w:rsid w:val="00C174B9"/>
    <w:rsid w:val="00C174C5"/>
    <w:rsid w:val="00C17A39"/>
    <w:rsid w:val="00C200E1"/>
    <w:rsid w:val="00C20ADB"/>
    <w:rsid w:val="00C212AC"/>
    <w:rsid w:val="00C2142B"/>
    <w:rsid w:val="00C21872"/>
    <w:rsid w:val="00C21879"/>
    <w:rsid w:val="00C22EB3"/>
    <w:rsid w:val="00C23547"/>
    <w:rsid w:val="00C24220"/>
    <w:rsid w:val="00C24423"/>
    <w:rsid w:val="00C24A7F"/>
    <w:rsid w:val="00C24CBF"/>
    <w:rsid w:val="00C273F8"/>
    <w:rsid w:val="00C308C5"/>
    <w:rsid w:val="00C30B7E"/>
    <w:rsid w:val="00C30FB5"/>
    <w:rsid w:val="00C312A4"/>
    <w:rsid w:val="00C33810"/>
    <w:rsid w:val="00C34509"/>
    <w:rsid w:val="00C34679"/>
    <w:rsid w:val="00C34B3C"/>
    <w:rsid w:val="00C352E0"/>
    <w:rsid w:val="00C36296"/>
    <w:rsid w:val="00C368A5"/>
    <w:rsid w:val="00C37728"/>
    <w:rsid w:val="00C377B9"/>
    <w:rsid w:val="00C37AFF"/>
    <w:rsid w:val="00C37B0B"/>
    <w:rsid w:val="00C37C0A"/>
    <w:rsid w:val="00C40445"/>
    <w:rsid w:val="00C410D2"/>
    <w:rsid w:val="00C4140D"/>
    <w:rsid w:val="00C414DA"/>
    <w:rsid w:val="00C4223B"/>
    <w:rsid w:val="00C42644"/>
    <w:rsid w:val="00C4299E"/>
    <w:rsid w:val="00C42A6A"/>
    <w:rsid w:val="00C431F7"/>
    <w:rsid w:val="00C43573"/>
    <w:rsid w:val="00C44A9F"/>
    <w:rsid w:val="00C44E63"/>
    <w:rsid w:val="00C4550F"/>
    <w:rsid w:val="00C4590B"/>
    <w:rsid w:val="00C465E3"/>
    <w:rsid w:val="00C46CA9"/>
    <w:rsid w:val="00C46E90"/>
    <w:rsid w:val="00C47291"/>
    <w:rsid w:val="00C50353"/>
    <w:rsid w:val="00C50359"/>
    <w:rsid w:val="00C50558"/>
    <w:rsid w:val="00C50B3B"/>
    <w:rsid w:val="00C51286"/>
    <w:rsid w:val="00C51413"/>
    <w:rsid w:val="00C5193F"/>
    <w:rsid w:val="00C53377"/>
    <w:rsid w:val="00C536F5"/>
    <w:rsid w:val="00C5372C"/>
    <w:rsid w:val="00C54297"/>
    <w:rsid w:val="00C548DA"/>
    <w:rsid w:val="00C56480"/>
    <w:rsid w:val="00C56EA4"/>
    <w:rsid w:val="00C57503"/>
    <w:rsid w:val="00C5794C"/>
    <w:rsid w:val="00C605F2"/>
    <w:rsid w:val="00C60A62"/>
    <w:rsid w:val="00C61558"/>
    <w:rsid w:val="00C622C9"/>
    <w:rsid w:val="00C62354"/>
    <w:rsid w:val="00C629FD"/>
    <w:rsid w:val="00C62D9C"/>
    <w:rsid w:val="00C62E1F"/>
    <w:rsid w:val="00C633CA"/>
    <w:rsid w:val="00C63534"/>
    <w:rsid w:val="00C63F90"/>
    <w:rsid w:val="00C64446"/>
    <w:rsid w:val="00C647DA"/>
    <w:rsid w:val="00C65153"/>
    <w:rsid w:val="00C651E6"/>
    <w:rsid w:val="00C65704"/>
    <w:rsid w:val="00C65827"/>
    <w:rsid w:val="00C65F12"/>
    <w:rsid w:val="00C665D3"/>
    <w:rsid w:val="00C66B10"/>
    <w:rsid w:val="00C67FE1"/>
    <w:rsid w:val="00C7275F"/>
    <w:rsid w:val="00C73314"/>
    <w:rsid w:val="00C734D6"/>
    <w:rsid w:val="00C738B7"/>
    <w:rsid w:val="00C73CE7"/>
    <w:rsid w:val="00C73F41"/>
    <w:rsid w:val="00C74554"/>
    <w:rsid w:val="00C7462B"/>
    <w:rsid w:val="00C74FDF"/>
    <w:rsid w:val="00C763C0"/>
    <w:rsid w:val="00C763CD"/>
    <w:rsid w:val="00C763FD"/>
    <w:rsid w:val="00C7689F"/>
    <w:rsid w:val="00C76BC4"/>
    <w:rsid w:val="00C76DF9"/>
    <w:rsid w:val="00C77652"/>
    <w:rsid w:val="00C77D9B"/>
    <w:rsid w:val="00C809D3"/>
    <w:rsid w:val="00C8212D"/>
    <w:rsid w:val="00C83136"/>
    <w:rsid w:val="00C84ABA"/>
    <w:rsid w:val="00C85D0E"/>
    <w:rsid w:val="00C85F22"/>
    <w:rsid w:val="00C868C8"/>
    <w:rsid w:val="00C873C2"/>
    <w:rsid w:val="00C877DC"/>
    <w:rsid w:val="00C87F22"/>
    <w:rsid w:val="00C90429"/>
    <w:rsid w:val="00C904F0"/>
    <w:rsid w:val="00C926D9"/>
    <w:rsid w:val="00C9304E"/>
    <w:rsid w:val="00C93D69"/>
    <w:rsid w:val="00C94163"/>
    <w:rsid w:val="00C9421E"/>
    <w:rsid w:val="00C95C16"/>
    <w:rsid w:val="00C96B2A"/>
    <w:rsid w:val="00C97A00"/>
    <w:rsid w:val="00C97B7C"/>
    <w:rsid w:val="00CA0060"/>
    <w:rsid w:val="00CA03F0"/>
    <w:rsid w:val="00CA1016"/>
    <w:rsid w:val="00CA119D"/>
    <w:rsid w:val="00CA18D6"/>
    <w:rsid w:val="00CA2866"/>
    <w:rsid w:val="00CA343D"/>
    <w:rsid w:val="00CA43CD"/>
    <w:rsid w:val="00CA4C47"/>
    <w:rsid w:val="00CA4C5B"/>
    <w:rsid w:val="00CA5AD2"/>
    <w:rsid w:val="00CA5F0A"/>
    <w:rsid w:val="00CA6ABD"/>
    <w:rsid w:val="00CA6DED"/>
    <w:rsid w:val="00CB00A4"/>
    <w:rsid w:val="00CB0F4E"/>
    <w:rsid w:val="00CB1612"/>
    <w:rsid w:val="00CB2300"/>
    <w:rsid w:val="00CB3286"/>
    <w:rsid w:val="00CB4E12"/>
    <w:rsid w:val="00CB5632"/>
    <w:rsid w:val="00CB6E00"/>
    <w:rsid w:val="00CB6E4F"/>
    <w:rsid w:val="00CB767F"/>
    <w:rsid w:val="00CC035F"/>
    <w:rsid w:val="00CC19F3"/>
    <w:rsid w:val="00CC1A7D"/>
    <w:rsid w:val="00CC2841"/>
    <w:rsid w:val="00CC2BEA"/>
    <w:rsid w:val="00CC3391"/>
    <w:rsid w:val="00CC3581"/>
    <w:rsid w:val="00CC3769"/>
    <w:rsid w:val="00CC4E83"/>
    <w:rsid w:val="00CC54F8"/>
    <w:rsid w:val="00CC5B32"/>
    <w:rsid w:val="00CC6BB4"/>
    <w:rsid w:val="00CC7D51"/>
    <w:rsid w:val="00CC7E78"/>
    <w:rsid w:val="00CD0B68"/>
    <w:rsid w:val="00CD0BE4"/>
    <w:rsid w:val="00CD1054"/>
    <w:rsid w:val="00CD1156"/>
    <w:rsid w:val="00CD2DF8"/>
    <w:rsid w:val="00CD3501"/>
    <w:rsid w:val="00CD398E"/>
    <w:rsid w:val="00CD4254"/>
    <w:rsid w:val="00CD436A"/>
    <w:rsid w:val="00CD47A4"/>
    <w:rsid w:val="00CD54C6"/>
    <w:rsid w:val="00CD5542"/>
    <w:rsid w:val="00CD570A"/>
    <w:rsid w:val="00CD59F3"/>
    <w:rsid w:val="00CD678E"/>
    <w:rsid w:val="00CD77B1"/>
    <w:rsid w:val="00CD7A20"/>
    <w:rsid w:val="00CD7A46"/>
    <w:rsid w:val="00CE06F0"/>
    <w:rsid w:val="00CE1F92"/>
    <w:rsid w:val="00CE33B8"/>
    <w:rsid w:val="00CE354B"/>
    <w:rsid w:val="00CE44FA"/>
    <w:rsid w:val="00CE52A3"/>
    <w:rsid w:val="00CE52A8"/>
    <w:rsid w:val="00CE5499"/>
    <w:rsid w:val="00CE5E8C"/>
    <w:rsid w:val="00CE6FE2"/>
    <w:rsid w:val="00CE79C7"/>
    <w:rsid w:val="00CE7B0D"/>
    <w:rsid w:val="00CE7B92"/>
    <w:rsid w:val="00CF005F"/>
    <w:rsid w:val="00CF0218"/>
    <w:rsid w:val="00CF0647"/>
    <w:rsid w:val="00CF151C"/>
    <w:rsid w:val="00CF16EE"/>
    <w:rsid w:val="00CF1E32"/>
    <w:rsid w:val="00CF1F97"/>
    <w:rsid w:val="00CF4309"/>
    <w:rsid w:val="00CF4D4A"/>
    <w:rsid w:val="00CF6485"/>
    <w:rsid w:val="00CF64A5"/>
    <w:rsid w:val="00CF6DFC"/>
    <w:rsid w:val="00CF733F"/>
    <w:rsid w:val="00CF73DF"/>
    <w:rsid w:val="00CF7766"/>
    <w:rsid w:val="00D0058D"/>
    <w:rsid w:val="00D0082C"/>
    <w:rsid w:val="00D0253C"/>
    <w:rsid w:val="00D0338E"/>
    <w:rsid w:val="00D037EB"/>
    <w:rsid w:val="00D04140"/>
    <w:rsid w:val="00D047F2"/>
    <w:rsid w:val="00D059CE"/>
    <w:rsid w:val="00D05A07"/>
    <w:rsid w:val="00D0615F"/>
    <w:rsid w:val="00D075C1"/>
    <w:rsid w:val="00D07F77"/>
    <w:rsid w:val="00D109BD"/>
    <w:rsid w:val="00D119E6"/>
    <w:rsid w:val="00D11AAA"/>
    <w:rsid w:val="00D11C8D"/>
    <w:rsid w:val="00D13FCB"/>
    <w:rsid w:val="00D14089"/>
    <w:rsid w:val="00D14135"/>
    <w:rsid w:val="00D1436B"/>
    <w:rsid w:val="00D1505D"/>
    <w:rsid w:val="00D1506F"/>
    <w:rsid w:val="00D150FE"/>
    <w:rsid w:val="00D1518E"/>
    <w:rsid w:val="00D1536D"/>
    <w:rsid w:val="00D1649F"/>
    <w:rsid w:val="00D16ACE"/>
    <w:rsid w:val="00D16B11"/>
    <w:rsid w:val="00D16C5A"/>
    <w:rsid w:val="00D17121"/>
    <w:rsid w:val="00D172EC"/>
    <w:rsid w:val="00D174C9"/>
    <w:rsid w:val="00D17BC9"/>
    <w:rsid w:val="00D207FF"/>
    <w:rsid w:val="00D20BC0"/>
    <w:rsid w:val="00D21B02"/>
    <w:rsid w:val="00D22DFC"/>
    <w:rsid w:val="00D2320B"/>
    <w:rsid w:val="00D25572"/>
    <w:rsid w:val="00D27782"/>
    <w:rsid w:val="00D27C98"/>
    <w:rsid w:val="00D30343"/>
    <w:rsid w:val="00D3045F"/>
    <w:rsid w:val="00D305CB"/>
    <w:rsid w:val="00D305EF"/>
    <w:rsid w:val="00D34384"/>
    <w:rsid w:val="00D36AF5"/>
    <w:rsid w:val="00D377E1"/>
    <w:rsid w:val="00D405F9"/>
    <w:rsid w:val="00D40B5D"/>
    <w:rsid w:val="00D422F8"/>
    <w:rsid w:val="00D42440"/>
    <w:rsid w:val="00D4256D"/>
    <w:rsid w:val="00D42773"/>
    <w:rsid w:val="00D4281F"/>
    <w:rsid w:val="00D42CF7"/>
    <w:rsid w:val="00D42D6D"/>
    <w:rsid w:val="00D43D71"/>
    <w:rsid w:val="00D44C70"/>
    <w:rsid w:val="00D44F1C"/>
    <w:rsid w:val="00D4505D"/>
    <w:rsid w:val="00D4530D"/>
    <w:rsid w:val="00D45FAA"/>
    <w:rsid w:val="00D4714D"/>
    <w:rsid w:val="00D478AA"/>
    <w:rsid w:val="00D500B5"/>
    <w:rsid w:val="00D5153F"/>
    <w:rsid w:val="00D51969"/>
    <w:rsid w:val="00D522A0"/>
    <w:rsid w:val="00D535F5"/>
    <w:rsid w:val="00D54330"/>
    <w:rsid w:val="00D551FD"/>
    <w:rsid w:val="00D55AF0"/>
    <w:rsid w:val="00D55D89"/>
    <w:rsid w:val="00D55EE7"/>
    <w:rsid w:val="00D566FB"/>
    <w:rsid w:val="00D567D3"/>
    <w:rsid w:val="00D569F4"/>
    <w:rsid w:val="00D573B2"/>
    <w:rsid w:val="00D57994"/>
    <w:rsid w:val="00D6037B"/>
    <w:rsid w:val="00D607B8"/>
    <w:rsid w:val="00D60849"/>
    <w:rsid w:val="00D620FB"/>
    <w:rsid w:val="00D624D5"/>
    <w:rsid w:val="00D624E0"/>
    <w:rsid w:val="00D62515"/>
    <w:rsid w:val="00D6280B"/>
    <w:rsid w:val="00D629B7"/>
    <w:rsid w:val="00D62ACB"/>
    <w:rsid w:val="00D62B71"/>
    <w:rsid w:val="00D6335E"/>
    <w:rsid w:val="00D6343E"/>
    <w:rsid w:val="00D63459"/>
    <w:rsid w:val="00D63CAA"/>
    <w:rsid w:val="00D63F09"/>
    <w:rsid w:val="00D64899"/>
    <w:rsid w:val="00D64A76"/>
    <w:rsid w:val="00D64F37"/>
    <w:rsid w:val="00D657EC"/>
    <w:rsid w:val="00D65D52"/>
    <w:rsid w:val="00D664AA"/>
    <w:rsid w:val="00D675EB"/>
    <w:rsid w:val="00D677F0"/>
    <w:rsid w:val="00D67E62"/>
    <w:rsid w:val="00D70208"/>
    <w:rsid w:val="00D70A1D"/>
    <w:rsid w:val="00D70E04"/>
    <w:rsid w:val="00D71EBF"/>
    <w:rsid w:val="00D71F2F"/>
    <w:rsid w:val="00D72178"/>
    <w:rsid w:val="00D72332"/>
    <w:rsid w:val="00D7285F"/>
    <w:rsid w:val="00D740BA"/>
    <w:rsid w:val="00D745EF"/>
    <w:rsid w:val="00D74975"/>
    <w:rsid w:val="00D7533C"/>
    <w:rsid w:val="00D758BE"/>
    <w:rsid w:val="00D76431"/>
    <w:rsid w:val="00D77024"/>
    <w:rsid w:val="00D7735F"/>
    <w:rsid w:val="00D7744C"/>
    <w:rsid w:val="00D77816"/>
    <w:rsid w:val="00D77FC5"/>
    <w:rsid w:val="00D805FF"/>
    <w:rsid w:val="00D80957"/>
    <w:rsid w:val="00D80D43"/>
    <w:rsid w:val="00D80EB9"/>
    <w:rsid w:val="00D80EE1"/>
    <w:rsid w:val="00D834A4"/>
    <w:rsid w:val="00D83784"/>
    <w:rsid w:val="00D83F56"/>
    <w:rsid w:val="00D842C0"/>
    <w:rsid w:val="00D8437E"/>
    <w:rsid w:val="00D8562E"/>
    <w:rsid w:val="00D860EC"/>
    <w:rsid w:val="00D86B5A"/>
    <w:rsid w:val="00D86FD4"/>
    <w:rsid w:val="00D90399"/>
    <w:rsid w:val="00D9083A"/>
    <w:rsid w:val="00D910ED"/>
    <w:rsid w:val="00D91EC7"/>
    <w:rsid w:val="00D94612"/>
    <w:rsid w:val="00D94A50"/>
    <w:rsid w:val="00D94B79"/>
    <w:rsid w:val="00D94F33"/>
    <w:rsid w:val="00D95AAB"/>
    <w:rsid w:val="00D95B74"/>
    <w:rsid w:val="00D96572"/>
    <w:rsid w:val="00D97080"/>
    <w:rsid w:val="00D9750B"/>
    <w:rsid w:val="00DA0293"/>
    <w:rsid w:val="00DA0BCD"/>
    <w:rsid w:val="00DA0DA0"/>
    <w:rsid w:val="00DA1182"/>
    <w:rsid w:val="00DA13C8"/>
    <w:rsid w:val="00DA1580"/>
    <w:rsid w:val="00DA1879"/>
    <w:rsid w:val="00DA19E9"/>
    <w:rsid w:val="00DA1E0D"/>
    <w:rsid w:val="00DA4462"/>
    <w:rsid w:val="00DA498F"/>
    <w:rsid w:val="00DA5039"/>
    <w:rsid w:val="00DA55D2"/>
    <w:rsid w:val="00DA5661"/>
    <w:rsid w:val="00DA56AF"/>
    <w:rsid w:val="00DA56EB"/>
    <w:rsid w:val="00DA589D"/>
    <w:rsid w:val="00DA60D0"/>
    <w:rsid w:val="00DA624E"/>
    <w:rsid w:val="00DA6D15"/>
    <w:rsid w:val="00DA7015"/>
    <w:rsid w:val="00DA769E"/>
    <w:rsid w:val="00DA76C2"/>
    <w:rsid w:val="00DB05F7"/>
    <w:rsid w:val="00DB0AFA"/>
    <w:rsid w:val="00DB0DB3"/>
    <w:rsid w:val="00DB188D"/>
    <w:rsid w:val="00DB2223"/>
    <w:rsid w:val="00DB2780"/>
    <w:rsid w:val="00DB48F6"/>
    <w:rsid w:val="00DB55CF"/>
    <w:rsid w:val="00DB67A9"/>
    <w:rsid w:val="00DB6973"/>
    <w:rsid w:val="00DB6EED"/>
    <w:rsid w:val="00DB71B2"/>
    <w:rsid w:val="00DB7396"/>
    <w:rsid w:val="00DC0E2B"/>
    <w:rsid w:val="00DC2237"/>
    <w:rsid w:val="00DC2453"/>
    <w:rsid w:val="00DC285C"/>
    <w:rsid w:val="00DC2BC7"/>
    <w:rsid w:val="00DC3943"/>
    <w:rsid w:val="00DC4E15"/>
    <w:rsid w:val="00DC6317"/>
    <w:rsid w:val="00DC6C27"/>
    <w:rsid w:val="00DC6C2F"/>
    <w:rsid w:val="00DD148E"/>
    <w:rsid w:val="00DD1A4A"/>
    <w:rsid w:val="00DD1C30"/>
    <w:rsid w:val="00DD21AF"/>
    <w:rsid w:val="00DD282C"/>
    <w:rsid w:val="00DD2F28"/>
    <w:rsid w:val="00DD3480"/>
    <w:rsid w:val="00DD3515"/>
    <w:rsid w:val="00DD400A"/>
    <w:rsid w:val="00DD46F0"/>
    <w:rsid w:val="00DD47F2"/>
    <w:rsid w:val="00DD499F"/>
    <w:rsid w:val="00DD4BC0"/>
    <w:rsid w:val="00DD50A0"/>
    <w:rsid w:val="00DD674E"/>
    <w:rsid w:val="00DD6EF9"/>
    <w:rsid w:val="00DD7498"/>
    <w:rsid w:val="00DE004B"/>
    <w:rsid w:val="00DE0A5C"/>
    <w:rsid w:val="00DE1E69"/>
    <w:rsid w:val="00DE1E87"/>
    <w:rsid w:val="00DE29C2"/>
    <w:rsid w:val="00DE2FF4"/>
    <w:rsid w:val="00DE3ABC"/>
    <w:rsid w:val="00DE3CFA"/>
    <w:rsid w:val="00DE3F65"/>
    <w:rsid w:val="00DE4025"/>
    <w:rsid w:val="00DE418A"/>
    <w:rsid w:val="00DE464F"/>
    <w:rsid w:val="00DE4689"/>
    <w:rsid w:val="00DE513A"/>
    <w:rsid w:val="00DE53A3"/>
    <w:rsid w:val="00DE5A11"/>
    <w:rsid w:val="00DE6563"/>
    <w:rsid w:val="00DE766F"/>
    <w:rsid w:val="00DF0492"/>
    <w:rsid w:val="00DF06CA"/>
    <w:rsid w:val="00DF23DD"/>
    <w:rsid w:val="00DF26B0"/>
    <w:rsid w:val="00DF296C"/>
    <w:rsid w:val="00DF2FEC"/>
    <w:rsid w:val="00DF3B7C"/>
    <w:rsid w:val="00DF44DA"/>
    <w:rsid w:val="00DF46D1"/>
    <w:rsid w:val="00DF4BDA"/>
    <w:rsid w:val="00DF5973"/>
    <w:rsid w:val="00DF5AD8"/>
    <w:rsid w:val="00E00834"/>
    <w:rsid w:val="00E00EDB"/>
    <w:rsid w:val="00E0113F"/>
    <w:rsid w:val="00E01FF4"/>
    <w:rsid w:val="00E02097"/>
    <w:rsid w:val="00E026F1"/>
    <w:rsid w:val="00E02777"/>
    <w:rsid w:val="00E027D5"/>
    <w:rsid w:val="00E03AEF"/>
    <w:rsid w:val="00E04380"/>
    <w:rsid w:val="00E044FC"/>
    <w:rsid w:val="00E04572"/>
    <w:rsid w:val="00E04FAD"/>
    <w:rsid w:val="00E05258"/>
    <w:rsid w:val="00E06407"/>
    <w:rsid w:val="00E070FA"/>
    <w:rsid w:val="00E07A6E"/>
    <w:rsid w:val="00E100B6"/>
    <w:rsid w:val="00E10E89"/>
    <w:rsid w:val="00E10F58"/>
    <w:rsid w:val="00E10FE0"/>
    <w:rsid w:val="00E11478"/>
    <w:rsid w:val="00E117C3"/>
    <w:rsid w:val="00E12163"/>
    <w:rsid w:val="00E1265B"/>
    <w:rsid w:val="00E12AF0"/>
    <w:rsid w:val="00E12EC1"/>
    <w:rsid w:val="00E13D89"/>
    <w:rsid w:val="00E145C2"/>
    <w:rsid w:val="00E152E4"/>
    <w:rsid w:val="00E157AC"/>
    <w:rsid w:val="00E15A41"/>
    <w:rsid w:val="00E16726"/>
    <w:rsid w:val="00E1685E"/>
    <w:rsid w:val="00E20183"/>
    <w:rsid w:val="00E20257"/>
    <w:rsid w:val="00E227A3"/>
    <w:rsid w:val="00E229D9"/>
    <w:rsid w:val="00E23532"/>
    <w:rsid w:val="00E23598"/>
    <w:rsid w:val="00E23C28"/>
    <w:rsid w:val="00E23D48"/>
    <w:rsid w:val="00E24119"/>
    <w:rsid w:val="00E26AAA"/>
    <w:rsid w:val="00E273E8"/>
    <w:rsid w:val="00E2792A"/>
    <w:rsid w:val="00E31D6F"/>
    <w:rsid w:val="00E31EF2"/>
    <w:rsid w:val="00E324E4"/>
    <w:rsid w:val="00E3287B"/>
    <w:rsid w:val="00E33785"/>
    <w:rsid w:val="00E338FF"/>
    <w:rsid w:val="00E33CDB"/>
    <w:rsid w:val="00E33D03"/>
    <w:rsid w:val="00E34B76"/>
    <w:rsid w:val="00E34EB5"/>
    <w:rsid w:val="00E355D9"/>
    <w:rsid w:val="00E3584A"/>
    <w:rsid w:val="00E35879"/>
    <w:rsid w:val="00E35D9C"/>
    <w:rsid w:val="00E367E4"/>
    <w:rsid w:val="00E37572"/>
    <w:rsid w:val="00E375C9"/>
    <w:rsid w:val="00E37603"/>
    <w:rsid w:val="00E376E4"/>
    <w:rsid w:val="00E403D3"/>
    <w:rsid w:val="00E40907"/>
    <w:rsid w:val="00E411A0"/>
    <w:rsid w:val="00E4252A"/>
    <w:rsid w:val="00E42CA2"/>
    <w:rsid w:val="00E42D1A"/>
    <w:rsid w:val="00E43199"/>
    <w:rsid w:val="00E4349C"/>
    <w:rsid w:val="00E434C2"/>
    <w:rsid w:val="00E43AB1"/>
    <w:rsid w:val="00E44996"/>
    <w:rsid w:val="00E44C6B"/>
    <w:rsid w:val="00E455AA"/>
    <w:rsid w:val="00E45EDF"/>
    <w:rsid w:val="00E4644C"/>
    <w:rsid w:val="00E46846"/>
    <w:rsid w:val="00E47F2B"/>
    <w:rsid w:val="00E500C6"/>
    <w:rsid w:val="00E50BC1"/>
    <w:rsid w:val="00E51440"/>
    <w:rsid w:val="00E51634"/>
    <w:rsid w:val="00E53164"/>
    <w:rsid w:val="00E54B20"/>
    <w:rsid w:val="00E54C4B"/>
    <w:rsid w:val="00E54ED7"/>
    <w:rsid w:val="00E550E5"/>
    <w:rsid w:val="00E556A7"/>
    <w:rsid w:val="00E56A65"/>
    <w:rsid w:val="00E56ED7"/>
    <w:rsid w:val="00E570A4"/>
    <w:rsid w:val="00E570B5"/>
    <w:rsid w:val="00E570B9"/>
    <w:rsid w:val="00E57BD8"/>
    <w:rsid w:val="00E57C19"/>
    <w:rsid w:val="00E603A6"/>
    <w:rsid w:val="00E604EF"/>
    <w:rsid w:val="00E61565"/>
    <w:rsid w:val="00E61691"/>
    <w:rsid w:val="00E61ED6"/>
    <w:rsid w:val="00E62107"/>
    <w:rsid w:val="00E63052"/>
    <w:rsid w:val="00E6307C"/>
    <w:rsid w:val="00E631AF"/>
    <w:rsid w:val="00E63309"/>
    <w:rsid w:val="00E6367B"/>
    <w:rsid w:val="00E640D5"/>
    <w:rsid w:val="00E6514B"/>
    <w:rsid w:val="00E65399"/>
    <w:rsid w:val="00E65712"/>
    <w:rsid w:val="00E658F8"/>
    <w:rsid w:val="00E6622D"/>
    <w:rsid w:val="00E66B25"/>
    <w:rsid w:val="00E66CE9"/>
    <w:rsid w:val="00E6718D"/>
    <w:rsid w:val="00E67A3E"/>
    <w:rsid w:val="00E67B37"/>
    <w:rsid w:val="00E7076C"/>
    <w:rsid w:val="00E70A2A"/>
    <w:rsid w:val="00E70DD3"/>
    <w:rsid w:val="00E70FC3"/>
    <w:rsid w:val="00E70FE7"/>
    <w:rsid w:val="00E716C3"/>
    <w:rsid w:val="00E7235C"/>
    <w:rsid w:val="00E72548"/>
    <w:rsid w:val="00E72A55"/>
    <w:rsid w:val="00E73D5B"/>
    <w:rsid w:val="00E74D74"/>
    <w:rsid w:val="00E75518"/>
    <w:rsid w:val="00E75D51"/>
    <w:rsid w:val="00E76569"/>
    <w:rsid w:val="00E768E2"/>
    <w:rsid w:val="00E769D0"/>
    <w:rsid w:val="00E77116"/>
    <w:rsid w:val="00E776B4"/>
    <w:rsid w:val="00E77EFA"/>
    <w:rsid w:val="00E808BA"/>
    <w:rsid w:val="00E80D50"/>
    <w:rsid w:val="00E816C1"/>
    <w:rsid w:val="00E818BA"/>
    <w:rsid w:val="00E81A0F"/>
    <w:rsid w:val="00E82D2F"/>
    <w:rsid w:val="00E85117"/>
    <w:rsid w:val="00E856C7"/>
    <w:rsid w:val="00E8582A"/>
    <w:rsid w:val="00E86276"/>
    <w:rsid w:val="00E86940"/>
    <w:rsid w:val="00E86A90"/>
    <w:rsid w:val="00E86B2C"/>
    <w:rsid w:val="00E91223"/>
    <w:rsid w:val="00E912F7"/>
    <w:rsid w:val="00E92790"/>
    <w:rsid w:val="00E93FAA"/>
    <w:rsid w:val="00E95260"/>
    <w:rsid w:val="00E96026"/>
    <w:rsid w:val="00E96128"/>
    <w:rsid w:val="00E97005"/>
    <w:rsid w:val="00E97C73"/>
    <w:rsid w:val="00E97DCD"/>
    <w:rsid w:val="00EA0469"/>
    <w:rsid w:val="00EA09EB"/>
    <w:rsid w:val="00EA1EE9"/>
    <w:rsid w:val="00EA2A97"/>
    <w:rsid w:val="00EA3E08"/>
    <w:rsid w:val="00EA3EE2"/>
    <w:rsid w:val="00EA4F2A"/>
    <w:rsid w:val="00EA5301"/>
    <w:rsid w:val="00EA63B4"/>
    <w:rsid w:val="00EA6833"/>
    <w:rsid w:val="00EA783D"/>
    <w:rsid w:val="00EB0692"/>
    <w:rsid w:val="00EB0BA3"/>
    <w:rsid w:val="00EB0EE9"/>
    <w:rsid w:val="00EB1397"/>
    <w:rsid w:val="00EB2126"/>
    <w:rsid w:val="00EB2907"/>
    <w:rsid w:val="00EB2F82"/>
    <w:rsid w:val="00EB33F6"/>
    <w:rsid w:val="00EB3657"/>
    <w:rsid w:val="00EB4301"/>
    <w:rsid w:val="00EB437A"/>
    <w:rsid w:val="00EB521E"/>
    <w:rsid w:val="00EB57F9"/>
    <w:rsid w:val="00EB5A81"/>
    <w:rsid w:val="00EB65D9"/>
    <w:rsid w:val="00EB6D62"/>
    <w:rsid w:val="00EC02C2"/>
    <w:rsid w:val="00EC0621"/>
    <w:rsid w:val="00EC0AFB"/>
    <w:rsid w:val="00EC113F"/>
    <w:rsid w:val="00EC12C8"/>
    <w:rsid w:val="00EC16AE"/>
    <w:rsid w:val="00EC1FB8"/>
    <w:rsid w:val="00EC210F"/>
    <w:rsid w:val="00EC21A3"/>
    <w:rsid w:val="00EC2418"/>
    <w:rsid w:val="00EC26FC"/>
    <w:rsid w:val="00EC2B7A"/>
    <w:rsid w:val="00EC31EC"/>
    <w:rsid w:val="00EC33DE"/>
    <w:rsid w:val="00EC352C"/>
    <w:rsid w:val="00EC3720"/>
    <w:rsid w:val="00EC4CCB"/>
    <w:rsid w:val="00EC4D92"/>
    <w:rsid w:val="00EC51EE"/>
    <w:rsid w:val="00EC5875"/>
    <w:rsid w:val="00EC6A54"/>
    <w:rsid w:val="00EC7DFC"/>
    <w:rsid w:val="00EC7FB7"/>
    <w:rsid w:val="00ED02B7"/>
    <w:rsid w:val="00ED042A"/>
    <w:rsid w:val="00ED0A81"/>
    <w:rsid w:val="00ED1342"/>
    <w:rsid w:val="00ED1A42"/>
    <w:rsid w:val="00ED1C0B"/>
    <w:rsid w:val="00ED22F4"/>
    <w:rsid w:val="00ED26CD"/>
    <w:rsid w:val="00ED3036"/>
    <w:rsid w:val="00ED3091"/>
    <w:rsid w:val="00ED3C48"/>
    <w:rsid w:val="00ED4E73"/>
    <w:rsid w:val="00ED5A87"/>
    <w:rsid w:val="00ED5BB3"/>
    <w:rsid w:val="00ED6C56"/>
    <w:rsid w:val="00ED70E7"/>
    <w:rsid w:val="00ED773D"/>
    <w:rsid w:val="00EE02E1"/>
    <w:rsid w:val="00EE04FB"/>
    <w:rsid w:val="00EE0DA9"/>
    <w:rsid w:val="00EE15AF"/>
    <w:rsid w:val="00EE1CC6"/>
    <w:rsid w:val="00EE243D"/>
    <w:rsid w:val="00EE261A"/>
    <w:rsid w:val="00EE27B1"/>
    <w:rsid w:val="00EE2A3F"/>
    <w:rsid w:val="00EE3CFF"/>
    <w:rsid w:val="00EE42BF"/>
    <w:rsid w:val="00EE6363"/>
    <w:rsid w:val="00EE677C"/>
    <w:rsid w:val="00EE6B81"/>
    <w:rsid w:val="00EE6E1B"/>
    <w:rsid w:val="00EE7B2A"/>
    <w:rsid w:val="00EE7F5D"/>
    <w:rsid w:val="00EF0135"/>
    <w:rsid w:val="00EF097B"/>
    <w:rsid w:val="00EF0D30"/>
    <w:rsid w:val="00EF1553"/>
    <w:rsid w:val="00EF3559"/>
    <w:rsid w:val="00EF4D72"/>
    <w:rsid w:val="00EF4D98"/>
    <w:rsid w:val="00EF55DC"/>
    <w:rsid w:val="00EF6083"/>
    <w:rsid w:val="00EF6AC1"/>
    <w:rsid w:val="00EF6DDE"/>
    <w:rsid w:val="00EF7146"/>
    <w:rsid w:val="00EF7387"/>
    <w:rsid w:val="00EF740D"/>
    <w:rsid w:val="00EF7795"/>
    <w:rsid w:val="00EF77B8"/>
    <w:rsid w:val="00F000D2"/>
    <w:rsid w:val="00F00D89"/>
    <w:rsid w:val="00F00DBA"/>
    <w:rsid w:val="00F01E42"/>
    <w:rsid w:val="00F01EAF"/>
    <w:rsid w:val="00F024FF"/>
    <w:rsid w:val="00F02AB9"/>
    <w:rsid w:val="00F03C95"/>
    <w:rsid w:val="00F05010"/>
    <w:rsid w:val="00F05A6E"/>
    <w:rsid w:val="00F068EF"/>
    <w:rsid w:val="00F069EA"/>
    <w:rsid w:val="00F06B1D"/>
    <w:rsid w:val="00F10133"/>
    <w:rsid w:val="00F10A8B"/>
    <w:rsid w:val="00F10F76"/>
    <w:rsid w:val="00F11A62"/>
    <w:rsid w:val="00F11EA4"/>
    <w:rsid w:val="00F12DA8"/>
    <w:rsid w:val="00F13CF3"/>
    <w:rsid w:val="00F15788"/>
    <w:rsid w:val="00F15F40"/>
    <w:rsid w:val="00F16763"/>
    <w:rsid w:val="00F16918"/>
    <w:rsid w:val="00F17FF3"/>
    <w:rsid w:val="00F20996"/>
    <w:rsid w:val="00F20CAA"/>
    <w:rsid w:val="00F2124B"/>
    <w:rsid w:val="00F212BD"/>
    <w:rsid w:val="00F21967"/>
    <w:rsid w:val="00F21B13"/>
    <w:rsid w:val="00F232D0"/>
    <w:rsid w:val="00F23A6F"/>
    <w:rsid w:val="00F24288"/>
    <w:rsid w:val="00F24466"/>
    <w:rsid w:val="00F24707"/>
    <w:rsid w:val="00F25432"/>
    <w:rsid w:val="00F25F7A"/>
    <w:rsid w:val="00F26335"/>
    <w:rsid w:val="00F26676"/>
    <w:rsid w:val="00F269F6"/>
    <w:rsid w:val="00F26AC4"/>
    <w:rsid w:val="00F276BB"/>
    <w:rsid w:val="00F27742"/>
    <w:rsid w:val="00F309E2"/>
    <w:rsid w:val="00F30B07"/>
    <w:rsid w:val="00F30E3C"/>
    <w:rsid w:val="00F3136D"/>
    <w:rsid w:val="00F31485"/>
    <w:rsid w:val="00F3223D"/>
    <w:rsid w:val="00F33059"/>
    <w:rsid w:val="00F33951"/>
    <w:rsid w:val="00F33982"/>
    <w:rsid w:val="00F3400C"/>
    <w:rsid w:val="00F34FF5"/>
    <w:rsid w:val="00F3523D"/>
    <w:rsid w:val="00F35249"/>
    <w:rsid w:val="00F3537D"/>
    <w:rsid w:val="00F35B3B"/>
    <w:rsid w:val="00F35F59"/>
    <w:rsid w:val="00F35FFD"/>
    <w:rsid w:val="00F362F8"/>
    <w:rsid w:val="00F3696A"/>
    <w:rsid w:val="00F36C27"/>
    <w:rsid w:val="00F36F54"/>
    <w:rsid w:val="00F377F4"/>
    <w:rsid w:val="00F379F2"/>
    <w:rsid w:val="00F37CC4"/>
    <w:rsid w:val="00F40855"/>
    <w:rsid w:val="00F40D9C"/>
    <w:rsid w:val="00F4119A"/>
    <w:rsid w:val="00F4162C"/>
    <w:rsid w:val="00F43034"/>
    <w:rsid w:val="00F43B60"/>
    <w:rsid w:val="00F44289"/>
    <w:rsid w:val="00F44659"/>
    <w:rsid w:val="00F45D83"/>
    <w:rsid w:val="00F46AC1"/>
    <w:rsid w:val="00F46B0E"/>
    <w:rsid w:val="00F46EA8"/>
    <w:rsid w:val="00F47DF1"/>
    <w:rsid w:val="00F50F1D"/>
    <w:rsid w:val="00F51542"/>
    <w:rsid w:val="00F5178A"/>
    <w:rsid w:val="00F51D66"/>
    <w:rsid w:val="00F52136"/>
    <w:rsid w:val="00F5262C"/>
    <w:rsid w:val="00F53FB9"/>
    <w:rsid w:val="00F546E2"/>
    <w:rsid w:val="00F55936"/>
    <w:rsid w:val="00F55B57"/>
    <w:rsid w:val="00F569D0"/>
    <w:rsid w:val="00F6030F"/>
    <w:rsid w:val="00F618B9"/>
    <w:rsid w:val="00F61C58"/>
    <w:rsid w:val="00F63211"/>
    <w:rsid w:val="00F63339"/>
    <w:rsid w:val="00F63FFE"/>
    <w:rsid w:val="00F6552F"/>
    <w:rsid w:val="00F65D06"/>
    <w:rsid w:val="00F6700E"/>
    <w:rsid w:val="00F678B0"/>
    <w:rsid w:val="00F67F6A"/>
    <w:rsid w:val="00F710A2"/>
    <w:rsid w:val="00F71C75"/>
    <w:rsid w:val="00F71EED"/>
    <w:rsid w:val="00F724B2"/>
    <w:rsid w:val="00F72A0B"/>
    <w:rsid w:val="00F72CFB"/>
    <w:rsid w:val="00F72EF6"/>
    <w:rsid w:val="00F731FE"/>
    <w:rsid w:val="00F73DA7"/>
    <w:rsid w:val="00F73DF7"/>
    <w:rsid w:val="00F74977"/>
    <w:rsid w:val="00F74A3D"/>
    <w:rsid w:val="00F75049"/>
    <w:rsid w:val="00F75827"/>
    <w:rsid w:val="00F761BA"/>
    <w:rsid w:val="00F77901"/>
    <w:rsid w:val="00F812FA"/>
    <w:rsid w:val="00F81CE0"/>
    <w:rsid w:val="00F8241A"/>
    <w:rsid w:val="00F829A4"/>
    <w:rsid w:val="00F83D14"/>
    <w:rsid w:val="00F843C2"/>
    <w:rsid w:val="00F84D21"/>
    <w:rsid w:val="00F85D3F"/>
    <w:rsid w:val="00F87164"/>
    <w:rsid w:val="00F875C6"/>
    <w:rsid w:val="00F87980"/>
    <w:rsid w:val="00F93375"/>
    <w:rsid w:val="00F93388"/>
    <w:rsid w:val="00F93825"/>
    <w:rsid w:val="00F94821"/>
    <w:rsid w:val="00F94B01"/>
    <w:rsid w:val="00F94C1D"/>
    <w:rsid w:val="00F959DA"/>
    <w:rsid w:val="00F97148"/>
    <w:rsid w:val="00F97ACA"/>
    <w:rsid w:val="00F97BAC"/>
    <w:rsid w:val="00FA00C7"/>
    <w:rsid w:val="00FA072F"/>
    <w:rsid w:val="00FA144E"/>
    <w:rsid w:val="00FA1537"/>
    <w:rsid w:val="00FA25CE"/>
    <w:rsid w:val="00FA2C1C"/>
    <w:rsid w:val="00FA4E8F"/>
    <w:rsid w:val="00FA5185"/>
    <w:rsid w:val="00FA53E9"/>
    <w:rsid w:val="00FA65EB"/>
    <w:rsid w:val="00FA6727"/>
    <w:rsid w:val="00FA6A25"/>
    <w:rsid w:val="00FA7721"/>
    <w:rsid w:val="00FA7E8F"/>
    <w:rsid w:val="00FA7F34"/>
    <w:rsid w:val="00FB036A"/>
    <w:rsid w:val="00FB2D7C"/>
    <w:rsid w:val="00FB34E0"/>
    <w:rsid w:val="00FB3B04"/>
    <w:rsid w:val="00FB3E17"/>
    <w:rsid w:val="00FB3E93"/>
    <w:rsid w:val="00FB5334"/>
    <w:rsid w:val="00FB5D0E"/>
    <w:rsid w:val="00FB6085"/>
    <w:rsid w:val="00FB60A8"/>
    <w:rsid w:val="00FB6198"/>
    <w:rsid w:val="00FB656C"/>
    <w:rsid w:val="00FB6A78"/>
    <w:rsid w:val="00FB77B5"/>
    <w:rsid w:val="00FB7F42"/>
    <w:rsid w:val="00FC06F8"/>
    <w:rsid w:val="00FC085B"/>
    <w:rsid w:val="00FC085E"/>
    <w:rsid w:val="00FC0B3D"/>
    <w:rsid w:val="00FC0B8E"/>
    <w:rsid w:val="00FC0BB5"/>
    <w:rsid w:val="00FC101C"/>
    <w:rsid w:val="00FC1140"/>
    <w:rsid w:val="00FC18BC"/>
    <w:rsid w:val="00FC233D"/>
    <w:rsid w:val="00FC2F12"/>
    <w:rsid w:val="00FC2F8D"/>
    <w:rsid w:val="00FC356D"/>
    <w:rsid w:val="00FC3DA4"/>
    <w:rsid w:val="00FC4D4C"/>
    <w:rsid w:val="00FC5094"/>
    <w:rsid w:val="00FC53FF"/>
    <w:rsid w:val="00FC591E"/>
    <w:rsid w:val="00FC6251"/>
    <w:rsid w:val="00FC6825"/>
    <w:rsid w:val="00FC6D52"/>
    <w:rsid w:val="00FD1339"/>
    <w:rsid w:val="00FD1C98"/>
    <w:rsid w:val="00FD1DE5"/>
    <w:rsid w:val="00FD3DD4"/>
    <w:rsid w:val="00FD4495"/>
    <w:rsid w:val="00FD4CE6"/>
    <w:rsid w:val="00FD55FE"/>
    <w:rsid w:val="00FD5901"/>
    <w:rsid w:val="00FD5AFA"/>
    <w:rsid w:val="00FD63B7"/>
    <w:rsid w:val="00FD647B"/>
    <w:rsid w:val="00FD6969"/>
    <w:rsid w:val="00FD6FC3"/>
    <w:rsid w:val="00FD721E"/>
    <w:rsid w:val="00FD72BD"/>
    <w:rsid w:val="00FD7637"/>
    <w:rsid w:val="00FD76E9"/>
    <w:rsid w:val="00FD7A07"/>
    <w:rsid w:val="00FE03F6"/>
    <w:rsid w:val="00FE0AEF"/>
    <w:rsid w:val="00FE0D35"/>
    <w:rsid w:val="00FE1A0C"/>
    <w:rsid w:val="00FE1CEA"/>
    <w:rsid w:val="00FE2349"/>
    <w:rsid w:val="00FE27E6"/>
    <w:rsid w:val="00FE2A3F"/>
    <w:rsid w:val="00FE2FAF"/>
    <w:rsid w:val="00FE4066"/>
    <w:rsid w:val="00FE4A23"/>
    <w:rsid w:val="00FE52A1"/>
    <w:rsid w:val="00FE52A8"/>
    <w:rsid w:val="00FE55E1"/>
    <w:rsid w:val="00FE5B00"/>
    <w:rsid w:val="00FE687D"/>
    <w:rsid w:val="00FE6889"/>
    <w:rsid w:val="00FE7109"/>
    <w:rsid w:val="00FE7188"/>
    <w:rsid w:val="00FE7489"/>
    <w:rsid w:val="00FE7FAF"/>
    <w:rsid w:val="00FF032A"/>
    <w:rsid w:val="00FF062F"/>
    <w:rsid w:val="00FF094D"/>
    <w:rsid w:val="00FF1106"/>
    <w:rsid w:val="00FF12A1"/>
    <w:rsid w:val="00FF1405"/>
    <w:rsid w:val="00FF1885"/>
    <w:rsid w:val="00FF18C1"/>
    <w:rsid w:val="00FF2FDA"/>
    <w:rsid w:val="00FF51BA"/>
    <w:rsid w:val="00FF5457"/>
    <w:rsid w:val="00FF618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7"/>
    <w:pPr>
      <w:spacing w:after="40"/>
      <w:jc w:val="both"/>
    </w:pPr>
    <w:rPr>
      <w:sz w:val="24"/>
      <w:szCs w:val="24"/>
      <w:lang w:val="en-US" w:eastAsia="en-US"/>
    </w:rPr>
  </w:style>
  <w:style w:type="paragraph" w:styleId="Heading4">
    <w:name w:val="heading 4"/>
    <w:basedOn w:val="Normal"/>
    <w:next w:val="Normal"/>
    <w:link w:val="Heading4Char"/>
    <w:uiPriority w:val="99"/>
    <w:qFormat/>
    <w:locked/>
    <w:rsid w:val="007F4D72"/>
    <w:pPr>
      <w:keepNext/>
      <w:tabs>
        <w:tab w:val="left" w:pos="684"/>
        <w:tab w:val="left" w:pos="1134"/>
        <w:tab w:val="decimal" w:pos="7524"/>
        <w:tab w:val="decimal" w:pos="9576"/>
      </w:tabs>
      <w:suppressAutoHyphens/>
      <w:outlineLvl w:val="3"/>
    </w:pPr>
    <w:rPr>
      <w:rFonts w:ascii="Arial" w:hAnsi="Arial"/>
      <w:spacing w:val="-2"/>
      <w:szCs w:val="20"/>
      <w:lang w:val="en-GB" w:eastAsia="en-IE"/>
    </w:rPr>
  </w:style>
  <w:style w:type="paragraph" w:styleId="Heading6">
    <w:name w:val="heading 6"/>
    <w:basedOn w:val="Normal"/>
    <w:next w:val="Normal"/>
    <w:link w:val="Heading6Char"/>
    <w:uiPriority w:val="99"/>
    <w:qFormat/>
    <w:locked/>
    <w:rsid w:val="007F4D72"/>
    <w:pPr>
      <w:keepNext/>
      <w:outlineLvl w:val="5"/>
    </w:pPr>
    <w:rPr>
      <w:rFonts w:ascii="Arial" w:hAnsi="Arial"/>
      <w:b/>
      <w:color w:val="00000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F4D72"/>
    <w:rPr>
      <w:rFonts w:ascii="Arial" w:hAnsi="Arial" w:cs="Times New Roman"/>
      <w:spacing w:val="-2"/>
      <w:sz w:val="24"/>
      <w:lang w:val="en-GB" w:eastAsia="en-IE"/>
    </w:rPr>
  </w:style>
  <w:style w:type="character" w:customStyle="1" w:styleId="Heading6Char">
    <w:name w:val="Heading 6 Char"/>
    <w:basedOn w:val="DefaultParagraphFont"/>
    <w:link w:val="Heading6"/>
    <w:uiPriority w:val="99"/>
    <w:locked/>
    <w:rsid w:val="007F4D72"/>
    <w:rPr>
      <w:rFonts w:ascii="Arial" w:hAnsi="Arial" w:cs="Times New Roman"/>
      <w:b/>
      <w:snapToGrid w:val="0"/>
      <w:color w:val="000000"/>
      <w:sz w:val="22"/>
    </w:rPr>
  </w:style>
  <w:style w:type="paragraph" w:styleId="BalloonText">
    <w:name w:val="Balloon Text"/>
    <w:basedOn w:val="Normal"/>
    <w:link w:val="BalloonTextChar"/>
    <w:uiPriority w:val="99"/>
    <w:semiHidden/>
    <w:rsid w:val="00FD44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3E9"/>
    <w:rPr>
      <w:rFonts w:cs="Times New Roman"/>
      <w:sz w:val="2"/>
    </w:rPr>
  </w:style>
  <w:style w:type="character" w:styleId="Hyperlink">
    <w:name w:val="Hyperlink"/>
    <w:basedOn w:val="DefaultParagraphFont"/>
    <w:uiPriority w:val="99"/>
    <w:rsid w:val="00130B37"/>
    <w:rPr>
      <w:rFonts w:cs="Times New Roman"/>
      <w:color w:val="0000FF"/>
      <w:u w:val="single"/>
    </w:rPr>
  </w:style>
  <w:style w:type="paragraph" w:styleId="Header">
    <w:name w:val="header"/>
    <w:basedOn w:val="Normal"/>
    <w:link w:val="HeaderChar"/>
    <w:uiPriority w:val="99"/>
    <w:rsid w:val="000C0925"/>
    <w:pPr>
      <w:tabs>
        <w:tab w:val="center" w:pos="4320"/>
        <w:tab w:val="right" w:pos="8640"/>
      </w:tabs>
    </w:pPr>
  </w:style>
  <w:style w:type="character" w:customStyle="1" w:styleId="HeaderChar">
    <w:name w:val="Header Char"/>
    <w:basedOn w:val="DefaultParagraphFont"/>
    <w:link w:val="Header"/>
    <w:uiPriority w:val="99"/>
    <w:semiHidden/>
    <w:locked/>
    <w:rsid w:val="00FA53E9"/>
    <w:rPr>
      <w:rFonts w:cs="Times New Roman"/>
      <w:sz w:val="24"/>
      <w:szCs w:val="24"/>
    </w:rPr>
  </w:style>
  <w:style w:type="paragraph" w:styleId="Footer">
    <w:name w:val="footer"/>
    <w:basedOn w:val="Normal"/>
    <w:link w:val="FooterChar"/>
    <w:uiPriority w:val="99"/>
    <w:rsid w:val="000C0925"/>
    <w:pPr>
      <w:tabs>
        <w:tab w:val="center" w:pos="4320"/>
        <w:tab w:val="right" w:pos="8640"/>
      </w:tabs>
    </w:pPr>
  </w:style>
  <w:style w:type="character" w:customStyle="1" w:styleId="FooterChar">
    <w:name w:val="Footer Char"/>
    <w:basedOn w:val="DefaultParagraphFont"/>
    <w:link w:val="Footer"/>
    <w:uiPriority w:val="99"/>
    <w:semiHidden/>
    <w:locked/>
    <w:rsid w:val="00FA53E9"/>
    <w:rPr>
      <w:rFonts w:cs="Times New Roman"/>
      <w:sz w:val="24"/>
      <w:szCs w:val="24"/>
    </w:rPr>
  </w:style>
  <w:style w:type="table" w:styleId="TableGrid">
    <w:name w:val="Table Grid"/>
    <w:basedOn w:val="TableNormal"/>
    <w:uiPriority w:val="99"/>
    <w:rsid w:val="008B73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B73A0"/>
    <w:rPr>
      <w:rFonts w:cs="Times New Roman"/>
    </w:rPr>
  </w:style>
  <w:style w:type="paragraph" w:styleId="FootnoteText">
    <w:name w:val="footnote text"/>
    <w:basedOn w:val="Normal"/>
    <w:link w:val="FootnoteTextChar"/>
    <w:uiPriority w:val="99"/>
    <w:rsid w:val="00B74195"/>
    <w:rPr>
      <w:sz w:val="20"/>
      <w:szCs w:val="20"/>
    </w:rPr>
  </w:style>
  <w:style w:type="character" w:customStyle="1" w:styleId="FootnoteTextChar">
    <w:name w:val="Footnote Text Char"/>
    <w:basedOn w:val="DefaultParagraphFont"/>
    <w:link w:val="FootnoteText"/>
    <w:uiPriority w:val="99"/>
    <w:locked/>
    <w:rsid w:val="0009195B"/>
    <w:rPr>
      <w:rFonts w:cs="Times New Roman"/>
    </w:rPr>
  </w:style>
  <w:style w:type="character" w:styleId="FootnoteReference">
    <w:name w:val="footnote reference"/>
    <w:basedOn w:val="DefaultParagraphFont"/>
    <w:uiPriority w:val="99"/>
    <w:rsid w:val="00B74195"/>
    <w:rPr>
      <w:rFonts w:cs="Times New Roman"/>
      <w:vertAlign w:val="superscript"/>
    </w:rPr>
  </w:style>
  <w:style w:type="character" w:customStyle="1" w:styleId="font11b1">
    <w:name w:val="font11b1"/>
    <w:basedOn w:val="DefaultParagraphFont"/>
    <w:uiPriority w:val="99"/>
    <w:rsid w:val="00B940D9"/>
    <w:rPr>
      <w:rFonts w:ascii="Arial" w:hAnsi="Arial" w:cs="Arial"/>
      <w:b/>
      <w:bCs/>
      <w:sz w:val="22"/>
      <w:szCs w:val="22"/>
    </w:rPr>
  </w:style>
  <w:style w:type="paragraph" w:styleId="DocumentMap">
    <w:name w:val="Document Map"/>
    <w:basedOn w:val="Normal"/>
    <w:link w:val="DocumentMapChar"/>
    <w:uiPriority w:val="99"/>
    <w:semiHidden/>
    <w:rsid w:val="008451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53E9"/>
    <w:rPr>
      <w:rFonts w:cs="Times New Roman"/>
      <w:sz w:val="2"/>
    </w:rPr>
  </w:style>
  <w:style w:type="paragraph" w:styleId="EndnoteText">
    <w:name w:val="endnote text"/>
    <w:basedOn w:val="Normal"/>
    <w:link w:val="EndnoteTextChar"/>
    <w:uiPriority w:val="99"/>
    <w:rsid w:val="00ED0A81"/>
    <w:rPr>
      <w:rFonts w:ascii="Gill Sans MT" w:hAnsi="Gill Sans MT"/>
      <w:sz w:val="20"/>
      <w:szCs w:val="20"/>
    </w:rPr>
  </w:style>
  <w:style w:type="character" w:customStyle="1" w:styleId="EndnoteTextChar">
    <w:name w:val="Endnote Text Char"/>
    <w:basedOn w:val="DefaultParagraphFont"/>
    <w:link w:val="EndnoteText"/>
    <w:uiPriority w:val="99"/>
    <w:locked/>
    <w:rsid w:val="00ED0A81"/>
    <w:rPr>
      <w:rFonts w:ascii="Gill Sans MT" w:hAnsi="Gill Sans MT" w:cs="Times New Roman"/>
    </w:rPr>
  </w:style>
  <w:style w:type="character" w:styleId="EndnoteReference">
    <w:name w:val="endnote reference"/>
    <w:basedOn w:val="DefaultParagraphFont"/>
    <w:uiPriority w:val="99"/>
    <w:rsid w:val="00FC6D52"/>
    <w:rPr>
      <w:rFonts w:cs="Times New Roman"/>
      <w:vertAlign w:val="superscript"/>
    </w:rPr>
  </w:style>
  <w:style w:type="paragraph" w:styleId="ListParagraph">
    <w:name w:val="List Paragraph"/>
    <w:basedOn w:val="Normal"/>
    <w:uiPriority w:val="99"/>
    <w:qFormat/>
    <w:rsid w:val="002A1B5D"/>
    <w:pPr>
      <w:ind w:left="720"/>
      <w:contextualSpacing/>
    </w:pPr>
  </w:style>
  <w:style w:type="character" w:customStyle="1" w:styleId="CharChar2">
    <w:name w:val="Char Char2"/>
    <w:basedOn w:val="DefaultParagraphFont"/>
    <w:uiPriority w:val="99"/>
    <w:semiHidden/>
    <w:locked/>
    <w:rsid w:val="00437566"/>
    <w:rPr>
      <w:rFonts w:ascii="Gill Sans MT" w:hAnsi="Gill Sans MT" w:cs="Times New Roman"/>
      <w:lang w:val="en-US" w:eastAsia="en-US" w:bidi="ar-SA"/>
    </w:rPr>
  </w:style>
  <w:style w:type="character" w:styleId="Strong">
    <w:name w:val="Strong"/>
    <w:basedOn w:val="DefaultParagraphFont"/>
    <w:uiPriority w:val="99"/>
    <w:qFormat/>
    <w:locked/>
    <w:rsid w:val="00AA061C"/>
    <w:rPr>
      <w:rFonts w:cs="Times New Roman"/>
      <w:b/>
      <w:bCs/>
    </w:rPr>
  </w:style>
  <w:style w:type="character" w:customStyle="1" w:styleId="Technical2">
    <w:name w:val="Technical 2"/>
    <w:basedOn w:val="DefaultParagraphFont"/>
    <w:uiPriority w:val="99"/>
    <w:rsid w:val="007F4D72"/>
    <w:rPr>
      <w:rFonts w:ascii="Courier New" w:hAnsi="Courier New" w:cs="Times New Roman"/>
      <w:sz w:val="20"/>
      <w:lang w:val="en-US"/>
    </w:rPr>
  </w:style>
  <w:style w:type="paragraph" w:styleId="BlockText">
    <w:name w:val="Block Text"/>
    <w:basedOn w:val="Normal"/>
    <w:uiPriority w:val="99"/>
    <w:rsid w:val="007F4D72"/>
    <w:pPr>
      <w:suppressAutoHyphens/>
      <w:ind w:left="684" w:right="15" w:hanging="684"/>
    </w:pPr>
    <w:rPr>
      <w:rFonts w:ascii="Arial" w:hAnsi="Arial"/>
      <w:b/>
      <w:szCs w:val="20"/>
      <w:lang w:val="en-GB" w:eastAsia="en-IE"/>
    </w:rPr>
  </w:style>
  <w:style w:type="paragraph" w:customStyle="1" w:styleId="Accountstext">
    <w:name w:val="Accounts text"/>
    <w:basedOn w:val="Normal"/>
    <w:uiPriority w:val="99"/>
    <w:rsid w:val="007F4D72"/>
    <w:rPr>
      <w:rFonts w:ascii="Times" w:hAnsi="Times"/>
      <w:noProof/>
      <w:sz w:val="22"/>
      <w:szCs w:val="20"/>
      <w:lang w:val="en-GB" w:eastAsia="en-IE"/>
    </w:rPr>
  </w:style>
  <w:style w:type="paragraph" w:customStyle="1" w:styleId="BodytextChar3">
    <w:name w:val="Body text Char3"/>
    <w:uiPriority w:val="99"/>
    <w:rsid w:val="007F4D72"/>
    <w:pPr>
      <w:tabs>
        <w:tab w:val="left" w:pos="397"/>
      </w:tabs>
      <w:autoSpaceDE w:val="0"/>
      <w:autoSpaceDN w:val="0"/>
      <w:adjustRightInd w:val="0"/>
      <w:spacing w:after="40" w:line="260" w:lineRule="atLeast"/>
      <w:jc w:val="both"/>
    </w:pPr>
    <w:rPr>
      <w:rFonts w:ascii="Univers 45 Light" w:hAnsi="Univers 45 Light" w:cs="Univers 45 Light"/>
      <w:color w:val="000000"/>
      <w:sz w:val="20"/>
      <w:szCs w:val="20"/>
      <w:lang w:val="en-NZ" w:eastAsia="en-NZ"/>
    </w:rPr>
  </w:style>
  <w:style w:type="character" w:styleId="CommentReference">
    <w:name w:val="annotation reference"/>
    <w:basedOn w:val="DefaultParagraphFont"/>
    <w:uiPriority w:val="99"/>
    <w:semiHidden/>
    <w:rsid w:val="003848DA"/>
    <w:rPr>
      <w:rFonts w:cs="Times New Roman"/>
      <w:sz w:val="16"/>
      <w:szCs w:val="16"/>
    </w:rPr>
  </w:style>
  <w:style w:type="paragraph" w:styleId="CommentText">
    <w:name w:val="annotation text"/>
    <w:basedOn w:val="Normal"/>
    <w:link w:val="CommentTextChar"/>
    <w:uiPriority w:val="99"/>
    <w:semiHidden/>
    <w:rsid w:val="003848DA"/>
    <w:rPr>
      <w:sz w:val="20"/>
      <w:szCs w:val="20"/>
    </w:rPr>
  </w:style>
  <w:style w:type="character" w:customStyle="1" w:styleId="CommentTextChar">
    <w:name w:val="Comment Text Char"/>
    <w:basedOn w:val="DefaultParagraphFont"/>
    <w:link w:val="CommentText"/>
    <w:uiPriority w:val="99"/>
    <w:semiHidden/>
    <w:locked/>
    <w:rsid w:val="003848DA"/>
    <w:rPr>
      <w:rFonts w:cs="Times New Roman"/>
    </w:rPr>
  </w:style>
  <w:style w:type="paragraph" w:styleId="CommentSubject">
    <w:name w:val="annotation subject"/>
    <w:basedOn w:val="CommentText"/>
    <w:next w:val="CommentText"/>
    <w:link w:val="CommentSubjectChar"/>
    <w:uiPriority w:val="99"/>
    <w:semiHidden/>
    <w:rsid w:val="003848DA"/>
    <w:rPr>
      <w:b/>
      <w:bCs/>
    </w:rPr>
  </w:style>
  <w:style w:type="character" w:customStyle="1" w:styleId="CommentSubjectChar">
    <w:name w:val="Comment Subject Char"/>
    <w:basedOn w:val="CommentTextChar"/>
    <w:link w:val="CommentSubject"/>
    <w:uiPriority w:val="99"/>
    <w:semiHidden/>
    <w:locked/>
    <w:rsid w:val="003848DA"/>
    <w:rPr>
      <w:b/>
      <w:bCs/>
    </w:rPr>
  </w:style>
  <w:style w:type="paragraph" w:customStyle="1" w:styleId="Default">
    <w:name w:val="Default"/>
    <w:uiPriority w:val="99"/>
    <w:rsid w:val="00CB4E12"/>
    <w:pPr>
      <w:autoSpaceDE w:val="0"/>
      <w:autoSpaceDN w:val="0"/>
      <w:adjustRightInd w:val="0"/>
    </w:pPr>
    <w:rPr>
      <w:rFonts w:ascii="Gill Sans MT" w:hAnsi="Gill Sans MT" w:cs="Gill Sans MT"/>
      <w:color w:val="000000"/>
      <w:sz w:val="24"/>
      <w:szCs w:val="24"/>
      <w:lang w:val="en-US" w:eastAsia="en-US"/>
    </w:rPr>
  </w:style>
  <w:style w:type="character" w:styleId="Emphasis">
    <w:name w:val="Emphasis"/>
    <w:basedOn w:val="DefaultParagraphFont"/>
    <w:uiPriority w:val="99"/>
    <w:qFormat/>
    <w:locked/>
    <w:rsid w:val="00356E85"/>
    <w:rPr>
      <w:rFonts w:cs="Times New Roman"/>
      <w:i/>
      <w:iCs/>
    </w:rPr>
  </w:style>
  <w:style w:type="character" w:styleId="FollowedHyperlink">
    <w:name w:val="FollowedHyperlink"/>
    <w:basedOn w:val="DefaultParagraphFont"/>
    <w:uiPriority w:val="99"/>
    <w:semiHidden/>
    <w:rsid w:val="00334C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500770">
      <w:marLeft w:val="0"/>
      <w:marRight w:val="0"/>
      <w:marTop w:val="0"/>
      <w:marBottom w:val="0"/>
      <w:divBdr>
        <w:top w:val="none" w:sz="0" w:space="0" w:color="auto"/>
        <w:left w:val="none" w:sz="0" w:space="0" w:color="auto"/>
        <w:bottom w:val="none" w:sz="0" w:space="0" w:color="auto"/>
        <w:right w:val="none" w:sz="0" w:space="0" w:color="auto"/>
      </w:divBdr>
    </w:div>
    <w:div w:id="84500771">
      <w:marLeft w:val="0"/>
      <w:marRight w:val="0"/>
      <w:marTop w:val="0"/>
      <w:marBottom w:val="0"/>
      <w:divBdr>
        <w:top w:val="none" w:sz="0" w:space="0" w:color="auto"/>
        <w:left w:val="none" w:sz="0" w:space="0" w:color="auto"/>
        <w:bottom w:val="none" w:sz="0" w:space="0" w:color="auto"/>
        <w:right w:val="none" w:sz="0" w:space="0" w:color="auto"/>
      </w:divBdr>
    </w:div>
    <w:div w:id="84500772">
      <w:marLeft w:val="0"/>
      <w:marRight w:val="0"/>
      <w:marTop w:val="0"/>
      <w:marBottom w:val="0"/>
      <w:divBdr>
        <w:top w:val="none" w:sz="0" w:space="0" w:color="auto"/>
        <w:left w:val="none" w:sz="0" w:space="0" w:color="auto"/>
        <w:bottom w:val="none" w:sz="0" w:space="0" w:color="auto"/>
        <w:right w:val="none" w:sz="0" w:space="0" w:color="auto"/>
      </w:divBdr>
      <w:divsChild>
        <w:div w:id="84500773">
          <w:marLeft w:val="0"/>
          <w:marRight w:val="0"/>
          <w:marTop w:val="0"/>
          <w:marBottom w:val="0"/>
          <w:divBdr>
            <w:top w:val="none" w:sz="0" w:space="0" w:color="auto"/>
            <w:left w:val="none" w:sz="0" w:space="0" w:color="auto"/>
            <w:bottom w:val="none" w:sz="0" w:space="0" w:color="auto"/>
            <w:right w:val="none" w:sz="0" w:space="0" w:color="auto"/>
          </w:divBdr>
          <w:divsChild>
            <w:div w:id="845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0774">
      <w:marLeft w:val="0"/>
      <w:marRight w:val="0"/>
      <w:marTop w:val="0"/>
      <w:marBottom w:val="0"/>
      <w:divBdr>
        <w:top w:val="none" w:sz="0" w:space="0" w:color="auto"/>
        <w:left w:val="none" w:sz="0" w:space="0" w:color="auto"/>
        <w:bottom w:val="none" w:sz="0" w:space="0" w:color="auto"/>
        <w:right w:val="none" w:sz="0" w:space="0" w:color="auto"/>
      </w:divBdr>
    </w:div>
    <w:div w:id="84500775">
      <w:marLeft w:val="0"/>
      <w:marRight w:val="0"/>
      <w:marTop w:val="0"/>
      <w:marBottom w:val="0"/>
      <w:divBdr>
        <w:top w:val="none" w:sz="0" w:space="0" w:color="auto"/>
        <w:left w:val="none" w:sz="0" w:space="0" w:color="auto"/>
        <w:bottom w:val="none" w:sz="0" w:space="0" w:color="auto"/>
        <w:right w:val="none" w:sz="0" w:space="0" w:color="auto"/>
      </w:divBdr>
    </w:div>
    <w:div w:id="84500776">
      <w:marLeft w:val="0"/>
      <w:marRight w:val="0"/>
      <w:marTop w:val="0"/>
      <w:marBottom w:val="0"/>
      <w:divBdr>
        <w:top w:val="none" w:sz="0" w:space="0" w:color="auto"/>
        <w:left w:val="none" w:sz="0" w:space="0" w:color="auto"/>
        <w:bottom w:val="none" w:sz="0" w:space="0" w:color="auto"/>
        <w:right w:val="none" w:sz="0" w:space="0" w:color="auto"/>
      </w:divBdr>
    </w:div>
    <w:div w:id="84500777">
      <w:marLeft w:val="0"/>
      <w:marRight w:val="0"/>
      <w:marTop w:val="0"/>
      <w:marBottom w:val="0"/>
      <w:divBdr>
        <w:top w:val="none" w:sz="0" w:space="0" w:color="auto"/>
        <w:left w:val="none" w:sz="0" w:space="0" w:color="auto"/>
        <w:bottom w:val="none" w:sz="0" w:space="0" w:color="auto"/>
        <w:right w:val="none" w:sz="0" w:space="0" w:color="auto"/>
      </w:divBdr>
    </w:div>
    <w:div w:id="84500778">
      <w:marLeft w:val="0"/>
      <w:marRight w:val="0"/>
      <w:marTop w:val="0"/>
      <w:marBottom w:val="0"/>
      <w:divBdr>
        <w:top w:val="none" w:sz="0" w:space="0" w:color="auto"/>
        <w:left w:val="none" w:sz="0" w:space="0" w:color="auto"/>
        <w:bottom w:val="none" w:sz="0" w:space="0" w:color="auto"/>
        <w:right w:val="none" w:sz="0" w:space="0" w:color="auto"/>
      </w:divBdr>
    </w:div>
    <w:div w:id="84500779">
      <w:marLeft w:val="0"/>
      <w:marRight w:val="0"/>
      <w:marTop w:val="0"/>
      <w:marBottom w:val="0"/>
      <w:divBdr>
        <w:top w:val="none" w:sz="0" w:space="0" w:color="auto"/>
        <w:left w:val="none" w:sz="0" w:space="0" w:color="auto"/>
        <w:bottom w:val="none" w:sz="0" w:space="0" w:color="auto"/>
        <w:right w:val="none" w:sz="0" w:space="0" w:color="auto"/>
      </w:divBdr>
    </w:div>
    <w:div w:id="84500780">
      <w:marLeft w:val="0"/>
      <w:marRight w:val="0"/>
      <w:marTop w:val="0"/>
      <w:marBottom w:val="0"/>
      <w:divBdr>
        <w:top w:val="none" w:sz="0" w:space="0" w:color="auto"/>
        <w:left w:val="none" w:sz="0" w:space="0" w:color="auto"/>
        <w:bottom w:val="none" w:sz="0" w:space="0" w:color="auto"/>
        <w:right w:val="none" w:sz="0" w:space="0" w:color="auto"/>
      </w:divBdr>
    </w:div>
    <w:div w:id="84500781">
      <w:marLeft w:val="0"/>
      <w:marRight w:val="0"/>
      <w:marTop w:val="0"/>
      <w:marBottom w:val="0"/>
      <w:divBdr>
        <w:top w:val="none" w:sz="0" w:space="0" w:color="auto"/>
        <w:left w:val="none" w:sz="0" w:space="0" w:color="auto"/>
        <w:bottom w:val="none" w:sz="0" w:space="0" w:color="auto"/>
        <w:right w:val="none" w:sz="0" w:space="0" w:color="auto"/>
      </w:divBdr>
    </w:div>
    <w:div w:id="84500782">
      <w:marLeft w:val="0"/>
      <w:marRight w:val="0"/>
      <w:marTop w:val="0"/>
      <w:marBottom w:val="0"/>
      <w:divBdr>
        <w:top w:val="none" w:sz="0" w:space="0" w:color="auto"/>
        <w:left w:val="none" w:sz="0" w:space="0" w:color="auto"/>
        <w:bottom w:val="none" w:sz="0" w:space="0" w:color="auto"/>
        <w:right w:val="none" w:sz="0" w:space="0" w:color="auto"/>
      </w:divBdr>
    </w:div>
    <w:div w:id="84500783">
      <w:marLeft w:val="0"/>
      <w:marRight w:val="0"/>
      <w:marTop w:val="0"/>
      <w:marBottom w:val="0"/>
      <w:divBdr>
        <w:top w:val="none" w:sz="0" w:space="0" w:color="auto"/>
        <w:left w:val="none" w:sz="0" w:space="0" w:color="auto"/>
        <w:bottom w:val="none" w:sz="0" w:space="0" w:color="auto"/>
        <w:right w:val="none" w:sz="0" w:space="0" w:color="auto"/>
      </w:divBdr>
    </w:div>
    <w:div w:id="84500785">
      <w:marLeft w:val="0"/>
      <w:marRight w:val="0"/>
      <w:marTop w:val="0"/>
      <w:marBottom w:val="0"/>
      <w:divBdr>
        <w:top w:val="none" w:sz="0" w:space="0" w:color="auto"/>
        <w:left w:val="none" w:sz="0" w:space="0" w:color="auto"/>
        <w:bottom w:val="none" w:sz="0" w:space="0" w:color="auto"/>
        <w:right w:val="none" w:sz="0" w:space="0" w:color="auto"/>
      </w:divBdr>
    </w:div>
    <w:div w:id="84500786">
      <w:marLeft w:val="0"/>
      <w:marRight w:val="0"/>
      <w:marTop w:val="0"/>
      <w:marBottom w:val="0"/>
      <w:divBdr>
        <w:top w:val="none" w:sz="0" w:space="0" w:color="auto"/>
        <w:left w:val="none" w:sz="0" w:space="0" w:color="auto"/>
        <w:bottom w:val="none" w:sz="0" w:space="0" w:color="auto"/>
        <w:right w:val="none" w:sz="0" w:space="0" w:color="auto"/>
      </w:divBdr>
    </w:div>
    <w:div w:id="84500787">
      <w:marLeft w:val="0"/>
      <w:marRight w:val="0"/>
      <w:marTop w:val="0"/>
      <w:marBottom w:val="0"/>
      <w:divBdr>
        <w:top w:val="none" w:sz="0" w:space="0" w:color="auto"/>
        <w:left w:val="none" w:sz="0" w:space="0" w:color="auto"/>
        <w:bottom w:val="none" w:sz="0" w:space="0" w:color="auto"/>
        <w:right w:val="none" w:sz="0" w:space="0" w:color="auto"/>
      </w:divBdr>
    </w:div>
    <w:div w:id="84500788">
      <w:marLeft w:val="0"/>
      <w:marRight w:val="0"/>
      <w:marTop w:val="0"/>
      <w:marBottom w:val="0"/>
      <w:divBdr>
        <w:top w:val="none" w:sz="0" w:space="0" w:color="auto"/>
        <w:left w:val="none" w:sz="0" w:space="0" w:color="auto"/>
        <w:bottom w:val="none" w:sz="0" w:space="0" w:color="auto"/>
        <w:right w:val="none" w:sz="0" w:space="0" w:color="auto"/>
      </w:divBdr>
    </w:div>
    <w:div w:id="84500789">
      <w:marLeft w:val="0"/>
      <w:marRight w:val="0"/>
      <w:marTop w:val="0"/>
      <w:marBottom w:val="0"/>
      <w:divBdr>
        <w:top w:val="none" w:sz="0" w:space="0" w:color="auto"/>
        <w:left w:val="none" w:sz="0" w:space="0" w:color="auto"/>
        <w:bottom w:val="none" w:sz="0" w:space="0" w:color="auto"/>
        <w:right w:val="none" w:sz="0" w:space="0" w:color="auto"/>
      </w:divBdr>
    </w:div>
    <w:div w:id="84500790">
      <w:marLeft w:val="0"/>
      <w:marRight w:val="0"/>
      <w:marTop w:val="0"/>
      <w:marBottom w:val="0"/>
      <w:divBdr>
        <w:top w:val="none" w:sz="0" w:space="0" w:color="auto"/>
        <w:left w:val="none" w:sz="0" w:space="0" w:color="auto"/>
        <w:bottom w:val="none" w:sz="0" w:space="0" w:color="auto"/>
        <w:right w:val="none" w:sz="0" w:space="0" w:color="auto"/>
      </w:divBdr>
    </w:div>
    <w:div w:id="84500791">
      <w:marLeft w:val="0"/>
      <w:marRight w:val="0"/>
      <w:marTop w:val="0"/>
      <w:marBottom w:val="0"/>
      <w:divBdr>
        <w:top w:val="none" w:sz="0" w:space="0" w:color="auto"/>
        <w:left w:val="none" w:sz="0" w:space="0" w:color="auto"/>
        <w:bottom w:val="none" w:sz="0" w:space="0" w:color="auto"/>
        <w:right w:val="none" w:sz="0" w:space="0" w:color="auto"/>
      </w:divBdr>
    </w:div>
    <w:div w:id="84500792">
      <w:marLeft w:val="0"/>
      <w:marRight w:val="0"/>
      <w:marTop w:val="0"/>
      <w:marBottom w:val="0"/>
      <w:divBdr>
        <w:top w:val="none" w:sz="0" w:space="0" w:color="auto"/>
        <w:left w:val="none" w:sz="0" w:space="0" w:color="auto"/>
        <w:bottom w:val="none" w:sz="0" w:space="0" w:color="auto"/>
        <w:right w:val="none" w:sz="0" w:space="0" w:color="auto"/>
      </w:divBdr>
    </w:div>
    <w:div w:id="84500793">
      <w:marLeft w:val="0"/>
      <w:marRight w:val="0"/>
      <w:marTop w:val="0"/>
      <w:marBottom w:val="0"/>
      <w:divBdr>
        <w:top w:val="none" w:sz="0" w:space="0" w:color="auto"/>
        <w:left w:val="none" w:sz="0" w:space="0" w:color="auto"/>
        <w:bottom w:val="none" w:sz="0" w:space="0" w:color="auto"/>
        <w:right w:val="none" w:sz="0" w:space="0" w:color="auto"/>
      </w:divBdr>
    </w:div>
    <w:div w:id="84500794">
      <w:marLeft w:val="0"/>
      <w:marRight w:val="0"/>
      <w:marTop w:val="0"/>
      <w:marBottom w:val="0"/>
      <w:divBdr>
        <w:top w:val="none" w:sz="0" w:space="0" w:color="auto"/>
        <w:left w:val="none" w:sz="0" w:space="0" w:color="auto"/>
        <w:bottom w:val="none" w:sz="0" w:space="0" w:color="auto"/>
        <w:right w:val="none" w:sz="0" w:space="0" w:color="auto"/>
      </w:divBdr>
    </w:div>
    <w:div w:id="84500795">
      <w:marLeft w:val="0"/>
      <w:marRight w:val="0"/>
      <w:marTop w:val="0"/>
      <w:marBottom w:val="0"/>
      <w:divBdr>
        <w:top w:val="none" w:sz="0" w:space="0" w:color="auto"/>
        <w:left w:val="none" w:sz="0" w:space="0" w:color="auto"/>
        <w:bottom w:val="none" w:sz="0" w:space="0" w:color="auto"/>
        <w:right w:val="none" w:sz="0" w:space="0" w:color="auto"/>
      </w:divBdr>
    </w:div>
    <w:div w:id="84500796">
      <w:marLeft w:val="0"/>
      <w:marRight w:val="0"/>
      <w:marTop w:val="0"/>
      <w:marBottom w:val="0"/>
      <w:divBdr>
        <w:top w:val="none" w:sz="0" w:space="0" w:color="auto"/>
        <w:left w:val="none" w:sz="0" w:space="0" w:color="auto"/>
        <w:bottom w:val="none" w:sz="0" w:space="0" w:color="auto"/>
        <w:right w:val="none" w:sz="0" w:space="0" w:color="auto"/>
      </w:divBdr>
    </w:div>
    <w:div w:id="84500797">
      <w:marLeft w:val="0"/>
      <w:marRight w:val="0"/>
      <w:marTop w:val="0"/>
      <w:marBottom w:val="0"/>
      <w:divBdr>
        <w:top w:val="none" w:sz="0" w:space="0" w:color="auto"/>
        <w:left w:val="none" w:sz="0" w:space="0" w:color="auto"/>
        <w:bottom w:val="none" w:sz="0" w:space="0" w:color="auto"/>
        <w:right w:val="none" w:sz="0" w:space="0" w:color="auto"/>
      </w:divBdr>
    </w:div>
    <w:div w:id="84500798">
      <w:marLeft w:val="0"/>
      <w:marRight w:val="0"/>
      <w:marTop w:val="0"/>
      <w:marBottom w:val="0"/>
      <w:divBdr>
        <w:top w:val="none" w:sz="0" w:space="0" w:color="auto"/>
        <w:left w:val="none" w:sz="0" w:space="0" w:color="auto"/>
        <w:bottom w:val="none" w:sz="0" w:space="0" w:color="auto"/>
        <w:right w:val="none" w:sz="0" w:space="0" w:color="auto"/>
      </w:divBdr>
    </w:div>
    <w:div w:id="84500799">
      <w:marLeft w:val="0"/>
      <w:marRight w:val="0"/>
      <w:marTop w:val="0"/>
      <w:marBottom w:val="0"/>
      <w:divBdr>
        <w:top w:val="none" w:sz="0" w:space="0" w:color="auto"/>
        <w:left w:val="none" w:sz="0" w:space="0" w:color="auto"/>
        <w:bottom w:val="none" w:sz="0" w:space="0" w:color="auto"/>
        <w:right w:val="none" w:sz="0" w:space="0" w:color="auto"/>
      </w:divBdr>
    </w:div>
    <w:div w:id="84500800">
      <w:marLeft w:val="0"/>
      <w:marRight w:val="0"/>
      <w:marTop w:val="0"/>
      <w:marBottom w:val="0"/>
      <w:divBdr>
        <w:top w:val="none" w:sz="0" w:space="0" w:color="auto"/>
        <w:left w:val="none" w:sz="0" w:space="0" w:color="auto"/>
        <w:bottom w:val="none" w:sz="0" w:space="0" w:color="auto"/>
        <w:right w:val="none" w:sz="0" w:space="0" w:color="auto"/>
      </w:divBdr>
    </w:div>
    <w:div w:id="84500801">
      <w:marLeft w:val="0"/>
      <w:marRight w:val="0"/>
      <w:marTop w:val="0"/>
      <w:marBottom w:val="0"/>
      <w:divBdr>
        <w:top w:val="none" w:sz="0" w:space="0" w:color="auto"/>
        <w:left w:val="none" w:sz="0" w:space="0" w:color="auto"/>
        <w:bottom w:val="none" w:sz="0" w:space="0" w:color="auto"/>
        <w:right w:val="none" w:sz="0" w:space="0" w:color="auto"/>
      </w:divBdr>
    </w:div>
    <w:div w:id="84500802">
      <w:marLeft w:val="0"/>
      <w:marRight w:val="0"/>
      <w:marTop w:val="0"/>
      <w:marBottom w:val="0"/>
      <w:divBdr>
        <w:top w:val="none" w:sz="0" w:space="0" w:color="auto"/>
        <w:left w:val="none" w:sz="0" w:space="0" w:color="auto"/>
        <w:bottom w:val="none" w:sz="0" w:space="0" w:color="auto"/>
        <w:right w:val="none" w:sz="0" w:space="0" w:color="auto"/>
      </w:divBdr>
    </w:div>
    <w:div w:id="84500803">
      <w:marLeft w:val="0"/>
      <w:marRight w:val="0"/>
      <w:marTop w:val="0"/>
      <w:marBottom w:val="0"/>
      <w:divBdr>
        <w:top w:val="none" w:sz="0" w:space="0" w:color="auto"/>
        <w:left w:val="none" w:sz="0" w:space="0" w:color="auto"/>
        <w:bottom w:val="none" w:sz="0" w:space="0" w:color="auto"/>
        <w:right w:val="none" w:sz="0" w:space="0" w:color="auto"/>
      </w:divBdr>
    </w:div>
    <w:div w:id="84500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tragoninv.com" TargetMode="External"/><Relationship Id="rId13" Type="http://schemas.openxmlformats.org/officeDocument/2006/relationships/image" Target="media/image6.emf"/><Relationship Id="rId18" Type="http://schemas.openxmlformats.org/officeDocument/2006/relationships/hyperlink" Target="mailto:ir@polygoninv.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s://eventreg1.conferencing.com/webportal3/reg.html?Acc=247751&amp;Conf=183416" TargetMode="External"/><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5.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4.w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w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oter" Target="footer1.xml"/><Relationship Id="rId30" Type="http://schemas.openxmlformats.org/officeDocument/2006/relationships/hyperlink" Target="http://www.tetragoninv.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tetragonin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wmf"/></Relationships>
</file>

<file path=word/_rels/header2.xml.rels><?xml version="1.0" encoding="UTF-8" standalone="yes"?>
<Relationships xmlns="http://schemas.openxmlformats.org/package/2006/relationships"><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4947</Words>
  <Characters>28198</Characters>
  <Application>Microsoft Office Outlook</Application>
  <DocSecurity>0</DocSecurity>
  <Lines>0</Lines>
  <Paragraphs>0</Paragraphs>
  <ScaleCrop>false</ScaleCrop>
  <Company>Polygon Investment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hlockhart</dc:creator>
  <cp:keywords/>
  <dc:description/>
  <cp:lastModifiedBy>A User</cp:lastModifiedBy>
  <cp:revision>2</cp:revision>
  <cp:lastPrinted>2012-04-18T09:15:00Z</cp:lastPrinted>
  <dcterms:created xsi:type="dcterms:W3CDTF">2012-06-01T14:46:00Z</dcterms:created>
  <dcterms:modified xsi:type="dcterms:W3CDTF">2012-06-01T14:46:00Z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9+MflTZ3SA8nacwyXiRKeEabfUcCPDyVecOQRSDxu6FPJrkN/19YBXwKs5vqZ9vrS7UZsFLBVVQg1kwkAYkz6ETL0G+W3SfQgxKrTAYoK1A</vt:lpwstr>
  </property>
  <property fmtid="{D5CDD505-2E9C-101B-9397-08002B2CF9AE}" pid="3" name="WorksiteMatterNumber">
    <vt:lpwstr>20446764</vt:lpwstr>
  </property>
  <property fmtid="{D5CDD505-2E9C-101B-9397-08002B2CF9AE}" pid="4" name="WorksiteDatabase">
    <vt:lpwstr>MATTERS</vt:lpwstr>
  </property>
  <property fmtid="{D5CDD505-2E9C-101B-9397-08002B2CF9AE}" pid="5" name="WorksiteDocNumber">
    <vt:lpwstr>8867683</vt:lpwstr>
  </property>
  <property fmtid="{D5CDD505-2E9C-101B-9397-08002B2CF9AE}" pid="6" name="WorksiteDocVersion">
    <vt:lpwstr>1</vt:lpwstr>
  </property>
  <property fmtid="{D5CDD505-2E9C-101B-9397-08002B2CF9AE}" pid="7" name="WorksiteOperator">
    <vt:lpwstr>KESLERS</vt:lpwstr>
  </property>
  <property fmtid="{D5CDD505-2E9C-101B-9397-08002B2CF9AE}" pid="8" name="WorksiteAuthor">
    <vt:lpwstr>KESLERS</vt:lpwstr>
  </property>
  <property fmtid="{D5CDD505-2E9C-101B-9397-08002B2CF9AE}" pid="9" name="DOCNAAM">
    <vt:lpwstr>M8867683/1/20446764</vt:lpwstr>
  </property>
  <property fmtid="{D5CDD505-2E9C-101B-9397-08002B2CF9AE}" pid="10" name="RESPONSE_SENDER_NAME">
    <vt:lpwstr>sAAAXRTqSjcrLAqfzbqEtPhjW27juyf49uoYEJaqhNFzN9A=</vt:lpwstr>
  </property>
  <property fmtid="{D5CDD505-2E9C-101B-9397-08002B2CF9AE}" pid="11" name="MAIL_MSG_ID1">
    <vt:lpwstr>oFAAfyEHtdkN2VWMiyO2GTs/zNJySgmqaHbNvXdspfubRn3r1UMK+FSXcXyf88RyAGmBucUKVlIp4sT94DpA+Kq74v321P9tXonJ3rdJc8d9kx5XNiqz9SDPZlmKzEQF/xQFP5iOU15iYOhfV7jqsTlbiUYDki/zlR2RV5zn4unvE3QmIcd/hQasYkW0Vdib3TEiVBfQPMbQHgXorKjy2wgkwyCz1hFxgna4QRxyj6d1dXVPvbru3yknY</vt:lpwstr>
  </property>
  <property fmtid="{D5CDD505-2E9C-101B-9397-08002B2CF9AE}" pid="12" name="EMAIL_OWNER_ADDRESS">
    <vt:lpwstr>4AAAyjQjm0EOGgIc/2b2fz3EN4L1nJEnWlDAPag+QCJUkXqHWQKwtfu4ww==</vt:lpwstr>
  </property>
</Properties>
</file>