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CE" w:rsidRPr="003E335B" w:rsidRDefault="00847BCE" w:rsidP="000D70EC">
      <w:pPr>
        <w:spacing w:after="100" w:line="240" w:lineRule="auto"/>
        <w:rPr>
          <w:rFonts w:asciiTheme="minorHAnsi" w:hAnsiTheme="minorHAnsi" w:cs="Arial"/>
          <w:sz w:val="20"/>
          <w:szCs w:val="20"/>
        </w:rPr>
      </w:pPr>
    </w:p>
    <w:p w:rsidR="00847BCE" w:rsidRPr="003E335B" w:rsidRDefault="00847BCE" w:rsidP="000D70EC">
      <w:pPr>
        <w:spacing w:after="100" w:line="240" w:lineRule="auto"/>
        <w:rPr>
          <w:rFonts w:asciiTheme="minorHAnsi" w:hAnsiTheme="minorHAnsi" w:cs="Arial"/>
          <w:sz w:val="20"/>
          <w:szCs w:val="20"/>
        </w:rPr>
      </w:pPr>
    </w:p>
    <w:p w:rsidR="00847BCE" w:rsidRPr="003E335B" w:rsidRDefault="00847BCE" w:rsidP="000D70EC">
      <w:pPr>
        <w:spacing w:after="100" w:line="240" w:lineRule="auto"/>
        <w:rPr>
          <w:rFonts w:asciiTheme="minorHAnsi" w:hAnsiTheme="minorHAnsi" w:cs="Arial"/>
          <w:sz w:val="20"/>
          <w:szCs w:val="20"/>
        </w:rPr>
      </w:pPr>
    </w:p>
    <w:p w:rsidR="00847BCE" w:rsidRPr="003E335B" w:rsidRDefault="00847BCE" w:rsidP="000D70EC">
      <w:pPr>
        <w:spacing w:after="100" w:line="240" w:lineRule="auto"/>
        <w:rPr>
          <w:rFonts w:asciiTheme="minorHAnsi" w:hAnsiTheme="minorHAnsi" w:cs="Arial"/>
          <w:sz w:val="20"/>
          <w:szCs w:val="20"/>
        </w:rPr>
      </w:pPr>
    </w:p>
    <w:p w:rsidR="00847BCE" w:rsidRPr="003E335B" w:rsidRDefault="00847BCE" w:rsidP="000D70EC">
      <w:pPr>
        <w:spacing w:after="100" w:line="240" w:lineRule="auto"/>
        <w:rPr>
          <w:rFonts w:asciiTheme="minorHAnsi" w:hAnsiTheme="minorHAnsi" w:cs="Arial"/>
          <w:sz w:val="20"/>
          <w:szCs w:val="20"/>
        </w:rPr>
      </w:pPr>
    </w:p>
    <w:p w:rsidR="00847BCE" w:rsidRPr="003E335B" w:rsidRDefault="00847BCE" w:rsidP="000D70EC">
      <w:pPr>
        <w:spacing w:after="100" w:line="240" w:lineRule="auto"/>
        <w:rPr>
          <w:rFonts w:asciiTheme="minorHAnsi" w:hAnsiTheme="minorHAnsi" w:cs="Arial"/>
          <w:sz w:val="20"/>
          <w:szCs w:val="20"/>
        </w:rPr>
      </w:pPr>
    </w:p>
    <w:p w:rsidR="00847BCE" w:rsidRPr="003E335B" w:rsidRDefault="00847BCE" w:rsidP="000D70EC">
      <w:pPr>
        <w:spacing w:after="100" w:line="240" w:lineRule="auto"/>
        <w:rPr>
          <w:rFonts w:asciiTheme="minorHAnsi" w:hAnsiTheme="minorHAnsi" w:cs="Arial"/>
          <w:sz w:val="20"/>
          <w:szCs w:val="20"/>
        </w:rPr>
      </w:pPr>
    </w:p>
    <w:p w:rsidR="00847BCE" w:rsidRPr="008D3E15" w:rsidRDefault="00847BCE" w:rsidP="000D70EC">
      <w:pPr>
        <w:spacing w:after="100" w:line="240" w:lineRule="auto"/>
        <w:jc w:val="center"/>
        <w:rPr>
          <w:rFonts w:asciiTheme="minorHAnsi" w:hAnsiTheme="minorHAnsi" w:cs="Arial"/>
          <w:color w:val="009CDD"/>
          <w:sz w:val="44"/>
          <w:szCs w:val="20"/>
        </w:rPr>
      </w:pPr>
      <w:r w:rsidRPr="008D3E15">
        <w:rPr>
          <w:rFonts w:asciiTheme="minorHAnsi" w:hAnsiTheme="minorHAnsi" w:cs="Arial"/>
          <w:color w:val="009CDD"/>
          <w:sz w:val="44"/>
          <w:szCs w:val="20"/>
        </w:rPr>
        <w:t>STMicroelectronics N.V.</w:t>
      </w:r>
    </w:p>
    <w:p w:rsidR="00847BCE" w:rsidRPr="008D3E15" w:rsidRDefault="00847BCE" w:rsidP="000D70EC">
      <w:pPr>
        <w:spacing w:after="100" w:line="240" w:lineRule="auto"/>
        <w:jc w:val="center"/>
        <w:rPr>
          <w:rFonts w:asciiTheme="minorHAnsi" w:hAnsiTheme="minorHAnsi" w:cs="Arial"/>
          <w:color w:val="009CDD"/>
          <w:sz w:val="44"/>
          <w:szCs w:val="20"/>
        </w:rPr>
      </w:pPr>
    </w:p>
    <w:p w:rsidR="00847BCE" w:rsidRPr="008D3E15" w:rsidRDefault="00847BCE" w:rsidP="000D70EC">
      <w:pPr>
        <w:spacing w:after="100" w:line="240" w:lineRule="auto"/>
        <w:jc w:val="center"/>
        <w:rPr>
          <w:rFonts w:asciiTheme="minorHAnsi" w:hAnsiTheme="minorHAnsi" w:cs="Arial"/>
          <w:i/>
          <w:color w:val="009CDD"/>
          <w:sz w:val="44"/>
          <w:szCs w:val="20"/>
        </w:rPr>
      </w:pPr>
      <w:r w:rsidRPr="008D3E15">
        <w:rPr>
          <w:rFonts w:asciiTheme="minorHAnsi" w:hAnsiTheme="minorHAnsi" w:cs="Arial"/>
          <w:i/>
          <w:color w:val="009CDD"/>
          <w:sz w:val="44"/>
          <w:szCs w:val="20"/>
        </w:rPr>
        <w:t>Semi-</w:t>
      </w:r>
      <w:r w:rsidR="00681539" w:rsidRPr="008D3E15">
        <w:rPr>
          <w:rFonts w:asciiTheme="minorHAnsi" w:hAnsiTheme="minorHAnsi" w:cs="Arial"/>
          <w:i/>
          <w:color w:val="009CDD"/>
          <w:sz w:val="44"/>
          <w:szCs w:val="20"/>
        </w:rPr>
        <w:t>A</w:t>
      </w:r>
      <w:r w:rsidRPr="008D3E15">
        <w:rPr>
          <w:rFonts w:asciiTheme="minorHAnsi" w:hAnsiTheme="minorHAnsi" w:cs="Arial"/>
          <w:i/>
          <w:color w:val="009CDD"/>
          <w:sz w:val="44"/>
          <w:szCs w:val="20"/>
        </w:rPr>
        <w:t xml:space="preserve">nnual </w:t>
      </w:r>
      <w:r w:rsidR="00681539" w:rsidRPr="008D3E15">
        <w:rPr>
          <w:rFonts w:asciiTheme="minorHAnsi" w:hAnsiTheme="minorHAnsi" w:cs="Arial"/>
          <w:i/>
          <w:color w:val="009CDD"/>
          <w:sz w:val="44"/>
          <w:szCs w:val="20"/>
        </w:rPr>
        <w:t>R</w:t>
      </w:r>
      <w:r w:rsidRPr="008D3E15">
        <w:rPr>
          <w:rFonts w:asciiTheme="minorHAnsi" w:hAnsiTheme="minorHAnsi" w:cs="Arial"/>
          <w:i/>
          <w:color w:val="009CDD"/>
          <w:sz w:val="44"/>
          <w:szCs w:val="20"/>
        </w:rPr>
        <w:t>eport 201</w:t>
      </w:r>
      <w:r w:rsidR="00990F4A" w:rsidRPr="008D3E15">
        <w:rPr>
          <w:rFonts w:asciiTheme="minorHAnsi" w:hAnsiTheme="minorHAnsi" w:cs="Arial"/>
          <w:i/>
          <w:color w:val="009CDD"/>
          <w:sz w:val="44"/>
          <w:szCs w:val="20"/>
        </w:rPr>
        <w:t>1</w:t>
      </w:r>
    </w:p>
    <w:p w:rsidR="00042A42" w:rsidRPr="003E335B" w:rsidRDefault="00042A42" w:rsidP="000D70EC">
      <w:pPr>
        <w:spacing w:after="100" w:line="240" w:lineRule="auto"/>
        <w:jc w:val="center"/>
        <w:rPr>
          <w:rFonts w:asciiTheme="minorHAnsi" w:hAnsiTheme="minorHAnsi" w:cs="Arial"/>
          <w:i/>
          <w:color w:val="009CDD"/>
          <w:sz w:val="20"/>
          <w:szCs w:val="20"/>
        </w:rPr>
      </w:pPr>
    </w:p>
    <w:p w:rsidR="00390326" w:rsidRPr="003E335B" w:rsidRDefault="00390326" w:rsidP="000D70EC">
      <w:pPr>
        <w:spacing w:after="100" w:line="240" w:lineRule="auto"/>
        <w:rPr>
          <w:rFonts w:asciiTheme="minorHAnsi" w:hAnsiTheme="minorHAnsi" w:cs="Arial"/>
          <w:sz w:val="20"/>
          <w:szCs w:val="20"/>
        </w:rPr>
      </w:pPr>
    </w:p>
    <w:p w:rsidR="00383156" w:rsidRPr="003E335B" w:rsidRDefault="00383156" w:rsidP="000D70EC">
      <w:pPr>
        <w:spacing w:after="100" w:line="240" w:lineRule="auto"/>
        <w:rPr>
          <w:rFonts w:asciiTheme="minorHAnsi" w:hAnsiTheme="minorHAnsi" w:cs="Arial"/>
          <w:sz w:val="20"/>
          <w:szCs w:val="20"/>
        </w:rPr>
        <w:sectPr w:rsidR="00383156" w:rsidRPr="003E335B" w:rsidSect="007D1EF2">
          <w:headerReference w:type="default" r:id="rId8"/>
          <w:footerReference w:type="default" r:id="rId9"/>
          <w:pgSz w:w="12240" w:h="15840"/>
          <w:pgMar w:top="1701" w:right="1185" w:bottom="284" w:left="1185" w:header="284" w:footer="284" w:gutter="0"/>
          <w:cols w:space="708"/>
          <w:docGrid w:linePitch="360"/>
        </w:sectPr>
      </w:pPr>
    </w:p>
    <w:sdt>
      <w:sdtPr>
        <w:rPr>
          <w:rFonts w:ascii="Calibri" w:eastAsia="Calibri" w:hAnsi="Calibri" w:cs="Times New Roman"/>
          <w:smallCaps w:val="0"/>
          <w:spacing w:val="0"/>
          <w:sz w:val="20"/>
          <w:szCs w:val="20"/>
          <w:lang w:bidi="ar-SA"/>
        </w:rPr>
        <w:id w:val="175476776"/>
        <w:docPartObj>
          <w:docPartGallery w:val="Table of Contents"/>
          <w:docPartUnique/>
        </w:docPartObj>
      </w:sdtPr>
      <w:sdtContent>
        <w:p w:rsidR="00BC3D2F" w:rsidRPr="003E335B" w:rsidRDefault="00BC3D2F" w:rsidP="000D70EC">
          <w:pPr>
            <w:pStyle w:val="TOCHeading"/>
            <w:numPr>
              <w:ilvl w:val="0"/>
              <w:numId w:val="0"/>
            </w:numPr>
            <w:spacing w:before="0" w:after="100" w:line="240" w:lineRule="auto"/>
            <w:rPr>
              <w:sz w:val="20"/>
              <w:szCs w:val="20"/>
            </w:rPr>
          </w:pPr>
        </w:p>
        <w:p w:rsidR="00571564" w:rsidRPr="008A657F" w:rsidRDefault="006C6E98" w:rsidP="000D70EC">
          <w:pPr>
            <w:pStyle w:val="TOCHeading"/>
            <w:numPr>
              <w:ilvl w:val="0"/>
              <w:numId w:val="0"/>
            </w:numPr>
            <w:spacing w:before="0" w:after="100" w:line="240" w:lineRule="auto"/>
            <w:rPr>
              <w:sz w:val="24"/>
              <w:szCs w:val="20"/>
            </w:rPr>
          </w:pPr>
          <w:r w:rsidRPr="006C6E98">
            <w:rPr>
              <w:sz w:val="24"/>
              <w:szCs w:val="20"/>
            </w:rPr>
            <w:t>Contents</w:t>
          </w:r>
        </w:p>
        <w:p w:rsidR="00571564" w:rsidRPr="003E335B" w:rsidRDefault="00571564" w:rsidP="000D70EC">
          <w:pPr>
            <w:spacing w:after="100" w:line="240" w:lineRule="auto"/>
            <w:rPr>
              <w:rFonts w:asciiTheme="minorHAnsi" w:hAnsiTheme="minorHAnsi" w:cs="Arial"/>
              <w:sz w:val="20"/>
              <w:szCs w:val="20"/>
              <w:lang w:bidi="en-US"/>
            </w:rPr>
          </w:pPr>
        </w:p>
        <w:p w:rsidR="008733F0" w:rsidRDefault="007C2E65">
          <w:pPr>
            <w:pStyle w:val="TOC1"/>
            <w:rPr>
              <w:b w:val="0"/>
              <w:bCs w:val="0"/>
              <w:caps w:val="0"/>
              <w:noProof/>
              <w:sz w:val="22"/>
              <w:szCs w:val="22"/>
              <w:lang w:bidi="ar-SA"/>
            </w:rPr>
          </w:pPr>
          <w:r w:rsidRPr="007C2E65">
            <w:rPr>
              <w:rFonts w:cs="Arial"/>
            </w:rPr>
            <w:fldChar w:fldCharType="begin"/>
          </w:r>
          <w:r w:rsidR="00571564" w:rsidRPr="003E335B">
            <w:rPr>
              <w:rFonts w:cs="Arial"/>
            </w:rPr>
            <w:instrText xml:space="preserve"> TOC \o "1-3" \h \z \u </w:instrText>
          </w:r>
          <w:r w:rsidRPr="007C2E65">
            <w:rPr>
              <w:rFonts w:cs="Arial"/>
            </w:rPr>
            <w:fldChar w:fldCharType="separate"/>
          </w:r>
          <w:hyperlink w:anchor="_Toc300834214" w:history="1">
            <w:r w:rsidR="008733F0" w:rsidRPr="00AF7294">
              <w:rPr>
                <w:rStyle w:val="Hyperlink"/>
                <w:noProof/>
              </w:rPr>
              <w:t>I.</w:t>
            </w:r>
            <w:r w:rsidR="008733F0">
              <w:rPr>
                <w:b w:val="0"/>
                <w:bCs w:val="0"/>
                <w:caps w:val="0"/>
                <w:noProof/>
                <w:sz w:val="22"/>
                <w:szCs w:val="22"/>
                <w:lang w:bidi="ar-SA"/>
              </w:rPr>
              <w:tab/>
            </w:r>
            <w:r w:rsidR="008733F0" w:rsidRPr="00AF7294">
              <w:rPr>
                <w:rStyle w:val="Hyperlink"/>
                <w:noProof/>
              </w:rPr>
              <w:t>Management report</w:t>
            </w:r>
            <w:r w:rsidR="008733F0">
              <w:rPr>
                <w:noProof/>
                <w:webHidden/>
              </w:rPr>
              <w:tab/>
            </w:r>
            <w:r>
              <w:rPr>
                <w:noProof/>
                <w:webHidden/>
              </w:rPr>
              <w:fldChar w:fldCharType="begin"/>
            </w:r>
            <w:r w:rsidR="008733F0">
              <w:rPr>
                <w:noProof/>
                <w:webHidden/>
              </w:rPr>
              <w:instrText xml:space="preserve"> PAGEREF _Toc300834214 \h </w:instrText>
            </w:r>
            <w:r>
              <w:rPr>
                <w:noProof/>
                <w:webHidden/>
              </w:rPr>
            </w:r>
            <w:r>
              <w:rPr>
                <w:noProof/>
                <w:webHidden/>
              </w:rPr>
              <w:fldChar w:fldCharType="separate"/>
            </w:r>
            <w:r w:rsidR="0009548B">
              <w:rPr>
                <w:noProof/>
                <w:webHidden/>
              </w:rPr>
              <w:t>4</w:t>
            </w:r>
            <w:r>
              <w:rPr>
                <w:noProof/>
                <w:webHidden/>
              </w:rPr>
              <w:fldChar w:fldCharType="end"/>
            </w:r>
          </w:hyperlink>
        </w:p>
        <w:p w:rsidR="008733F0" w:rsidRDefault="007C2E65">
          <w:pPr>
            <w:pStyle w:val="TOC2"/>
            <w:tabs>
              <w:tab w:val="left" w:pos="690"/>
              <w:tab w:val="right" w:leader="dot" w:pos="9860"/>
            </w:tabs>
            <w:rPr>
              <w:smallCaps w:val="0"/>
              <w:noProof/>
              <w:sz w:val="22"/>
              <w:szCs w:val="22"/>
              <w:lang w:bidi="ar-SA"/>
            </w:rPr>
          </w:pPr>
          <w:hyperlink w:anchor="_Toc300834215" w:history="1">
            <w:r w:rsidR="008733F0" w:rsidRPr="00AF7294">
              <w:rPr>
                <w:rStyle w:val="Hyperlink"/>
                <w:noProof/>
              </w:rPr>
              <w:t>A.</w:t>
            </w:r>
            <w:r w:rsidR="008733F0">
              <w:rPr>
                <w:smallCaps w:val="0"/>
                <w:noProof/>
                <w:sz w:val="22"/>
                <w:szCs w:val="22"/>
                <w:lang w:bidi="ar-SA"/>
              </w:rPr>
              <w:tab/>
            </w:r>
            <w:r w:rsidR="008733F0" w:rsidRPr="00AF7294">
              <w:rPr>
                <w:rStyle w:val="Hyperlink"/>
                <w:noProof/>
              </w:rPr>
              <w:t>corporate information</w:t>
            </w:r>
            <w:r w:rsidR="008733F0">
              <w:rPr>
                <w:noProof/>
                <w:webHidden/>
              </w:rPr>
              <w:tab/>
            </w:r>
            <w:r>
              <w:rPr>
                <w:noProof/>
                <w:webHidden/>
              </w:rPr>
              <w:fldChar w:fldCharType="begin"/>
            </w:r>
            <w:r w:rsidR="008733F0">
              <w:rPr>
                <w:noProof/>
                <w:webHidden/>
              </w:rPr>
              <w:instrText xml:space="preserve"> PAGEREF _Toc300834215 \h </w:instrText>
            </w:r>
            <w:r>
              <w:rPr>
                <w:noProof/>
                <w:webHidden/>
              </w:rPr>
            </w:r>
            <w:r>
              <w:rPr>
                <w:noProof/>
                <w:webHidden/>
              </w:rPr>
              <w:fldChar w:fldCharType="separate"/>
            </w:r>
            <w:r w:rsidR="0009548B">
              <w:rPr>
                <w:noProof/>
                <w:webHidden/>
              </w:rPr>
              <w:t>4</w:t>
            </w:r>
            <w:r>
              <w:rPr>
                <w:noProof/>
                <w:webHidden/>
              </w:rPr>
              <w:fldChar w:fldCharType="end"/>
            </w:r>
          </w:hyperlink>
        </w:p>
        <w:p w:rsidR="008733F0" w:rsidRDefault="007C2E65">
          <w:pPr>
            <w:pStyle w:val="TOC2"/>
            <w:tabs>
              <w:tab w:val="left" w:pos="690"/>
              <w:tab w:val="right" w:leader="dot" w:pos="9860"/>
            </w:tabs>
            <w:rPr>
              <w:smallCaps w:val="0"/>
              <w:noProof/>
              <w:sz w:val="22"/>
              <w:szCs w:val="22"/>
              <w:lang w:bidi="ar-SA"/>
            </w:rPr>
          </w:pPr>
          <w:hyperlink w:anchor="_Toc300834216" w:history="1">
            <w:r w:rsidR="008733F0" w:rsidRPr="00AF7294">
              <w:rPr>
                <w:rStyle w:val="Hyperlink"/>
                <w:noProof/>
              </w:rPr>
              <w:t>B.</w:t>
            </w:r>
            <w:r w:rsidR="008733F0">
              <w:rPr>
                <w:smallCaps w:val="0"/>
                <w:noProof/>
                <w:sz w:val="22"/>
                <w:szCs w:val="22"/>
                <w:lang w:bidi="ar-SA"/>
              </w:rPr>
              <w:tab/>
            </w:r>
            <w:r w:rsidR="008733F0" w:rsidRPr="00AF7294">
              <w:rPr>
                <w:rStyle w:val="Hyperlink"/>
                <w:noProof/>
              </w:rPr>
              <w:t>Business overview</w:t>
            </w:r>
            <w:r w:rsidR="008733F0">
              <w:rPr>
                <w:noProof/>
                <w:webHidden/>
              </w:rPr>
              <w:tab/>
            </w:r>
            <w:r>
              <w:rPr>
                <w:noProof/>
                <w:webHidden/>
              </w:rPr>
              <w:fldChar w:fldCharType="begin"/>
            </w:r>
            <w:r w:rsidR="008733F0">
              <w:rPr>
                <w:noProof/>
                <w:webHidden/>
              </w:rPr>
              <w:instrText xml:space="preserve"> PAGEREF _Toc300834216 \h </w:instrText>
            </w:r>
            <w:r>
              <w:rPr>
                <w:noProof/>
                <w:webHidden/>
              </w:rPr>
            </w:r>
            <w:r>
              <w:rPr>
                <w:noProof/>
                <w:webHidden/>
              </w:rPr>
              <w:fldChar w:fldCharType="separate"/>
            </w:r>
            <w:r w:rsidR="0009548B">
              <w:rPr>
                <w:noProof/>
                <w:webHidden/>
              </w:rPr>
              <w:t>4</w:t>
            </w:r>
            <w:r>
              <w:rPr>
                <w:noProof/>
                <w:webHidden/>
              </w:rPr>
              <w:fldChar w:fldCharType="end"/>
            </w:r>
          </w:hyperlink>
        </w:p>
        <w:p w:rsidR="008733F0" w:rsidRDefault="007C2E65">
          <w:pPr>
            <w:pStyle w:val="TOC2"/>
            <w:tabs>
              <w:tab w:val="left" w:pos="690"/>
              <w:tab w:val="right" w:leader="dot" w:pos="9860"/>
            </w:tabs>
            <w:rPr>
              <w:smallCaps w:val="0"/>
              <w:noProof/>
              <w:sz w:val="22"/>
              <w:szCs w:val="22"/>
              <w:lang w:bidi="ar-SA"/>
            </w:rPr>
          </w:pPr>
          <w:hyperlink w:anchor="_Toc300834217" w:history="1">
            <w:r w:rsidR="008733F0" w:rsidRPr="00AF7294">
              <w:rPr>
                <w:rStyle w:val="Hyperlink"/>
                <w:noProof/>
              </w:rPr>
              <w:t>C.</w:t>
            </w:r>
            <w:r w:rsidR="008733F0">
              <w:rPr>
                <w:smallCaps w:val="0"/>
                <w:noProof/>
                <w:sz w:val="22"/>
                <w:szCs w:val="22"/>
                <w:lang w:bidi="ar-SA"/>
              </w:rPr>
              <w:tab/>
            </w:r>
            <w:r w:rsidR="008733F0" w:rsidRPr="00AF7294">
              <w:rPr>
                <w:rStyle w:val="Hyperlink"/>
                <w:noProof/>
              </w:rPr>
              <w:t>Segment information</w:t>
            </w:r>
            <w:r w:rsidR="008733F0">
              <w:rPr>
                <w:noProof/>
                <w:webHidden/>
              </w:rPr>
              <w:tab/>
            </w:r>
            <w:r>
              <w:rPr>
                <w:noProof/>
                <w:webHidden/>
              </w:rPr>
              <w:fldChar w:fldCharType="begin"/>
            </w:r>
            <w:r w:rsidR="008733F0">
              <w:rPr>
                <w:noProof/>
                <w:webHidden/>
              </w:rPr>
              <w:instrText xml:space="preserve"> PAGEREF _Toc300834217 \h </w:instrText>
            </w:r>
            <w:r>
              <w:rPr>
                <w:noProof/>
                <w:webHidden/>
              </w:rPr>
            </w:r>
            <w:r>
              <w:rPr>
                <w:noProof/>
                <w:webHidden/>
              </w:rPr>
              <w:fldChar w:fldCharType="separate"/>
            </w:r>
            <w:r w:rsidR="0009548B">
              <w:rPr>
                <w:noProof/>
                <w:webHidden/>
              </w:rPr>
              <w:t>5</w:t>
            </w:r>
            <w:r>
              <w:rPr>
                <w:noProof/>
                <w:webHidden/>
              </w:rPr>
              <w:fldChar w:fldCharType="end"/>
            </w:r>
          </w:hyperlink>
        </w:p>
        <w:p w:rsidR="008733F0" w:rsidRDefault="007C2E65">
          <w:pPr>
            <w:pStyle w:val="TOC2"/>
            <w:tabs>
              <w:tab w:val="left" w:pos="690"/>
              <w:tab w:val="right" w:leader="dot" w:pos="9860"/>
            </w:tabs>
            <w:rPr>
              <w:smallCaps w:val="0"/>
              <w:noProof/>
              <w:sz w:val="22"/>
              <w:szCs w:val="22"/>
              <w:lang w:bidi="ar-SA"/>
            </w:rPr>
          </w:pPr>
          <w:hyperlink w:anchor="_Toc300834218" w:history="1">
            <w:r w:rsidR="008733F0" w:rsidRPr="00AF7294">
              <w:rPr>
                <w:rStyle w:val="Hyperlink"/>
                <w:noProof/>
              </w:rPr>
              <w:t>D.</w:t>
            </w:r>
            <w:r w:rsidR="008733F0">
              <w:rPr>
                <w:smallCaps w:val="0"/>
                <w:noProof/>
                <w:sz w:val="22"/>
                <w:szCs w:val="22"/>
                <w:lang w:bidi="ar-SA"/>
              </w:rPr>
              <w:tab/>
            </w:r>
            <w:r w:rsidR="008733F0" w:rsidRPr="00AF7294">
              <w:rPr>
                <w:rStyle w:val="Hyperlink"/>
                <w:noProof/>
              </w:rPr>
              <w:t>Liquidity</w:t>
            </w:r>
            <w:r w:rsidR="008733F0">
              <w:rPr>
                <w:noProof/>
                <w:webHidden/>
              </w:rPr>
              <w:tab/>
            </w:r>
            <w:r>
              <w:rPr>
                <w:noProof/>
                <w:webHidden/>
              </w:rPr>
              <w:fldChar w:fldCharType="begin"/>
            </w:r>
            <w:r w:rsidR="008733F0">
              <w:rPr>
                <w:noProof/>
                <w:webHidden/>
              </w:rPr>
              <w:instrText xml:space="preserve"> PAGEREF _Toc300834218 \h </w:instrText>
            </w:r>
            <w:r>
              <w:rPr>
                <w:noProof/>
                <w:webHidden/>
              </w:rPr>
            </w:r>
            <w:r>
              <w:rPr>
                <w:noProof/>
                <w:webHidden/>
              </w:rPr>
              <w:fldChar w:fldCharType="separate"/>
            </w:r>
            <w:r w:rsidR="0009548B">
              <w:rPr>
                <w:noProof/>
                <w:webHidden/>
              </w:rPr>
              <w:t>7</w:t>
            </w:r>
            <w:r>
              <w:rPr>
                <w:noProof/>
                <w:webHidden/>
              </w:rPr>
              <w:fldChar w:fldCharType="end"/>
            </w:r>
          </w:hyperlink>
        </w:p>
        <w:p w:rsidR="008733F0" w:rsidRDefault="007C2E65">
          <w:pPr>
            <w:pStyle w:val="TOC2"/>
            <w:tabs>
              <w:tab w:val="left" w:pos="690"/>
              <w:tab w:val="right" w:leader="dot" w:pos="9860"/>
            </w:tabs>
            <w:rPr>
              <w:smallCaps w:val="0"/>
              <w:noProof/>
              <w:sz w:val="22"/>
              <w:szCs w:val="22"/>
              <w:lang w:bidi="ar-SA"/>
            </w:rPr>
          </w:pPr>
          <w:hyperlink w:anchor="_Toc300834219" w:history="1">
            <w:r w:rsidR="008733F0" w:rsidRPr="00AF7294">
              <w:rPr>
                <w:rStyle w:val="Hyperlink"/>
                <w:noProof/>
              </w:rPr>
              <w:t>E.</w:t>
            </w:r>
            <w:r w:rsidR="008733F0">
              <w:rPr>
                <w:smallCaps w:val="0"/>
                <w:noProof/>
                <w:sz w:val="22"/>
                <w:szCs w:val="22"/>
                <w:lang w:bidi="ar-SA"/>
              </w:rPr>
              <w:tab/>
            </w:r>
            <w:r w:rsidR="008733F0" w:rsidRPr="00AF7294">
              <w:rPr>
                <w:rStyle w:val="Hyperlink"/>
                <w:noProof/>
              </w:rPr>
              <w:t>Business and financial outlook</w:t>
            </w:r>
            <w:r w:rsidR="008733F0">
              <w:rPr>
                <w:noProof/>
                <w:webHidden/>
              </w:rPr>
              <w:tab/>
            </w:r>
            <w:r>
              <w:rPr>
                <w:noProof/>
                <w:webHidden/>
              </w:rPr>
              <w:fldChar w:fldCharType="begin"/>
            </w:r>
            <w:r w:rsidR="008733F0">
              <w:rPr>
                <w:noProof/>
                <w:webHidden/>
              </w:rPr>
              <w:instrText xml:space="preserve"> PAGEREF _Toc300834219 \h </w:instrText>
            </w:r>
            <w:r>
              <w:rPr>
                <w:noProof/>
                <w:webHidden/>
              </w:rPr>
            </w:r>
            <w:r>
              <w:rPr>
                <w:noProof/>
                <w:webHidden/>
              </w:rPr>
              <w:fldChar w:fldCharType="separate"/>
            </w:r>
            <w:r w:rsidR="0009548B">
              <w:rPr>
                <w:noProof/>
                <w:webHidden/>
              </w:rPr>
              <w:t>9</w:t>
            </w:r>
            <w:r>
              <w:rPr>
                <w:noProof/>
                <w:webHidden/>
              </w:rPr>
              <w:fldChar w:fldCharType="end"/>
            </w:r>
          </w:hyperlink>
        </w:p>
        <w:p w:rsidR="008733F0" w:rsidRDefault="007C2E65">
          <w:pPr>
            <w:pStyle w:val="TOC2"/>
            <w:tabs>
              <w:tab w:val="left" w:pos="690"/>
              <w:tab w:val="right" w:leader="dot" w:pos="9860"/>
            </w:tabs>
            <w:rPr>
              <w:smallCaps w:val="0"/>
              <w:noProof/>
              <w:sz w:val="22"/>
              <w:szCs w:val="22"/>
              <w:lang w:bidi="ar-SA"/>
            </w:rPr>
          </w:pPr>
          <w:hyperlink w:anchor="_Toc300834220" w:history="1">
            <w:r w:rsidR="008733F0" w:rsidRPr="00AF7294">
              <w:rPr>
                <w:rStyle w:val="Hyperlink"/>
                <w:noProof/>
              </w:rPr>
              <w:t>F.</w:t>
            </w:r>
            <w:r w:rsidR="008733F0">
              <w:rPr>
                <w:smallCaps w:val="0"/>
                <w:noProof/>
                <w:sz w:val="22"/>
                <w:szCs w:val="22"/>
                <w:lang w:bidi="ar-SA"/>
              </w:rPr>
              <w:tab/>
            </w:r>
            <w:r w:rsidR="008733F0" w:rsidRPr="00AF7294">
              <w:rPr>
                <w:rStyle w:val="Hyperlink"/>
                <w:noProof/>
              </w:rPr>
              <w:t>Other developments</w:t>
            </w:r>
            <w:r w:rsidR="008733F0">
              <w:rPr>
                <w:noProof/>
                <w:webHidden/>
              </w:rPr>
              <w:tab/>
            </w:r>
            <w:r>
              <w:rPr>
                <w:noProof/>
                <w:webHidden/>
              </w:rPr>
              <w:fldChar w:fldCharType="begin"/>
            </w:r>
            <w:r w:rsidR="008733F0">
              <w:rPr>
                <w:noProof/>
                <w:webHidden/>
              </w:rPr>
              <w:instrText xml:space="preserve"> PAGEREF _Toc300834220 \h </w:instrText>
            </w:r>
            <w:r>
              <w:rPr>
                <w:noProof/>
                <w:webHidden/>
              </w:rPr>
            </w:r>
            <w:r>
              <w:rPr>
                <w:noProof/>
                <w:webHidden/>
              </w:rPr>
              <w:fldChar w:fldCharType="separate"/>
            </w:r>
            <w:r w:rsidR="0009548B">
              <w:rPr>
                <w:noProof/>
                <w:webHidden/>
              </w:rPr>
              <w:t>10</w:t>
            </w:r>
            <w:r>
              <w:rPr>
                <w:noProof/>
                <w:webHidden/>
              </w:rPr>
              <w:fldChar w:fldCharType="end"/>
            </w:r>
          </w:hyperlink>
        </w:p>
        <w:p w:rsidR="008733F0" w:rsidRDefault="007C2E65">
          <w:pPr>
            <w:pStyle w:val="TOC2"/>
            <w:tabs>
              <w:tab w:val="left" w:pos="690"/>
              <w:tab w:val="right" w:leader="dot" w:pos="9860"/>
            </w:tabs>
            <w:rPr>
              <w:smallCaps w:val="0"/>
              <w:noProof/>
              <w:sz w:val="22"/>
              <w:szCs w:val="22"/>
              <w:lang w:bidi="ar-SA"/>
            </w:rPr>
          </w:pPr>
          <w:hyperlink w:anchor="_Toc300834221" w:history="1">
            <w:r w:rsidR="008733F0" w:rsidRPr="00AF7294">
              <w:rPr>
                <w:rStyle w:val="Hyperlink"/>
                <w:noProof/>
              </w:rPr>
              <w:t>G.</w:t>
            </w:r>
            <w:r w:rsidR="008733F0">
              <w:rPr>
                <w:smallCaps w:val="0"/>
                <w:noProof/>
                <w:sz w:val="22"/>
                <w:szCs w:val="22"/>
                <w:lang w:bidi="ar-SA"/>
              </w:rPr>
              <w:tab/>
            </w:r>
            <w:r w:rsidR="008733F0" w:rsidRPr="00AF7294">
              <w:rPr>
                <w:rStyle w:val="Hyperlink"/>
                <w:noProof/>
              </w:rPr>
              <w:t>Related party transactions</w:t>
            </w:r>
            <w:r w:rsidR="008733F0">
              <w:rPr>
                <w:noProof/>
                <w:webHidden/>
              </w:rPr>
              <w:tab/>
            </w:r>
            <w:r>
              <w:rPr>
                <w:noProof/>
                <w:webHidden/>
              </w:rPr>
              <w:fldChar w:fldCharType="begin"/>
            </w:r>
            <w:r w:rsidR="008733F0">
              <w:rPr>
                <w:noProof/>
                <w:webHidden/>
              </w:rPr>
              <w:instrText xml:space="preserve"> PAGEREF _Toc300834221 \h </w:instrText>
            </w:r>
            <w:r>
              <w:rPr>
                <w:noProof/>
                <w:webHidden/>
              </w:rPr>
            </w:r>
            <w:r>
              <w:rPr>
                <w:noProof/>
                <w:webHidden/>
              </w:rPr>
              <w:fldChar w:fldCharType="separate"/>
            </w:r>
            <w:r w:rsidR="0009548B">
              <w:rPr>
                <w:noProof/>
                <w:webHidden/>
              </w:rPr>
              <w:t>11</w:t>
            </w:r>
            <w:r>
              <w:rPr>
                <w:noProof/>
                <w:webHidden/>
              </w:rPr>
              <w:fldChar w:fldCharType="end"/>
            </w:r>
          </w:hyperlink>
        </w:p>
        <w:p w:rsidR="008733F0" w:rsidRDefault="007C2E65">
          <w:pPr>
            <w:pStyle w:val="TOC2"/>
            <w:tabs>
              <w:tab w:val="left" w:pos="690"/>
              <w:tab w:val="right" w:leader="dot" w:pos="9860"/>
            </w:tabs>
            <w:rPr>
              <w:smallCaps w:val="0"/>
              <w:noProof/>
              <w:sz w:val="22"/>
              <w:szCs w:val="22"/>
              <w:lang w:bidi="ar-SA"/>
            </w:rPr>
          </w:pPr>
          <w:hyperlink w:anchor="_Toc300834222" w:history="1">
            <w:r w:rsidR="008733F0" w:rsidRPr="00AF7294">
              <w:rPr>
                <w:rStyle w:val="Hyperlink"/>
                <w:noProof/>
              </w:rPr>
              <w:t>H.</w:t>
            </w:r>
            <w:r w:rsidR="008733F0">
              <w:rPr>
                <w:smallCaps w:val="0"/>
                <w:noProof/>
                <w:sz w:val="22"/>
                <w:szCs w:val="22"/>
                <w:lang w:bidi="ar-SA"/>
              </w:rPr>
              <w:tab/>
            </w:r>
            <w:r w:rsidR="008733F0" w:rsidRPr="00AF7294">
              <w:rPr>
                <w:rStyle w:val="Hyperlink"/>
                <w:noProof/>
              </w:rPr>
              <w:t>Financial risk management</w:t>
            </w:r>
            <w:r w:rsidR="008733F0">
              <w:rPr>
                <w:noProof/>
                <w:webHidden/>
              </w:rPr>
              <w:tab/>
            </w:r>
            <w:r>
              <w:rPr>
                <w:noProof/>
                <w:webHidden/>
              </w:rPr>
              <w:fldChar w:fldCharType="begin"/>
            </w:r>
            <w:r w:rsidR="008733F0">
              <w:rPr>
                <w:noProof/>
                <w:webHidden/>
              </w:rPr>
              <w:instrText xml:space="preserve"> PAGEREF _Toc300834222 \h </w:instrText>
            </w:r>
            <w:r>
              <w:rPr>
                <w:noProof/>
                <w:webHidden/>
              </w:rPr>
            </w:r>
            <w:r>
              <w:rPr>
                <w:noProof/>
                <w:webHidden/>
              </w:rPr>
              <w:fldChar w:fldCharType="separate"/>
            </w:r>
            <w:r w:rsidR="0009548B">
              <w:rPr>
                <w:noProof/>
                <w:webHidden/>
              </w:rPr>
              <w:t>12</w:t>
            </w:r>
            <w:r>
              <w:rPr>
                <w:noProof/>
                <w:webHidden/>
              </w:rPr>
              <w:fldChar w:fldCharType="end"/>
            </w:r>
          </w:hyperlink>
        </w:p>
        <w:p w:rsidR="008733F0" w:rsidRDefault="007C2E65">
          <w:pPr>
            <w:pStyle w:val="TOC2"/>
            <w:tabs>
              <w:tab w:val="left" w:pos="690"/>
              <w:tab w:val="right" w:leader="dot" w:pos="9860"/>
            </w:tabs>
            <w:rPr>
              <w:smallCaps w:val="0"/>
              <w:noProof/>
              <w:sz w:val="22"/>
              <w:szCs w:val="22"/>
              <w:lang w:bidi="ar-SA"/>
            </w:rPr>
          </w:pPr>
          <w:hyperlink w:anchor="_Toc300834223" w:history="1">
            <w:r w:rsidR="008733F0" w:rsidRPr="00AF7294">
              <w:rPr>
                <w:rStyle w:val="Hyperlink"/>
                <w:noProof/>
              </w:rPr>
              <w:t>I.</w:t>
            </w:r>
            <w:r w:rsidR="008733F0">
              <w:rPr>
                <w:smallCaps w:val="0"/>
                <w:noProof/>
                <w:sz w:val="22"/>
                <w:szCs w:val="22"/>
                <w:lang w:bidi="ar-SA"/>
              </w:rPr>
              <w:tab/>
            </w:r>
            <w:r w:rsidR="008733F0" w:rsidRPr="00AF7294">
              <w:rPr>
                <w:rStyle w:val="Hyperlink"/>
                <w:noProof/>
              </w:rPr>
              <w:t>Business risk information</w:t>
            </w:r>
            <w:r w:rsidR="008733F0">
              <w:rPr>
                <w:noProof/>
                <w:webHidden/>
              </w:rPr>
              <w:tab/>
            </w:r>
            <w:r>
              <w:rPr>
                <w:noProof/>
                <w:webHidden/>
              </w:rPr>
              <w:fldChar w:fldCharType="begin"/>
            </w:r>
            <w:r w:rsidR="008733F0">
              <w:rPr>
                <w:noProof/>
                <w:webHidden/>
              </w:rPr>
              <w:instrText xml:space="preserve"> PAGEREF _Toc300834223 \h </w:instrText>
            </w:r>
            <w:r>
              <w:rPr>
                <w:noProof/>
                <w:webHidden/>
              </w:rPr>
            </w:r>
            <w:r>
              <w:rPr>
                <w:noProof/>
                <w:webHidden/>
              </w:rPr>
              <w:fldChar w:fldCharType="separate"/>
            </w:r>
            <w:r w:rsidR="0009548B">
              <w:rPr>
                <w:noProof/>
                <w:webHidden/>
              </w:rPr>
              <w:t>13</w:t>
            </w:r>
            <w:r>
              <w:rPr>
                <w:noProof/>
                <w:webHidden/>
              </w:rPr>
              <w:fldChar w:fldCharType="end"/>
            </w:r>
          </w:hyperlink>
        </w:p>
        <w:p w:rsidR="008733F0" w:rsidRDefault="007C2E65">
          <w:pPr>
            <w:pStyle w:val="TOC1"/>
            <w:rPr>
              <w:b w:val="0"/>
              <w:bCs w:val="0"/>
              <w:caps w:val="0"/>
              <w:noProof/>
              <w:sz w:val="22"/>
              <w:szCs w:val="22"/>
              <w:lang w:bidi="ar-SA"/>
            </w:rPr>
          </w:pPr>
          <w:hyperlink w:anchor="_Toc300834224" w:history="1">
            <w:r w:rsidR="008733F0" w:rsidRPr="00AF7294">
              <w:rPr>
                <w:rStyle w:val="Hyperlink"/>
                <w:noProof/>
              </w:rPr>
              <w:t>II.</w:t>
            </w:r>
            <w:r w:rsidR="008733F0">
              <w:rPr>
                <w:b w:val="0"/>
                <w:bCs w:val="0"/>
                <w:caps w:val="0"/>
                <w:noProof/>
                <w:sz w:val="22"/>
                <w:szCs w:val="22"/>
                <w:lang w:bidi="ar-SA"/>
              </w:rPr>
              <w:tab/>
            </w:r>
            <w:r w:rsidR="008733F0" w:rsidRPr="00AF7294">
              <w:rPr>
                <w:rStyle w:val="Hyperlink"/>
                <w:noProof/>
              </w:rPr>
              <w:t>Interim Condensed Consolidated Financial Statements (“Semi-Annual Financial Statements”)</w:t>
            </w:r>
            <w:r w:rsidR="008733F0">
              <w:rPr>
                <w:noProof/>
                <w:webHidden/>
              </w:rPr>
              <w:tab/>
            </w:r>
            <w:r>
              <w:rPr>
                <w:noProof/>
                <w:webHidden/>
              </w:rPr>
              <w:fldChar w:fldCharType="begin"/>
            </w:r>
            <w:r w:rsidR="008733F0">
              <w:rPr>
                <w:noProof/>
                <w:webHidden/>
              </w:rPr>
              <w:instrText xml:space="preserve"> PAGEREF _Toc300834224 \h </w:instrText>
            </w:r>
            <w:r>
              <w:rPr>
                <w:noProof/>
                <w:webHidden/>
              </w:rPr>
            </w:r>
            <w:r>
              <w:rPr>
                <w:noProof/>
                <w:webHidden/>
              </w:rPr>
              <w:fldChar w:fldCharType="separate"/>
            </w:r>
            <w:r w:rsidR="0009548B">
              <w:rPr>
                <w:noProof/>
                <w:webHidden/>
              </w:rPr>
              <w:t>15</w:t>
            </w:r>
            <w:r>
              <w:rPr>
                <w:noProof/>
                <w:webHidden/>
              </w:rPr>
              <w:fldChar w:fldCharType="end"/>
            </w:r>
          </w:hyperlink>
        </w:p>
        <w:p w:rsidR="008733F0" w:rsidRDefault="007C2E65">
          <w:pPr>
            <w:pStyle w:val="TOC2"/>
            <w:tabs>
              <w:tab w:val="left" w:pos="690"/>
              <w:tab w:val="right" w:leader="dot" w:pos="9860"/>
            </w:tabs>
            <w:rPr>
              <w:smallCaps w:val="0"/>
              <w:noProof/>
              <w:sz w:val="22"/>
              <w:szCs w:val="22"/>
              <w:lang w:bidi="ar-SA"/>
            </w:rPr>
          </w:pPr>
          <w:hyperlink w:anchor="_Toc300834225" w:history="1">
            <w:r w:rsidR="008733F0" w:rsidRPr="00AF7294">
              <w:rPr>
                <w:rStyle w:val="Hyperlink"/>
                <w:noProof/>
              </w:rPr>
              <w:t>A.</w:t>
            </w:r>
            <w:r w:rsidR="008733F0">
              <w:rPr>
                <w:smallCaps w:val="0"/>
                <w:noProof/>
                <w:sz w:val="22"/>
                <w:szCs w:val="22"/>
                <w:lang w:bidi="ar-SA"/>
              </w:rPr>
              <w:tab/>
            </w:r>
            <w:r w:rsidR="008733F0" w:rsidRPr="00AF7294">
              <w:rPr>
                <w:rStyle w:val="Hyperlink"/>
                <w:noProof/>
              </w:rPr>
              <w:t>Consolidated income statement</w:t>
            </w:r>
            <w:r w:rsidR="008733F0">
              <w:rPr>
                <w:noProof/>
                <w:webHidden/>
              </w:rPr>
              <w:tab/>
            </w:r>
            <w:r>
              <w:rPr>
                <w:noProof/>
                <w:webHidden/>
              </w:rPr>
              <w:fldChar w:fldCharType="begin"/>
            </w:r>
            <w:r w:rsidR="008733F0">
              <w:rPr>
                <w:noProof/>
                <w:webHidden/>
              </w:rPr>
              <w:instrText xml:space="preserve"> PAGEREF _Toc300834225 \h </w:instrText>
            </w:r>
            <w:r>
              <w:rPr>
                <w:noProof/>
                <w:webHidden/>
              </w:rPr>
            </w:r>
            <w:r>
              <w:rPr>
                <w:noProof/>
                <w:webHidden/>
              </w:rPr>
              <w:fldChar w:fldCharType="separate"/>
            </w:r>
            <w:r w:rsidR="0009548B">
              <w:rPr>
                <w:noProof/>
                <w:webHidden/>
              </w:rPr>
              <w:t>16</w:t>
            </w:r>
            <w:r>
              <w:rPr>
                <w:noProof/>
                <w:webHidden/>
              </w:rPr>
              <w:fldChar w:fldCharType="end"/>
            </w:r>
          </w:hyperlink>
        </w:p>
        <w:p w:rsidR="008733F0" w:rsidRDefault="007C2E65">
          <w:pPr>
            <w:pStyle w:val="TOC2"/>
            <w:tabs>
              <w:tab w:val="left" w:pos="690"/>
              <w:tab w:val="right" w:leader="dot" w:pos="9860"/>
            </w:tabs>
            <w:rPr>
              <w:smallCaps w:val="0"/>
              <w:noProof/>
              <w:sz w:val="22"/>
              <w:szCs w:val="22"/>
              <w:lang w:bidi="ar-SA"/>
            </w:rPr>
          </w:pPr>
          <w:hyperlink w:anchor="_Toc300834226" w:history="1">
            <w:r w:rsidR="008733F0" w:rsidRPr="00AF7294">
              <w:rPr>
                <w:rStyle w:val="Hyperlink"/>
                <w:noProof/>
              </w:rPr>
              <w:t>B.</w:t>
            </w:r>
            <w:r w:rsidR="008733F0">
              <w:rPr>
                <w:smallCaps w:val="0"/>
                <w:noProof/>
                <w:sz w:val="22"/>
                <w:szCs w:val="22"/>
                <w:lang w:bidi="ar-SA"/>
              </w:rPr>
              <w:tab/>
            </w:r>
            <w:r w:rsidR="008733F0" w:rsidRPr="00AF7294">
              <w:rPr>
                <w:rStyle w:val="Hyperlink"/>
                <w:noProof/>
              </w:rPr>
              <w:t>Consolidated statement of comprehensive income</w:t>
            </w:r>
            <w:r w:rsidR="008733F0">
              <w:rPr>
                <w:noProof/>
                <w:webHidden/>
              </w:rPr>
              <w:tab/>
            </w:r>
            <w:r>
              <w:rPr>
                <w:noProof/>
                <w:webHidden/>
              </w:rPr>
              <w:fldChar w:fldCharType="begin"/>
            </w:r>
            <w:r w:rsidR="008733F0">
              <w:rPr>
                <w:noProof/>
                <w:webHidden/>
              </w:rPr>
              <w:instrText xml:space="preserve"> PAGEREF _Toc300834226 \h </w:instrText>
            </w:r>
            <w:r>
              <w:rPr>
                <w:noProof/>
                <w:webHidden/>
              </w:rPr>
            </w:r>
            <w:r>
              <w:rPr>
                <w:noProof/>
                <w:webHidden/>
              </w:rPr>
              <w:fldChar w:fldCharType="separate"/>
            </w:r>
            <w:r w:rsidR="0009548B">
              <w:rPr>
                <w:noProof/>
                <w:webHidden/>
              </w:rPr>
              <w:t>17</w:t>
            </w:r>
            <w:r>
              <w:rPr>
                <w:noProof/>
                <w:webHidden/>
              </w:rPr>
              <w:fldChar w:fldCharType="end"/>
            </w:r>
          </w:hyperlink>
        </w:p>
        <w:p w:rsidR="008733F0" w:rsidRDefault="007C2E65">
          <w:pPr>
            <w:pStyle w:val="TOC2"/>
            <w:tabs>
              <w:tab w:val="left" w:pos="690"/>
              <w:tab w:val="right" w:leader="dot" w:pos="9860"/>
            </w:tabs>
            <w:rPr>
              <w:smallCaps w:val="0"/>
              <w:noProof/>
              <w:sz w:val="22"/>
              <w:szCs w:val="22"/>
              <w:lang w:bidi="ar-SA"/>
            </w:rPr>
          </w:pPr>
          <w:hyperlink w:anchor="_Toc300834227" w:history="1">
            <w:r w:rsidR="008733F0" w:rsidRPr="00AF7294">
              <w:rPr>
                <w:rStyle w:val="Hyperlink"/>
                <w:noProof/>
              </w:rPr>
              <w:t>C.</w:t>
            </w:r>
            <w:r w:rsidR="008733F0">
              <w:rPr>
                <w:smallCaps w:val="0"/>
                <w:noProof/>
                <w:sz w:val="22"/>
                <w:szCs w:val="22"/>
                <w:lang w:bidi="ar-SA"/>
              </w:rPr>
              <w:tab/>
            </w:r>
            <w:r w:rsidR="008733F0" w:rsidRPr="00AF7294">
              <w:rPr>
                <w:rStyle w:val="Hyperlink"/>
                <w:noProof/>
              </w:rPr>
              <w:t>Consolidated statement of financial position</w:t>
            </w:r>
            <w:r w:rsidR="008733F0">
              <w:rPr>
                <w:noProof/>
                <w:webHidden/>
              </w:rPr>
              <w:tab/>
            </w:r>
            <w:r>
              <w:rPr>
                <w:noProof/>
                <w:webHidden/>
              </w:rPr>
              <w:fldChar w:fldCharType="begin"/>
            </w:r>
            <w:r w:rsidR="008733F0">
              <w:rPr>
                <w:noProof/>
                <w:webHidden/>
              </w:rPr>
              <w:instrText xml:space="preserve"> PAGEREF _Toc300834227 \h </w:instrText>
            </w:r>
            <w:r>
              <w:rPr>
                <w:noProof/>
                <w:webHidden/>
              </w:rPr>
            </w:r>
            <w:r>
              <w:rPr>
                <w:noProof/>
                <w:webHidden/>
              </w:rPr>
              <w:fldChar w:fldCharType="separate"/>
            </w:r>
            <w:r w:rsidR="0009548B">
              <w:rPr>
                <w:noProof/>
                <w:webHidden/>
              </w:rPr>
              <w:t>18</w:t>
            </w:r>
            <w:r>
              <w:rPr>
                <w:noProof/>
                <w:webHidden/>
              </w:rPr>
              <w:fldChar w:fldCharType="end"/>
            </w:r>
          </w:hyperlink>
        </w:p>
        <w:p w:rsidR="008733F0" w:rsidRDefault="007C2E65">
          <w:pPr>
            <w:pStyle w:val="TOC2"/>
            <w:tabs>
              <w:tab w:val="left" w:pos="690"/>
              <w:tab w:val="right" w:leader="dot" w:pos="9860"/>
            </w:tabs>
            <w:rPr>
              <w:smallCaps w:val="0"/>
              <w:noProof/>
              <w:sz w:val="22"/>
              <w:szCs w:val="22"/>
              <w:lang w:bidi="ar-SA"/>
            </w:rPr>
          </w:pPr>
          <w:hyperlink w:anchor="_Toc300834228" w:history="1">
            <w:r w:rsidR="008733F0" w:rsidRPr="00AF7294">
              <w:rPr>
                <w:rStyle w:val="Hyperlink"/>
                <w:noProof/>
              </w:rPr>
              <w:t>D.</w:t>
            </w:r>
            <w:r w:rsidR="008733F0">
              <w:rPr>
                <w:smallCaps w:val="0"/>
                <w:noProof/>
                <w:sz w:val="22"/>
                <w:szCs w:val="22"/>
                <w:lang w:bidi="ar-SA"/>
              </w:rPr>
              <w:tab/>
            </w:r>
            <w:r w:rsidR="008733F0" w:rsidRPr="00AF7294">
              <w:rPr>
                <w:rStyle w:val="Hyperlink"/>
                <w:noProof/>
              </w:rPr>
              <w:t>Consolidated statement of changes in equity</w:t>
            </w:r>
            <w:r w:rsidR="008733F0">
              <w:rPr>
                <w:noProof/>
                <w:webHidden/>
              </w:rPr>
              <w:tab/>
            </w:r>
            <w:r>
              <w:rPr>
                <w:noProof/>
                <w:webHidden/>
              </w:rPr>
              <w:fldChar w:fldCharType="begin"/>
            </w:r>
            <w:r w:rsidR="008733F0">
              <w:rPr>
                <w:noProof/>
                <w:webHidden/>
              </w:rPr>
              <w:instrText xml:space="preserve"> PAGEREF _Toc300834228 \h </w:instrText>
            </w:r>
            <w:r>
              <w:rPr>
                <w:noProof/>
                <w:webHidden/>
              </w:rPr>
            </w:r>
            <w:r>
              <w:rPr>
                <w:noProof/>
                <w:webHidden/>
              </w:rPr>
              <w:fldChar w:fldCharType="separate"/>
            </w:r>
            <w:r w:rsidR="0009548B">
              <w:rPr>
                <w:noProof/>
                <w:webHidden/>
              </w:rPr>
              <w:t>19</w:t>
            </w:r>
            <w:r>
              <w:rPr>
                <w:noProof/>
                <w:webHidden/>
              </w:rPr>
              <w:fldChar w:fldCharType="end"/>
            </w:r>
          </w:hyperlink>
        </w:p>
        <w:p w:rsidR="008733F0" w:rsidRDefault="007C2E65">
          <w:pPr>
            <w:pStyle w:val="TOC2"/>
            <w:tabs>
              <w:tab w:val="left" w:pos="690"/>
              <w:tab w:val="right" w:leader="dot" w:pos="9860"/>
            </w:tabs>
            <w:rPr>
              <w:smallCaps w:val="0"/>
              <w:noProof/>
              <w:sz w:val="22"/>
              <w:szCs w:val="22"/>
              <w:lang w:bidi="ar-SA"/>
            </w:rPr>
          </w:pPr>
          <w:hyperlink w:anchor="_Toc300834229" w:history="1">
            <w:r w:rsidR="008733F0" w:rsidRPr="00AF7294">
              <w:rPr>
                <w:rStyle w:val="Hyperlink"/>
                <w:noProof/>
              </w:rPr>
              <w:t>E.</w:t>
            </w:r>
            <w:r w:rsidR="008733F0">
              <w:rPr>
                <w:smallCaps w:val="0"/>
                <w:noProof/>
                <w:sz w:val="22"/>
                <w:szCs w:val="22"/>
                <w:lang w:bidi="ar-SA"/>
              </w:rPr>
              <w:tab/>
            </w:r>
            <w:r w:rsidR="008733F0" w:rsidRPr="00AF7294">
              <w:rPr>
                <w:rStyle w:val="Hyperlink"/>
                <w:noProof/>
              </w:rPr>
              <w:t>Consolidated statement of cash flows</w:t>
            </w:r>
            <w:r w:rsidR="008733F0">
              <w:rPr>
                <w:noProof/>
                <w:webHidden/>
              </w:rPr>
              <w:tab/>
            </w:r>
            <w:r>
              <w:rPr>
                <w:noProof/>
                <w:webHidden/>
              </w:rPr>
              <w:fldChar w:fldCharType="begin"/>
            </w:r>
            <w:r w:rsidR="008733F0">
              <w:rPr>
                <w:noProof/>
                <w:webHidden/>
              </w:rPr>
              <w:instrText xml:space="preserve"> PAGEREF _Toc300834229 \h </w:instrText>
            </w:r>
            <w:r>
              <w:rPr>
                <w:noProof/>
                <w:webHidden/>
              </w:rPr>
            </w:r>
            <w:r>
              <w:rPr>
                <w:noProof/>
                <w:webHidden/>
              </w:rPr>
              <w:fldChar w:fldCharType="separate"/>
            </w:r>
            <w:r w:rsidR="0009548B">
              <w:rPr>
                <w:noProof/>
                <w:webHidden/>
              </w:rPr>
              <w:t>21</w:t>
            </w:r>
            <w:r>
              <w:rPr>
                <w:noProof/>
                <w:webHidden/>
              </w:rPr>
              <w:fldChar w:fldCharType="end"/>
            </w:r>
          </w:hyperlink>
        </w:p>
        <w:p w:rsidR="008733F0" w:rsidRDefault="007C2E65">
          <w:pPr>
            <w:pStyle w:val="TOC2"/>
            <w:tabs>
              <w:tab w:val="left" w:pos="690"/>
              <w:tab w:val="right" w:leader="dot" w:pos="9860"/>
            </w:tabs>
            <w:rPr>
              <w:smallCaps w:val="0"/>
              <w:noProof/>
              <w:sz w:val="22"/>
              <w:szCs w:val="22"/>
              <w:lang w:bidi="ar-SA"/>
            </w:rPr>
          </w:pPr>
          <w:hyperlink w:anchor="_Toc300834230" w:history="1">
            <w:r w:rsidR="008733F0" w:rsidRPr="00AF7294">
              <w:rPr>
                <w:rStyle w:val="Hyperlink"/>
                <w:noProof/>
              </w:rPr>
              <w:t>F.</w:t>
            </w:r>
            <w:r w:rsidR="008733F0">
              <w:rPr>
                <w:smallCaps w:val="0"/>
                <w:noProof/>
                <w:sz w:val="22"/>
                <w:szCs w:val="22"/>
                <w:lang w:bidi="ar-SA"/>
              </w:rPr>
              <w:tab/>
            </w:r>
            <w:r w:rsidR="008733F0" w:rsidRPr="00AF7294">
              <w:rPr>
                <w:rStyle w:val="Hyperlink"/>
                <w:noProof/>
              </w:rPr>
              <w:t>Notes to the Semi-Annual Financial Statements</w:t>
            </w:r>
            <w:r w:rsidR="008733F0">
              <w:rPr>
                <w:noProof/>
                <w:webHidden/>
              </w:rPr>
              <w:tab/>
            </w:r>
            <w:r>
              <w:rPr>
                <w:noProof/>
                <w:webHidden/>
              </w:rPr>
              <w:fldChar w:fldCharType="begin"/>
            </w:r>
            <w:r w:rsidR="008733F0">
              <w:rPr>
                <w:noProof/>
                <w:webHidden/>
              </w:rPr>
              <w:instrText xml:space="preserve"> PAGEREF _Toc300834230 \h </w:instrText>
            </w:r>
            <w:r>
              <w:rPr>
                <w:noProof/>
                <w:webHidden/>
              </w:rPr>
            </w:r>
            <w:r>
              <w:rPr>
                <w:noProof/>
                <w:webHidden/>
              </w:rPr>
              <w:fldChar w:fldCharType="separate"/>
            </w:r>
            <w:r w:rsidR="0009548B">
              <w:rPr>
                <w:noProof/>
                <w:webHidden/>
              </w:rPr>
              <w:t>22</w:t>
            </w:r>
            <w:r>
              <w:rPr>
                <w:noProof/>
                <w:webHidden/>
              </w:rPr>
              <w:fldChar w:fldCharType="end"/>
            </w:r>
          </w:hyperlink>
        </w:p>
        <w:p w:rsidR="008733F0" w:rsidRDefault="007C2E65">
          <w:pPr>
            <w:pStyle w:val="TOC3"/>
            <w:tabs>
              <w:tab w:val="left" w:pos="920"/>
              <w:tab w:val="right" w:leader="dot" w:pos="9860"/>
            </w:tabs>
            <w:rPr>
              <w:i w:val="0"/>
              <w:iCs w:val="0"/>
              <w:noProof/>
              <w:sz w:val="22"/>
              <w:szCs w:val="22"/>
              <w:lang w:bidi="ar-SA"/>
            </w:rPr>
          </w:pPr>
          <w:hyperlink w:anchor="_Toc300834231" w:history="1">
            <w:r w:rsidR="008733F0" w:rsidRPr="00AF7294">
              <w:rPr>
                <w:rStyle w:val="Hyperlink"/>
                <w:noProof/>
              </w:rPr>
              <w:t>1.</w:t>
            </w:r>
            <w:r w:rsidR="008733F0">
              <w:rPr>
                <w:i w:val="0"/>
                <w:iCs w:val="0"/>
                <w:noProof/>
                <w:sz w:val="22"/>
                <w:szCs w:val="22"/>
                <w:lang w:bidi="ar-SA"/>
              </w:rPr>
              <w:tab/>
            </w:r>
            <w:r w:rsidR="008733F0" w:rsidRPr="00AF7294">
              <w:rPr>
                <w:rStyle w:val="Hyperlink"/>
                <w:noProof/>
              </w:rPr>
              <w:t>Corporate information</w:t>
            </w:r>
            <w:r w:rsidR="008733F0">
              <w:rPr>
                <w:noProof/>
                <w:webHidden/>
              </w:rPr>
              <w:tab/>
            </w:r>
            <w:r>
              <w:rPr>
                <w:noProof/>
                <w:webHidden/>
              </w:rPr>
              <w:fldChar w:fldCharType="begin"/>
            </w:r>
            <w:r w:rsidR="008733F0">
              <w:rPr>
                <w:noProof/>
                <w:webHidden/>
              </w:rPr>
              <w:instrText xml:space="preserve"> PAGEREF _Toc300834231 \h </w:instrText>
            </w:r>
            <w:r>
              <w:rPr>
                <w:noProof/>
                <w:webHidden/>
              </w:rPr>
            </w:r>
            <w:r>
              <w:rPr>
                <w:noProof/>
                <w:webHidden/>
              </w:rPr>
              <w:fldChar w:fldCharType="separate"/>
            </w:r>
            <w:r w:rsidR="0009548B">
              <w:rPr>
                <w:noProof/>
                <w:webHidden/>
              </w:rPr>
              <w:t>22</w:t>
            </w:r>
            <w:r>
              <w:rPr>
                <w:noProof/>
                <w:webHidden/>
              </w:rPr>
              <w:fldChar w:fldCharType="end"/>
            </w:r>
          </w:hyperlink>
        </w:p>
        <w:p w:rsidR="008733F0" w:rsidRDefault="007C2E65">
          <w:pPr>
            <w:pStyle w:val="TOC3"/>
            <w:tabs>
              <w:tab w:val="left" w:pos="920"/>
              <w:tab w:val="right" w:leader="dot" w:pos="9860"/>
            </w:tabs>
            <w:rPr>
              <w:i w:val="0"/>
              <w:iCs w:val="0"/>
              <w:noProof/>
              <w:sz w:val="22"/>
              <w:szCs w:val="22"/>
              <w:lang w:bidi="ar-SA"/>
            </w:rPr>
          </w:pPr>
          <w:hyperlink w:anchor="_Toc300834232" w:history="1">
            <w:r w:rsidR="008733F0" w:rsidRPr="00AF7294">
              <w:rPr>
                <w:rStyle w:val="Hyperlink"/>
                <w:noProof/>
              </w:rPr>
              <w:t>2.</w:t>
            </w:r>
            <w:r w:rsidR="008733F0">
              <w:rPr>
                <w:i w:val="0"/>
                <w:iCs w:val="0"/>
                <w:noProof/>
                <w:sz w:val="22"/>
                <w:szCs w:val="22"/>
                <w:lang w:bidi="ar-SA"/>
              </w:rPr>
              <w:tab/>
            </w:r>
            <w:r w:rsidR="008733F0" w:rsidRPr="00AF7294">
              <w:rPr>
                <w:rStyle w:val="Hyperlink"/>
                <w:noProof/>
              </w:rPr>
              <w:t>Basis of preparation</w:t>
            </w:r>
            <w:r w:rsidR="008733F0">
              <w:rPr>
                <w:noProof/>
                <w:webHidden/>
              </w:rPr>
              <w:tab/>
            </w:r>
            <w:r>
              <w:rPr>
                <w:noProof/>
                <w:webHidden/>
              </w:rPr>
              <w:fldChar w:fldCharType="begin"/>
            </w:r>
            <w:r w:rsidR="008733F0">
              <w:rPr>
                <w:noProof/>
                <w:webHidden/>
              </w:rPr>
              <w:instrText xml:space="preserve"> PAGEREF _Toc300834232 \h </w:instrText>
            </w:r>
            <w:r>
              <w:rPr>
                <w:noProof/>
                <w:webHidden/>
              </w:rPr>
            </w:r>
            <w:r>
              <w:rPr>
                <w:noProof/>
                <w:webHidden/>
              </w:rPr>
              <w:fldChar w:fldCharType="separate"/>
            </w:r>
            <w:r w:rsidR="0009548B">
              <w:rPr>
                <w:noProof/>
                <w:webHidden/>
              </w:rPr>
              <w:t>22</w:t>
            </w:r>
            <w:r>
              <w:rPr>
                <w:noProof/>
                <w:webHidden/>
              </w:rPr>
              <w:fldChar w:fldCharType="end"/>
            </w:r>
          </w:hyperlink>
        </w:p>
        <w:p w:rsidR="008733F0" w:rsidRDefault="007C2E65">
          <w:pPr>
            <w:pStyle w:val="TOC3"/>
            <w:tabs>
              <w:tab w:val="left" w:pos="920"/>
              <w:tab w:val="right" w:leader="dot" w:pos="9860"/>
            </w:tabs>
            <w:rPr>
              <w:i w:val="0"/>
              <w:iCs w:val="0"/>
              <w:noProof/>
              <w:sz w:val="22"/>
              <w:szCs w:val="22"/>
              <w:lang w:bidi="ar-SA"/>
            </w:rPr>
          </w:pPr>
          <w:hyperlink w:anchor="_Toc300834233" w:history="1">
            <w:r w:rsidR="008733F0" w:rsidRPr="00AF7294">
              <w:rPr>
                <w:rStyle w:val="Hyperlink"/>
                <w:noProof/>
              </w:rPr>
              <w:t>3.</w:t>
            </w:r>
            <w:r w:rsidR="008733F0">
              <w:rPr>
                <w:i w:val="0"/>
                <w:iCs w:val="0"/>
                <w:noProof/>
                <w:sz w:val="22"/>
                <w:szCs w:val="22"/>
                <w:lang w:bidi="ar-SA"/>
              </w:rPr>
              <w:tab/>
            </w:r>
            <w:r w:rsidR="008733F0" w:rsidRPr="00AF7294">
              <w:rPr>
                <w:rStyle w:val="Hyperlink"/>
                <w:noProof/>
              </w:rPr>
              <w:t>Significant accounting policies</w:t>
            </w:r>
            <w:r w:rsidR="008733F0">
              <w:rPr>
                <w:noProof/>
                <w:webHidden/>
              </w:rPr>
              <w:tab/>
            </w:r>
            <w:r>
              <w:rPr>
                <w:noProof/>
                <w:webHidden/>
              </w:rPr>
              <w:fldChar w:fldCharType="begin"/>
            </w:r>
            <w:r w:rsidR="008733F0">
              <w:rPr>
                <w:noProof/>
                <w:webHidden/>
              </w:rPr>
              <w:instrText xml:space="preserve"> PAGEREF _Toc300834233 \h </w:instrText>
            </w:r>
            <w:r>
              <w:rPr>
                <w:noProof/>
                <w:webHidden/>
              </w:rPr>
            </w:r>
            <w:r>
              <w:rPr>
                <w:noProof/>
                <w:webHidden/>
              </w:rPr>
              <w:fldChar w:fldCharType="separate"/>
            </w:r>
            <w:r w:rsidR="0009548B">
              <w:rPr>
                <w:noProof/>
                <w:webHidden/>
              </w:rPr>
              <w:t>23</w:t>
            </w:r>
            <w:r>
              <w:rPr>
                <w:noProof/>
                <w:webHidden/>
              </w:rPr>
              <w:fldChar w:fldCharType="end"/>
            </w:r>
          </w:hyperlink>
        </w:p>
        <w:p w:rsidR="008733F0" w:rsidRDefault="007C2E65">
          <w:pPr>
            <w:pStyle w:val="TOC3"/>
            <w:tabs>
              <w:tab w:val="left" w:pos="920"/>
              <w:tab w:val="right" w:leader="dot" w:pos="9860"/>
            </w:tabs>
            <w:rPr>
              <w:i w:val="0"/>
              <w:iCs w:val="0"/>
              <w:noProof/>
              <w:sz w:val="22"/>
              <w:szCs w:val="22"/>
              <w:lang w:bidi="ar-SA"/>
            </w:rPr>
          </w:pPr>
          <w:hyperlink w:anchor="_Toc300834234" w:history="1">
            <w:r w:rsidR="008733F0" w:rsidRPr="00AF7294">
              <w:rPr>
                <w:rStyle w:val="Hyperlink"/>
                <w:noProof/>
              </w:rPr>
              <w:t>4.</w:t>
            </w:r>
            <w:r w:rsidR="008733F0">
              <w:rPr>
                <w:i w:val="0"/>
                <w:iCs w:val="0"/>
                <w:noProof/>
                <w:sz w:val="22"/>
                <w:szCs w:val="22"/>
                <w:lang w:bidi="ar-SA"/>
              </w:rPr>
              <w:tab/>
            </w:r>
            <w:r w:rsidR="008733F0" w:rsidRPr="00AF7294">
              <w:rPr>
                <w:rStyle w:val="Hyperlink"/>
                <w:noProof/>
              </w:rPr>
              <w:t>Estimates</w:t>
            </w:r>
            <w:r w:rsidR="008733F0">
              <w:rPr>
                <w:noProof/>
                <w:webHidden/>
              </w:rPr>
              <w:tab/>
            </w:r>
            <w:r>
              <w:rPr>
                <w:noProof/>
                <w:webHidden/>
              </w:rPr>
              <w:fldChar w:fldCharType="begin"/>
            </w:r>
            <w:r w:rsidR="008733F0">
              <w:rPr>
                <w:noProof/>
                <w:webHidden/>
              </w:rPr>
              <w:instrText xml:space="preserve"> PAGEREF _Toc300834234 \h </w:instrText>
            </w:r>
            <w:r>
              <w:rPr>
                <w:noProof/>
                <w:webHidden/>
              </w:rPr>
            </w:r>
            <w:r>
              <w:rPr>
                <w:noProof/>
                <w:webHidden/>
              </w:rPr>
              <w:fldChar w:fldCharType="separate"/>
            </w:r>
            <w:r w:rsidR="0009548B">
              <w:rPr>
                <w:noProof/>
                <w:webHidden/>
              </w:rPr>
              <w:t>23</w:t>
            </w:r>
            <w:r>
              <w:rPr>
                <w:noProof/>
                <w:webHidden/>
              </w:rPr>
              <w:fldChar w:fldCharType="end"/>
            </w:r>
          </w:hyperlink>
        </w:p>
        <w:p w:rsidR="008733F0" w:rsidRDefault="007C2E65">
          <w:pPr>
            <w:pStyle w:val="TOC3"/>
            <w:tabs>
              <w:tab w:val="left" w:pos="920"/>
              <w:tab w:val="right" w:leader="dot" w:pos="9860"/>
            </w:tabs>
            <w:rPr>
              <w:i w:val="0"/>
              <w:iCs w:val="0"/>
              <w:noProof/>
              <w:sz w:val="22"/>
              <w:szCs w:val="22"/>
              <w:lang w:bidi="ar-SA"/>
            </w:rPr>
          </w:pPr>
          <w:hyperlink w:anchor="_Toc300834235" w:history="1">
            <w:r w:rsidR="008733F0" w:rsidRPr="00AF7294">
              <w:rPr>
                <w:rStyle w:val="Hyperlink"/>
                <w:noProof/>
              </w:rPr>
              <w:t>5.</w:t>
            </w:r>
            <w:r w:rsidR="008733F0">
              <w:rPr>
                <w:i w:val="0"/>
                <w:iCs w:val="0"/>
                <w:noProof/>
                <w:sz w:val="22"/>
                <w:szCs w:val="22"/>
                <w:lang w:bidi="ar-SA"/>
              </w:rPr>
              <w:tab/>
            </w:r>
            <w:r w:rsidR="008733F0" w:rsidRPr="00AF7294">
              <w:rPr>
                <w:rStyle w:val="Hyperlink"/>
                <w:noProof/>
              </w:rPr>
              <w:t>Operating segment information</w:t>
            </w:r>
            <w:r w:rsidR="008733F0">
              <w:rPr>
                <w:noProof/>
                <w:webHidden/>
              </w:rPr>
              <w:tab/>
            </w:r>
            <w:r>
              <w:rPr>
                <w:noProof/>
                <w:webHidden/>
              </w:rPr>
              <w:fldChar w:fldCharType="begin"/>
            </w:r>
            <w:r w:rsidR="008733F0">
              <w:rPr>
                <w:noProof/>
                <w:webHidden/>
              </w:rPr>
              <w:instrText xml:space="preserve"> PAGEREF _Toc300834235 \h </w:instrText>
            </w:r>
            <w:r>
              <w:rPr>
                <w:noProof/>
                <w:webHidden/>
              </w:rPr>
            </w:r>
            <w:r>
              <w:rPr>
                <w:noProof/>
                <w:webHidden/>
              </w:rPr>
              <w:fldChar w:fldCharType="separate"/>
            </w:r>
            <w:r w:rsidR="0009548B">
              <w:rPr>
                <w:noProof/>
                <w:webHidden/>
              </w:rPr>
              <w:t>23</w:t>
            </w:r>
            <w:r>
              <w:rPr>
                <w:noProof/>
                <w:webHidden/>
              </w:rPr>
              <w:fldChar w:fldCharType="end"/>
            </w:r>
          </w:hyperlink>
        </w:p>
        <w:p w:rsidR="008733F0" w:rsidRDefault="007C2E65">
          <w:pPr>
            <w:pStyle w:val="TOC3"/>
            <w:tabs>
              <w:tab w:val="left" w:pos="920"/>
              <w:tab w:val="right" w:leader="dot" w:pos="9860"/>
            </w:tabs>
            <w:rPr>
              <w:i w:val="0"/>
              <w:iCs w:val="0"/>
              <w:noProof/>
              <w:sz w:val="22"/>
              <w:szCs w:val="22"/>
              <w:lang w:bidi="ar-SA"/>
            </w:rPr>
          </w:pPr>
          <w:hyperlink w:anchor="_Toc300834236" w:history="1">
            <w:r w:rsidR="008733F0" w:rsidRPr="00AF7294">
              <w:rPr>
                <w:rStyle w:val="Hyperlink"/>
                <w:noProof/>
              </w:rPr>
              <w:t>6.</w:t>
            </w:r>
            <w:r w:rsidR="008733F0">
              <w:rPr>
                <w:i w:val="0"/>
                <w:iCs w:val="0"/>
                <w:noProof/>
                <w:sz w:val="22"/>
                <w:szCs w:val="22"/>
                <w:lang w:bidi="ar-SA"/>
              </w:rPr>
              <w:tab/>
            </w:r>
            <w:r w:rsidR="008733F0" w:rsidRPr="00AF7294">
              <w:rPr>
                <w:rStyle w:val="Hyperlink"/>
                <w:noProof/>
              </w:rPr>
              <w:t>Investments in associates and jointly controlled entities</w:t>
            </w:r>
            <w:r w:rsidR="008733F0">
              <w:rPr>
                <w:noProof/>
                <w:webHidden/>
              </w:rPr>
              <w:tab/>
            </w:r>
            <w:r>
              <w:rPr>
                <w:noProof/>
                <w:webHidden/>
              </w:rPr>
              <w:fldChar w:fldCharType="begin"/>
            </w:r>
            <w:r w:rsidR="008733F0">
              <w:rPr>
                <w:noProof/>
                <w:webHidden/>
              </w:rPr>
              <w:instrText xml:space="preserve"> PAGEREF _Toc300834236 \h </w:instrText>
            </w:r>
            <w:r>
              <w:rPr>
                <w:noProof/>
                <w:webHidden/>
              </w:rPr>
            </w:r>
            <w:r>
              <w:rPr>
                <w:noProof/>
                <w:webHidden/>
              </w:rPr>
              <w:fldChar w:fldCharType="separate"/>
            </w:r>
            <w:r w:rsidR="0009548B">
              <w:rPr>
                <w:noProof/>
                <w:webHidden/>
              </w:rPr>
              <w:t>27</w:t>
            </w:r>
            <w:r>
              <w:rPr>
                <w:noProof/>
                <w:webHidden/>
              </w:rPr>
              <w:fldChar w:fldCharType="end"/>
            </w:r>
          </w:hyperlink>
        </w:p>
        <w:p w:rsidR="008733F0" w:rsidRDefault="007C2E65">
          <w:pPr>
            <w:pStyle w:val="TOC3"/>
            <w:tabs>
              <w:tab w:val="left" w:pos="920"/>
              <w:tab w:val="right" w:leader="dot" w:pos="9860"/>
            </w:tabs>
            <w:rPr>
              <w:i w:val="0"/>
              <w:iCs w:val="0"/>
              <w:noProof/>
              <w:sz w:val="22"/>
              <w:szCs w:val="22"/>
              <w:lang w:bidi="ar-SA"/>
            </w:rPr>
          </w:pPr>
          <w:hyperlink w:anchor="_Toc300834237" w:history="1">
            <w:r w:rsidR="008733F0" w:rsidRPr="00AF7294">
              <w:rPr>
                <w:rStyle w:val="Hyperlink"/>
                <w:noProof/>
              </w:rPr>
              <w:t>7.</w:t>
            </w:r>
            <w:r w:rsidR="008733F0">
              <w:rPr>
                <w:i w:val="0"/>
                <w:iCs w:val="0"/>
                <w:noProof/>
                <w:sz w:val="22"/>
                <w:szCs w:val="22"/>
                <w:lang w:bidi="ar-SA"/>
              </w:rPr>
              <w:tab/>
            </w:r>
            <w:r w:rsidR="008733F0" w:rsidRPr="00AF7294">
              <w:rPr>
                <w:rStyle w:val="Hyperlink"/>
                <w:noProof/>
              </w:rPr>
              <w:t>Business combinations</w:t>
            </w:r>
            <w:r w:rsidR="008733F0">
              <w:rPr>
                <w:noProof/>
                <w:webHidden/>
              </w:rPr>
              <w:tab/>
            </w:r>
            <w:r>
              <w:rPr>
                <w:noProof/>
                <w:webHidden/>
              </w:rPr>
              <w:fldChar w:fldCharType="begin"/>
            </w:r>
            <w:r w:rsidR="008733F0">
              <w:rPr>
                <w:noProof/>
                <w:webHidden/>
              </w:rPr>
              <w:instrText xml:space="preserve"> PAGEREF _Toc300834237 \h </w:instrText>
            </w:r>
            <w:r>
              <w:rPr>
                <w:noProof/>
                <w:webHidden/>
              </w:rPr>
            </w:r>
            <w:r>
              <w:rPr>
                <w:noProof/>
                <w:webHidden/>
              </w:rPr>
              <w:fldChar w:fldCharType="separate"/>
            </w:r>
            <w:r w:rsidR="0009548B">
              <w:rPr>
                <w:noProof/>
                <w:webHidden/>
              </w:rPr>
              <w:t>28</w:t>
            </w:r>
            <w:r>
              <w:rPr>
                <w:noProof/>
                <w:webHidden/>
              </w:rPr>
              <w:fldChar w:fldCharType="end"/>
            </w:r>
          </w:hyperlink>
        </w:p>
        <w:p w:rsidR="008733F0" w:rsidRDefault="007C2E65">
          <w:pPr>
            <w:pStyle w:val="TOC3"/>
            <w:tabs>
              <w:tab w:val="left" w:pos="920"/>
              <w:tab w:val="right" w:leader="dot" w:pos="9860"/>
            </w:tabs>
            <w:rPr>
              <w:i w:val="0"/>
              <w:iCs w:val="0"/>
              <w:noProof/>
              <w:sz w:val="22"/>
              <w:szCs w:val="22"/>
              <w:lang w:bidi="ar-SA"/>
            </w:rPr>
          </w:pPr>
          <w:hyperlink w:anchor="_Toc300834238" w:history="1">
            <w:r w:rsidR="008733F0" w:rsidRPr="00AF7294">
              <w:rPr>
                <w:rStyle w:val="Hyperlink"/>
                <w:noProof/>
              </w:rPr>
              <w:t>8.</w:t>
            </w:r>
            <w:r w:rsidR="008733F0">
              <w:rPr>
                <w:i w:val="0"/>
                <w:iCs w:val="0"/>
                <w:noProof/>
                <w:sz w:val="22"/>
                <w:szCs w:val="22"/>
                <w:lang w:bidi="ar-SA"/>
              </w:rPr>
              <w:tab/>
            </w:r>
            <w:r w:rsidR="008733F0" w:rsidRPr="00AF7294">
              <w:rPr>
                <w:rStyle w:val="Hyperlink"/>
                <w:noProof/>
              </w:rPr>
              <w:t>Property, plant and equipment and intangible assets</w:t>
            </w:r>
            <w:r w:rsidR="008733F0">
              <w:rPr>
                <w:noProof/>
                <w:webHidden/>
              </w:rPr>
              <w:tab/>
            </w:r>
            <w:r>
              <w:rPr>
                <w:noProof/>
                <w:webHidden/>
              </w:rPr>
              <w:fldChar w:fldCharType="begin"/>
            </w:r>
            <w:r w:rsidR="008733F0">
              <w:rPr>
                <w:noProof/>
                <w:webHidden/>
              </w:rPr>
              <w:instrText xml:space="preserve"> PAGEREF _Toc300834238 \h </w:instrText>
            </w:r>
            <w:r>
              <w:rPr>
                <w:noProof/>
                <w:webHidden/>
              </w:rPr>
            </w:r>
            <w:r>
              <w:rPr>
                <w:noProof/>
                <w:webHidden/>
              </w:rPr>
              <w:fldChar w:fldCharType="separate"/>
            </w:r>
            <w:r w:rsidR="0009548B">
              <w:rPr>
                <w:noProof/>
                <w:webHidden/>
              </w:rPr>
              <w:t>30</w:t>
            </w:r>
            <w:r>
              <w:rPr>
                <w:noProof/>
                <w:webHidden/>
              </w:rPr>
              <w:fldChar w:fldCharType="end"/>
            </w:r>
          </w:hyperlink>
        </w:p>
        <w:p w:rsidR="008733F0" w:rsidRDefault="007C2E65">
          <w:pPr>
            <w:pStyle w:val="TOC3"/>
            <w:tabs>
              <w:tab w:val="left" w:pos="920"/>
              <w:tab w:val="right" w:leader="dot" w:pos="9860"/>
            </w:tabs>
            <w:rPr>
              <w:i w:val="0"/>
              <w:iCs w:val="0"/>
              <w:noProof/>
              <w:sz w:val="22"/>
              <w:szCs w:val="22"/>
              <w:lang w:bidi="ar-SA"/>
            </w:rPr>
          </w:pPr>
          <w:hyperlink w:anchor="_Toc300834239" w:history="1">
            <w:r w:rsidR="008733F0" w:rsidRPr="00AF7294">
              <w:rPr>
                <w:rStyle w:val="Hyperlink"/>
                <w:noProof/>
              </w:rPr>
              <w:t>9.</w:t>
            </w:r>
            <w:r w:rsidR="008733F0">
              <w:rPr>
                <w:i w:val="0"/>
                <w:iCs w:val="0"/>
                <w:noProof/>
                <w:sz w:val="22"/>
                <w:szCs w:val="22"/>
                <w:lang w:bidi="ar-SA"/>
              </w:rPr>
              <w:tab/>
            </w:r>
            <w:r w:rsidR="008733F0" w:rsidRPr="00AF7294">
              <w:rPr>
                <w:rStyle w:val="Hyperlink"/>
                <w:noProof/>
              </w:rPr>
              <w:t>Goodwill</w:t>
            </w:r>
            <w:r w:rsidR="008733F0">
              <w:rPr>
                <w:noProof/>
                <w:webHidden/>
              </w:rPr>
              <w:tab/>
            </w:r>
            <w:r>
              <w:rPr>
                <w:noProof/>
                <w:webHidden/>
              </w:rPr>
              <w:fldChar w:fldCharType="begin"/>
            </w:r>
            <w:r w:rsidR="008733F0">
              <w:rPr>
                <w:noProof/>
                <w:webHidden/>
              </w:rPr>
              <w:instrText xml:space="preserve"> PAGEREF _Toc300834239 \h </w:instrText>
            </w:r>
            <w:r>
              <w:rPr>
                <w:noProof/>
                <w:webHidden/>
              </w:rPr>
            </w:r>
            <w:r>
              <w:rPr>
                <w:noProof/>
                <w:webHidden/>
              </w:rPr>
              <w:fldChar w:fldCharType="separate"/>
            </w:r>
            <w:r w:rsidR="0009548B">
              <w:rPr>
                <w:noProof/>
                <w:webHidden/>
              </w:rPr>
              <w:t>30</w:t>
            </w:r>
            <w:r>
              <w:rPr>
                <w:noProof/>
                <w:webHidden/>
              </w:rPr>
              <w:fldChar w:fldCharType="end"/>
            </w:r>
          </w:hyperlink>
        </w:p>
        <w:p w:rsidR="008733F0" w:rsidRDefault="007C2E65">
          <w:pPr>
            <w:pStyle w:val="TOC3"/>
            <w:tabs>
              <w:tab w:val="left" w:pos="1150"/>
              <w:tab w:val="right" w:leader="dot" w:pos="9860"/>
            </w:tabs>
            <w:rPr>
              <w:i w:val="0"/>
              <w:iCs w:val="0"/>
              <w:noProof/>
              <w:sz w:val="22"/>
              <w:szCs w:val="22"/>
              <w:lang w:bidi="ar-SA"/>
            </w:rPr>
          </w:pPr>
          <w:hyperlink w:anchor="_Toc300834240" w:history="1">
            <w:r w:rsidR="008733F0" w:rsidRPr="00AF7294">
              <w:rPr>
                <w:rStyle w:val="Hyperlink"/>
                <w:noProof/>
              </w:rPr>
              <w:t>10.</w:t>
            </w:r>
            <w:r w:rsidR="008733F0">
              <w:rPr>
                <w:i w:val="0"/>
                <w:iCs w:val="0"/>
                <w:noProof/>
                <w:sz w:val="22"/>
                <w:szCs w:val="22"/>
                <w:lang w:bidi="ar-SA"/>
              </w:rPr>
              <w:tab/>
            </w:r>
            <w:r w:rsidR="008733F0" w:rsidRPr="00AF7294">
              <w:rPr>
                <w:rStyle w:val="Hyperlink"/>
                <w:noProof/>
              </w:rPr>
              <w:t>Other financial assets and financial liabilities</w:t>
            </w:r>
            <w:r w:rsidR="008733F0">
              <w:rPr>
                <w:noProof/>
                <w:webHidden/>
              </w:rPr>
              <w:tab/>
            </w:r>
            <w:r>
              <w:rPr>
                <w:noProof/>
                <w:webHidden/>
              </w:rPr>
              <w:fldChar w:fldCharType="begin"/>
            </w:r>
            <w:r w:rsidR="008733F0">
              <w:rPr>
                <w:noProof/>
                <w:webHidden/>
              </w:rPr>
              <w:instrText xml:space="preserve"> PAGEREF _Toc300834240 \h </w:instrText>
            </w:r>
            <w:r>
              <w:rPr>
                <w:noProof/>
                <w:webHidden/>
              </w:rPr>
            </w:r>
            <w:r>
              <w:rPr>
                <w:noProof/>
                <w:webHidden/>
              </w:rPr>
              <w:fldChar w:fldCharType="separate"/>
            </w:r>
            <w:r w:rsidR="0009548B">
              <w:rPr>
                <w:noProof/>
                <w:webHidden/>
              </w:rPr>
              <w:t>31</w:t>
            </w:r>
            <w:r>
              <w:rPr>
                <w:noProof/>
                <w:webHidden/>
              </w:rPr>
              <w:fldChar w:fldCharType="end"/>
            </w:r>
          </w:hyperlink>
        </w:p>
        <w:p w:rsidR="008733F0" w:rsidRDefault="007C2E65">
          <w:pPr>
            <w:pStyle w:val="TOC3"/>
            <w:tabs>
              <w:tab w:val="left" w:pos="1150"/>
              <w:tab w:val="right" w:leader="dot" w:pos="9860"/>
            </w:tabs>
            <w:rPr>
              <w:i w:val="0"/>
              <w:iCs w:val="0"/>
              <w:noProof/>
              <w:sz w:val="22"/>
              <w:szCs w:val="22"/>
              <w:lang w:bidi="ar-SA"/>
            </w:rPr>
          </w:pPr>
          <w:hyperlink w:anchor="_Toc300834241" w:history="1">
            <w:r w:rsidR="008733F0" w:rsidRPr="00AF7294">
              <w:rPr>
                <w:rStyle w:val="Hyperlink"/>
                <w:noProof/>
              </w:rPr>
              <w:t>11.</w:t>
            </w:r>
            <w:r w:rsidR="008733F0">
              <w:rPr>
                <w:i w:val="0"/>
                <w:iCs w:val="0"/>
                <w:noProof/>
                <w:sz w:val="22"/>
                <w:szCs w:val="22"/>
                <w:lang w:bidi="ar-SA"/>
              </w:rPr>
              <w:tab/>
            </w:r>
            <w:r w:rsidR="008733F0" w:rsidRPr="00AF7294">
              <w:rPr>
                <w:rStyle w:val="Hyperlink"/>
                <w:noProof/>
              </w:rPr>
              <w:t>Inventories</w:t>
            </w:r>
            <w:r w:rsidR="008733F0">
              <w:rPr>
                <w:noProof/>
                <w:webHidden/>
              </w:rPr>
              <w:tab/>
            </w:r>
            <w:r>
              <w:rPr>
                <w:noProof/>
                <w:webHidden/>
              </w:rPr>
              <w:fldChar w:fldCharType="begin"/>
            </w:r>
            <w:r w:rsidR="008733F0">
              <w:rPr>
                <w:noProof/>
                <w:webHidden/>
              </w:rPr>
              <w:instrText xml:space="preserve"> PAGEREF _Toc300834241 \h </w:instrText>
            </w:r>
            <w:r>
              <w:rPr>
                <w:noProof/>
                <w:webHidden/>
              </w:rPr>
            </w:r>
            <w:r>
              <w:rPr>
                <w:noProof/>
                <w:webHidden/>
              </w:rPr>
              <w:fldChar w:fldCharType="separate"/>
            </w:r>
            <w:r w:rsidR="0009548B">
              <w:rPr>
                <w:noProof/>
                <w:webHidden/>
              </w:rPr>
              <w:t>41</w:t>
            </w:r>
            <w:r>
              <w:rPr>
                <w:noProof/>
                <w:webHidden/>
              </w:rPr>
              <w:fldChar w:fldCharType="end"/>
            </w:r>
          </w:hyperlink>
        </w:p>
        <w:p w:rsidR="008733F0" w:rsidRDefault="007C2E65">
          <w:pPr>
            <w:pStyle w:val="TOC3"/>
            <w:tabs>
              <w:tab w:val="left" w:pos="1150"/>
              <w:tab w:val="right" w:leader="dot" w:pos="9860"/>
            </w:tabs>
            <w:rPr>
              <w:i w:val="0"/>
              <w:iCs w:val="0"/>
              <w:noProof/>
              <w:sz w:val="22"/>
              <w:szCs w:val="22"/>
              <w:lang w:bidi="ar-SA"/>
            </w:rPr>
          </w:pPr>
          <w:hyperlink w:anchor="_Toc300834242" w:history="1">
            <w:r w:rsidR="008733F0" w:rsidRPr="00AF7294">
              <w:rPr>
                <w:rStyle w:val="Hyperlink"/>
                <w:noProof/>
              </w:rPr>
              <w:t>12.</w:t>
            </w:r>
            <w:r w:rsidR="008733F0">
              <w:rPr>
                <w:i w:val="0"/>
                <w:iCs w:val="0"/>
                <w:noProof/>
                <w:sz w:val="22"/>
                <w:szCs w:val="22"/>
                <w:lang w:bidi="ar-SA"/>
              </w:rPr>
              <w:tab/>
            </w:r>
            <w:r w:rsidR="008733F0" w:rsidRPr="00AF7294">
              <w:rPr>
                <w:rStyle w:val="Hyperlink"/>
                <w:noProof/>
              </w:rPr>
              <w:t>Cash and cash equivalents</w:t>
            </w:r>
            <w:r w:rsidR="008733F0">
              <w:rPr>
                <w:noProof/>
                <w:webHidden/>
              </w:rPr>
              <w:tab/>
            </w:r>
            <w:r>
              <w:rPr>
                <w:noProof/>
                <w:webHidden/>
              </w:rPr>
              <w:fldChar w:fldCharType="begin"/>
            </w:r>
            <w:r w:rsidR="008733F0">
              <w:rPr>
                <w:noProof/>
                <w:webHidden/>
              </w:rPr>
              <w:instrText xml:space="preserve"> PAGEREF _Toc300834242 \h </w:instrText>
            </w:r>
            <w:r>
              <w:rPr>
                <w:noProof/>
                <w:webHidden/>
              </w:rPr>
            </w:r>
            <w:r>
              <w:rPr>
                <w:noProof/>
                <w:webHidden/>
              </w:rPr>
              <w:fldChar w:fldCharType="separate"/>
            </w:r>
            <w:r w:rsidR="0009548B">
              <w:rPr>
                <w:noProof/>
                <w:webHidden/>
              </w:rPr>
              <w:t>42</w:t>
            </w:r>
            <w:r>
              <w:rPr>
                <w:noProof/>
                <w:webHidden/>
              </w:rPr>
              <w:fldChar w:fldCharType="end"/>
            </w:r>
          </w:hyperlink>
        </w:p>
        <w:p w:rsidR="008733F0" w:rsidRDefault="007C2E65">
          <w:pPr>
            <w:pStyle w:val="TOC3"/>
            <w:tabs>
              <w:tab w:val="left" w:pos="1150"/>
              <w:tab w:val="right" w:leader="dot" w:pos="9860"/>
            </w:tabs>
            <w:rPr>
              <w:i w:val="0"/>
              <w:iCs w:val="0"/>
              <w:noProof/>
              <w:sz w:val="22"/>
              <w:szCs w:val="22"/>
              <w:lang w:bidi="ar-SA"/>
            </w:rPr>
          </w:pPr>
          <w:hyperlink w:anchor="_Toc300834243" w:history="1">
            <w:r w:rsidR="008733F0" w:rsidRPr="00AF7294">
              <w:rPr>
                <w:rStyle w:val="Hyperlink"/>
                <w:noProof/>
              </w:rPr>
              <w:t>13.</w:t>
            </w:r>
            <w:r w:rsidR="008733F0">
              <w:rPr>
                <w:i w:val="0"/>
                <w:iCs w:val="0"/>
                <w:noProof/>
                <w:sz w:val="22"/>
                <w:szCs w:val="22"/>
                <w:lang w:bidi="ar-SA"/>
              </w:rPr>
              <w:tab/>
            </w:r>
            <w:r w:rsidR="008733F0" w:rsidRPr="00AF7294">
              <w:rPr>
                <w:rStyle w:val="Hyperlink"/>
                <w:noProof/>
              </w:rPr>
              <w:t>Cash generated from operations</w:t>
            </w:r>
            <w:r w:rsidR="008733F0">
              <w:rPr>
                <w:noProof/>
                <w:webHidden/>
              </w:rPr>
              <w:tab/>
            </w:r>
            <w:r>
              <w:rPr>
                <w:noProof/>
                <w:webHidden/>
              </w:rPr>
              <w:fldChar w:fldCharType="begin"/>
            </w:r>
            <w:r w:rsidR="008733F0">
              <w:rPr>
                <w:noProof/>
                <w:webHidden/>
              </w:rPr>
              <w:instrText xml:space="preserve"> PAGEREF _Toc300834243 \h </w:instrText>
            </w:r>
            <w:r>
              <w:rPr>
                <w:noProof/>
                <w:webHidden/>
              </w:rPr>
            </w:r>
            <w:r>
              <w:rPr>
                <w:noProof/>
                <w:webHidden/>
              </w:rPr>
              <w:fldChar w:fldCharType="separate"/>
            </w:r>
            <w:r w:rsidR="0009548B">
              <w:rPr>
                <w:noProof/>
                <w:webHidden/>
              </w:rPr>
              <w:t>42</w:t>
            </w:r>
            <w:r>
              <w:rPr>
                <w:noProof/>
                <w:webHidden/>
              </w:rPr>
              <w:fldChar w:fldCharType="end"/>
            </w:r>
          </w:hyperlink>
        </w:p>
        <w:p w:rsidR="008733F0" w:rsidRDefault="007C2E65">
          <w:pPr>
            <w:pStyle w:val="TOC3"/>
            <w:tabs>
              <w:tab w:val="left" w:pos="1150"/>
              <w:tab w:val="right" w:leader="dot" w:pos="9860"/>
            </w:tabs>
            <w:rPr>
              <w:i w:val="0"/>
              <w:iCs w:val="0"/>
              <w:noProof/>
              <w:sz w:val="22"/>
              <w:szCs w:val="22"/>
              <w:lang w:bidi="ar-SA"/>
            </w:rPr>
          </w:pPr>
          <w:hyperlink w:anchor="_Toc300834244" w:history="1">
            <w:r w:rsidR="008733F0" w:rsidRPr="00AF7294">
              <w:rPr>
                <w:rStyle w:val="Hyperlink"/>
                <w:noProof/>
              </w:rPr>
              <w:t>14.</w:t>
            </w:r>
            <w:r w:rsidR="008733F0">
              <w:rPr>
                <w:i w:val="0"/>
                <w:iCs w:val="0"/>
                <w:noProof/>
                <w:sz w:val="22"/>
                <w:szCs w:val="22"/>
                <w:lang w:bidi="ar-SA"/>
              </w:rPr>
              <w:tab/>
            </w:r>
            <w:r w:rsidR="008733F0" w:rsidRPr="00AF7294">
              <w:rPr>
                <w:rStyle w:val="Hyperlink"/>
                <w:noProof/>
              </w:rPr>
              <w:t>Equity</w:t>
            </w:r>
            <w:r w:rsidR="008733F0">
              <w:rPr>
                <w:noProof/>
                <w:webHidden/>
              </w:rPr>
              <w:tab/>
            </w:r>
            <w:r>
              <w:rPr>
                <w:noProof/>
                <w:webHidden/>
              </w:rPr>
              <w:fldChar w:fldCharType="begin"/>
            </w:r>
            <w:r w:rsidR="008733F0">
              <w:rPr>
                <w:noProof/>
                <w:webHidden/>
              </w:rPr>
              <w:instrText xml:space="preserve"> PAGEREF _Toc300834244 \h </w:instrText>
            </w:r>
            <w:r>
              <w:rPr>
                <w:noProof/>
                <w:webHidden/>
              </w:rPr>
            </w:r>
            <w:r>
              <w:rPr>
                <w:noProof/>
                <w:webHidden/>
              </w:rPr>
              <w:fldChar w:fldCharType="separate"/>
            </w:r>
            <w:r w:rsidR="0009548B">
              <w:rPr>
                <w:noProof/>
                <w:webHidden/>
              </w:rPr>
              <w:t>43</w:t>
            </w:r>
            <w:r>
              <w:rPr>
                <w:noProof/>
                <w:webHidden/>
              </w:rPr>
              <w:fldChar w:fldCharType="end"/>
            </w:r>
          </w:hyperlink>
        </w:p>
        <w:p w:rsidR="008733F0" w:rsidRDefault="007C2E65">
          <w:pPr>
            <w:pStyle w:val="TOC3"/>
            <w:tabs>
              <w:tab w:val="left" w:pos="1150"/>
              <w:tab w:val="right" w:leader="dot" w:pos="9860"/>
            </w:tabs>
            <w:rPr>
              <w:i w:val="0"/>
              <w:iCs w:val="0"/>
              <w:noProof/>
              <w:sz w:val="22"/>
              <w:szCs w:val="22"/>
              <w:lang w:bidi="ar-SA"/>
            </w:rPr>
          </w:pPr>
          <w:hyperlink w:anchor="_Toc300834245" w:history="1">
            <w:r w:rsidR="008733F0" w:rsidRPr="00AF7294">
              <w:rPr>
                <w:rStyle w:val="Hyperlink"/>
                <w:noProof/>
              </w:rPr>
              <w:t>15.</w:t>
            </w:r>
            <w:r w:rsidR="008733F0">
              <w:rPr>
                <w:i w:val="0"/>
                <w:iCs w:val="0"/>
                <w:noProof/>
                <w:sz w:val="22"/>
                <w:szCs w:val="22"/>
                <w:lang w:bidi="ar-SA"/>
              </w:rPr>
              <w:tab/>
            </w:r>
            <w:r w:rsidR="008733F0" w:rsidRPr="00AF7294">
              <w:rPr>
                <w:rStyle w:val="Hyperlink"/>
                <w:noProof/>
              </w:rPr>
              <w:t>Provisions for restructuring</w:t>
            </w:r>
            <w:r w:rsidR="008733F0">
              <w:rPr>
                <w:noProof/>
                <w:webHidden/>
              </w:rPr>
              <w:tab/>
            </w:r>
            <w:r>
              <w:rPr>
                <w:noProof/>
                <w:webHidden/>
              </w:rPr>
              <w:fldChar w:fldCharType="begin"/>
            </w:r>
            <w:r w:rsidR="008733F0">
              <w:rPr>
                <w:noProof/>
                <w:webHidden/>
              </w:rPr>
              <w:instrText xml:space="preserve"> PAGEREF _Toc300834245 \h </w:instrText>
            </w:r>
            <w:r>
              <w:rPr>
                <w:noProof/>
                <w:webHidden/>
              </w:rPr>
            </w:r>
            <w:r>
              <w:rPr>
                <w:noProof/>
                <w:webHidden/>
              </w:rPr>
              <w:fldChar w:fldCharType="separate"/>
            </w:r>
            <w:r w:rsidR="0009548B">
              <w:rPr>
                <w:noProof/>
                <w:webHidden/>
              </w:rPr>
              <w:t>45</w:t>
            </w:r>
            <w:r>
              <w:rPr>
                <w:noProof/>
                <w:webHidden/>
              </w:rPr>
              <w:fldChar w:fldCharType="end"/>
            </w:r>
          </w:hyperlink>
        </w:p>
        <w:p w:rsidR="008733F0" w:rsidRDefault="007C2E65">
          <w:pPr>
            <w:pStyle w:val="TOC3"/>
            <w:tabs>
              <w:tab w:val="left" w:pos="1150"/>
              <w:tab w:val="right" w:leader="dot" w:pos="9860"/>
            </w:tabs>
            <w:rPr>
              <w:i w:val="0"/>
              <w:iCs w:val="0"/>
              <w:noProof/>
              <w:sz w:val="22"/>
              <w:szCs w:val="22"/>
              <w:lang w:bidi="ar-SA"/>
            </w:rPr>
          </w:pPr>
          <w:hyperlink w:anchor="_Toc300834246" w:history="1">
            <w:r w:rsidR="008733F0" w:rsidRPr="00AF7294">
              <w:rPr>
                <w:rStyle w:val="Hyperlink"/>
                <w:noProof/>
              </w:rPr>
              <w:t>16.</w:t>
            </w:r>
            <w:r w:rsidR="008733F0">
              <w:rPr>
                <w:i w:val="0"/>
                <w:iCs w:val="0"/>
                <w:noProof/>
                <w:sz w:val="22"/>
                <w:szCs w:val="22"/>
                <w:lang w:bidi="ar-SA"/>
              </w:rPr>
              <w:tab/>
            </w:r>
            <w:r w:rsidR="008733F0" w:rsidRPr="00AF7294">
              <w:rPr>
                <w:rStyle w:val="Hyperlink"/>
                <w:noProof/>
              </w:rPr>
              <w:t>Contingencies and legal proceedings</w:t>
            </w:r>
            <w:r w:rsidR="008733F0">
              <w:rPr>
                <w:noProof/>
                <w:webHidden/>
              </w:rPr>
              <w:tab/>
            </w:r>
            <w:r>
              <w:rPr>
                <w:noProof/>
                <w:webHidden/>
              </w:rPr>
              <w:fldChar w:fldCharType="begin"/>
            </w:r>
            <w:r w:rsidR="008733F0">
              <w:rPr>
                <w:noProof/>
                <w:webHidden/>
              </w:rPr>
              <w:instrText xml:space="preserve"> PAGEREF _Toc300834246 \h </w:instrText>
            </w:r>
            <w:r>
              <w:rPr>
                <w:noProof/>
                <w:webHidden/>
              </w:rPr>
            </w:r>
            <w:r>
              <w:rPr>
                <w:noProof/>
                <w:webHidden/>
              </w:rPr>
              <w:fldChar w:fldCharType="separate"/>
            </w:r>
            <w:r w:rsidR="0009548B">
              <w:rPr>
                <w:noProof/>
                <w:webHidden/>
              </w:rPr>
              <w:t>46</w:t>
            </w:r>
            <w:r>
              <w:rPr>
                <w:noProof/>
                <w:webHidden/>
              </w:rPr>
              <w:fldChar w:fldCharType="end"/>
            </w:r>
          </w:hyperlink>
        </w:p>
        <w:p w:rsidR="008733F0" w:rsidRDefault="007C2E65">
          <w:pPr>
            <w:pStyle w:val="TOC3"/>
            <w:tabs>
              <w:tab w:val="left" w:pos="1150"/>
              <w:tab w:val="right" w:leader="dot" w:pos="9860"/>
            </w:tabs>
            <w:rPr>
              <w:i w:val="0"/>
              <w:iCs w:val="0"/>
              <w:noProof/>
              <w:sz w:val="22"/>
              <w:szCs w:val="22"/>
              <w:lang w:bidi="ar-SA"/>
            </w:rPr>
          </w:pPr>
          <w:hyperlink w:anchor="_Toc300834247" w:history="1">
            <w:r w:rsidR="008733F0" w:rsidRPr="00AF7294">
              <w:rPr>
                <w:rStyle w:val="Hyperlink"/>
                <w:noProof/>
              </w:rPr>
              <w:t>17.</w:t>
            </w:r>
            <w:r w:rsidR="008733F0">
              <w:rPr>
                <w:i w:val="0"/>
                <w:iCs w:val="0"/>
                <w:noProof/>
                <w:sz w:val="22"/>
                <w:szCs w:val="22"/>
                <w:lang w:bidi="ar-SA"/>
              </w:rPr>
              <w:tab/>
            </w:r>
            <w:r w:rsidR="008733F0" w:rsidRPr="00AF7294">
              <w:rPr>
                <w:rStyle w:val="Hyperlink"/>
                <w:noProof/>
              </w:rPr>
              <w:t>Expenses by nature</w:t>
            </w:r>
            <w:r w:rsidR="008733F0">
              <w:rPr>
                <w:noProof/>
                <w:webHidden/>
              </w:rPr>
              <w:tab/>
            </w:r>
            <w:r>
              <w:rPr>
                <w:noProof/>
                <w:webHidden/>
              </w:rPr>
              <w:fldChar w:fldCharType="begin"/>
            </w:r>
            <w:r w:rsidR="008733F0">
              <w:rPr>
                <w:noProof/>
                <w:webHidden/>
              </w:rPr>
              <w:instrText xml:space="preserve"> PAGEREF _Toc300834247 \h </w:instrText>
            </w:r>
            <w:r>
              <w:rPr>
                <w:noProof/>
                <w:webHidden/>
              </w:rPr>
            </w:r>
            <w:r>
              <w:rPr>
                <w:noProof/>
                <w:webHidden/>
              </w:rPr>
              <w:fldChar w:fldCharType="separate"/>
            </w:r>
            <w:r w:rsidR="0009548B">
              <w:rPr>
                <w:noProof/>
                <w:webHidden/>
              </w:rPr>
              <w:t>48</w:t>
            </w:r>
            <w:r>
              <w:rPr>
                <w:noProof/>
                <w:webHidden/>
              </w:rPr>
              <w:fldChar w:fldCharType="end"/>
            </w:r>
          </w:hyperlink>
        </w:p>
        <w:p w:rsidR="008733F0" w:rsidRDefault="007C2E65">
          <w:pPr>
            <w:pStyle w:val="TOC3"/>
            <w:tabs>
              <w:tab w:val="left" w:pos="1150"/>
              <w:tab w:val="right" w:leader="dot" w:pos="9860"/>
            </w:tabs>
            <w:rPr>
              <w:i w:val="0"/>
              <w:iCs w:val="0"/>
              <w:noProof/>
              <w:sz w:val="22"/>
              <w:szCs w:val="22"/>
              <w:lang w:bidi="ar-SA"/>
            </w:rPr>
          </w:pPr>
          <w:hyperlink w:anchor="_Toc300834248" w:history="1">
            <w:r w:rsidR="008733F0" w:rsidRPr="00AF7294">
              <w:rPr>
                <w:rStyle w:val="Hyperlink"/>
                <w:noProof/>
              </w:rPr>
              <w:t>18.</w:t>
            </w:r>
            <w:r w:rsidR="008733F0">
              <w:rPr>
                <w:i w:val="0"/>
                <w:iCs w:val="0"/>
                <w:noProof/>
                <w:sz w:val="22"/>
                <w:szCs w:val="22"/>
                <w:lang w:bidi="ar-SA"/>
              </w:rPr>
              <w:tab/>
            </w:r>
            <w:r w:rsidR="008733F0" w:rsidRPr="00AF7294">
              <w:rPr>
                <w:rStyle w:val="Hyperlink"/>
                <w:noProof/>
              </w:rPr>
              <w:t>Other income / expenses</w:t>
            </w:r>
            <w:r w:rsidR="008733F0">
              <w:rPr>
                <w:noProof/>
                <w:webHidden/>
              </w:rPr>
              <w:tab/>
            </w:r>
            <w:r>
              <w:rPr>
                <w:noProof/>
                <w:webHidden/>
              </w:rPr>
              <w:fldChar w:fldCharType="begin"/>
            </w:r>
            <w:r w:rsidR="008733F0">
              <w:rPr>
                <w:noProof/>
                <w:webHidden/>
              </w:rPr>
              <w:instrText xml:space="preserve"> PAGEREF _Toc300834248 \h </w:instrText>
            </w:r>
            <w:r>
              <w:rPr>
                <w:noProof/>
                <w:webHidden/>
              </w:rPr>
            </w:r>
            <w:r>
              <w:rPr>
                <w:noProof/>
                <w:webHidden/>
              </w:rPr>
              <w:fldChar w:fldCharType="separate"/>
            </w:r>
            <w:r w:rsidR="0009548B">
              <w:rPr>
                <w:noProof/>
                <w:webHidden/>
              </w:rPr>
              <w:t>49</w:t>
            </w:r>
            <w:r>
              <w:rPr>
                <w:noProof/>
                <w:webHidden/>
              </w:rPr>
              <w:fldChar w:fldCharType="end"/>
            </w:r>
          </w:hyperlink>
        </w:p>
        <w:p w:rsidR="008733F0" w:rsidRDefault="007C2E65">
          <w:pPr>
            <w:pStyle w:val="TOC3"/>
            <w:tabs>
              <w:tab w:val="left" w:pos="1150"/>
              <w:tab w:val="right" w:leader="dot" w:pos="9860"/>
            </w:tabs>
            <w:rPr>
              <w:i w:val="0"/>
              <w:iCs w:val="0"/>
              <w:noProof/>
              <w:sz w:val="22"/>
              <w:szCs w:val="22"/>
              <w:lang w:bidi="ar-SA"/>
            </w:rPr>
          </w:pPr>
          <w:hyperlink w:anchor="_Toc300834249" w:history="1">
            <w:r w:rsidR="008733F0" w:rsidRPr="00AF7294">
              <w:rPr>
                <w:rStyle w:val="Hyperlink"/>
                <w:noProof/>
              </w:rPr>
              <w:t>19.</w:t>
            </w:r>
            <w:r w:rsidR="008733F0">
              <w:rPr>
                <w:i w:val="0"/>
                <w:iCs w:val="0"/>
                <w:noProof/>
                <w:sz w:val="22"/>
                <w:szCs w:val="22"/>
                <w:lang w:bidi="ar-SA"/>
              </w:rPr>
              <w:tab/>
            </w:r>
            <w:r w:rsidR="008733F0" w:rsidRPr="00AF7294">
              <w:rPr>
                <w:rStyle w:val="Hyperlink"/>
                <w:noProof/>
              </w:rPr>
              <w:t>Income taxes</w:t>
            </w:r>
            <w:r w:rsidR="008733F0">
              <w:rPr>
                <w:noProof/>
                <w:webHidden/>
              </w:rPr>
              <w:tab/>
            </w:r>
            <w:r>
              <w:rPr>
                <w:noProof/>
                <w:webHidden/>
              </w:rPr>
              <w:fldChar w:fldCharType="begin"/>
            </w:r>
            <w:r w:rsidR="008733F0">
              <w:rPr>
                <w:noProof/>
                <w:webHidden/>
              </w:rPr>
              <w:instrText xml:space="preserve"> PAGEREF _Toc300834249 \h </w:instrText>
            </w:r>
            <w:r>
              <w:rPr>
                <w:noProof/>
                <w:webHidden/>
              </w:rPr>
            </w:r>
            <w:r>
              <w:rPr>
                <w:noProof/>
                <w:webHidden/>
              </w:rPr>
              <w:fldChar w:fldCharType="separate"/>
            </w:r>
            <w:r w:rsidR="0009548B">
              <w:rPr>
                <w:noProof/>
                <w:webHidden/>
              </w:rPr>
              <w:t>50</w:t>
            </w:r>
            <w:r>
              <w:rPr>
                <w:noProof/>
                <w:webHidden/>
              </w:rPr>
              <w:fldChar w:fldCharType="end"/>
            </w:r>
          </w:hyperlink>
        </w:p>
        <w:p w:rsidR="008733F0" w:rsidRDefault="007C2E65">
          <w:pPr>
            <w:pStyle w:val="TOC3"/>
            <w:tabs>
              <w:tab w:val="left" w:pos="1150"/>
              <w:tab w:val="right" w:leader="dot" w:pos="9860"/>
            </w:tabs>
            <w:rPr>
              <w:i w:val="0"/>
              <w:iCs w:val="0"/>
              <w:noProof/>
              <w:sz w:val="22"/>
              <w:szCs w:val="22"/>
              <w:lang w:bidi="ar-SA"/>
            </w:rPr>
          </w:pPr>
          <w:hyperlink w:anchor="_Toc300834250" w:history="1">
            <w:r w:rsidR="008733F0" w:rsidRPr="00AF7294">
              <w:rPr>
                <w:rStyle w:val="Hyperlink"/>
                <w:noProof/>
              </w:rPr>
              <w:t>20.</w:t>
            </w:r>
            <w:r w:rsidR="008733F0">
              <w:rPr>
                <w:i w:val="0"/>
                <w:iCs w:val="0"/>
                <w:noProof/>
                <w:sz w:val="22"/>
                <w:szCs w:val="22"/>
                <w:lang w:bidi="ar-SA"/>
              </w:rPr>
              <w:tab/>
            </w:r>
            <w:r w:rsidR="008733F0" w:rsidRPr="00AF7294">
              <w:rPr>
                <w:rStyle w:val="Hyperlink"/>
                <w:noProof/>
              </w:rPr>
              <w:t>Earnings per share</w:t>
            </w:r>
            <w:r w:rsidR="008733F0">
              <w:rPr>
                <w:noProof/>
                <w:webHidden/>
              </w:rPr>
              <w:tab/>
            </w:r>
            <w:r>
              <w:rPr>
                <w:noProof/>
                <w:webHidden/>
              </w:rPr>
              <w:fldChar w:fldCharType="begin"/>
            </w:r>
            <w:r w:rsidR="008733F0">
              <w:rPr>
                <w:noProof/>
                <w:webHidden/>
              </w:rPr>
              <w:instrText xml:space="preserve"> PAGEREF _Toc300834250 \h </w:instrText>
            </w:r>
            <w:r>
              <w:rPr>
                <w:noProof/>
                <w:webHidden/>
              </w:rPr>
            </w:r>
            <w:r>
              <w:rPr>
                <w:noProof/>
                <w:webHidden/>
              </w:rPr>
              <w:fldChar w:fldCharType="separate"/>
            </w:r>
            <w:r w:rsidR="0009548B">
              <w:rPr>
                <w:noProof/>
                <w:webHidden/>
              </w:rPr>
              <w:t>50</w:t>
            </w:r>
            <w:r>
              <w:rPr>
                <w:noProof/>
                <w:webHidden/>
              </w:rPr>
              <w:fldChar w:fldCharType="end"/>
            </w:r>
          </w:hyperlink>
        </w:p>
        <w:p w:rsidR="008733F0" w:rsidRDefault="007C2E65">
          <w:pPr>
            <w:pStyle w:val="TOC3"/>
            <w:tabs>
              <w:tab w:val="left" w:pos="1150"/>
              <w:tab w:val="right" w:leader="dot" w:pos="9860"/>
            </w:tabs>
            <w:rPr>
              <w:i w:val="0"/>
              <w:iCs w:val="0"/>
              <w:noProof/>
              <w:sz w:val="22"/>
              <w:szCs w:val="22"/>
              <w:lang w:bidi="ar-SA"/>
            </w:rPr>
          </w:pPr>
          <w:hyperlink w:anchor="_Toc300834251" w:history="1">
            <w:r w:rsidR="008733F0" w:rsidRPr="00AF7294">
              <w:rPr>
                <w:rStyle w:val="Hyperlink"/>
                <w:noProof/>
              </w:rPr>
              <w:t>21.</w:t>
            </w:r>
            <w:r w:rsidR="008733F0">
              <w:rPr>
                <w:i w:val="0"/>
                <w:iCs w:val="0"/>
                <w:noProof/>
                <w:sz w:val="22"/>
                <w:szCs w:val="22"/>
                <w:lang w:bidi="ar-SA"/>
              </w:rPr>
              <w:tab/>
            </w:r>
            <w:r w:rsidR="008733F0" w:rsidRPr="00AF7294">
              <w:rPr>
                <w:rStyle w:val="Hyperlink"/>
                <w:noProof/>
              </w:rPr>
              <w:t>Related party</w:t>
            </w:r>
            <w:r w:rsidR="008733F0">
              <w:rPr>
                <w:noProof/>
                <w:webHidden/>
              </w:rPr>
              <w:tab/>
            </w:r>
            <w:r>
              <w:rPr>
                <w:noProof/>
                <w:webHidden/>
              </w:rPr>
              <w:fldChar w:fldCharType="begin"/>
            </w:r>
            <w:r w:rsidR="008733F0">
              <w:rPr>
                <w:noProof/>
                <w:webHidden/>
              </w:rPr>
              <w:instrText xml:space="preserve"> PAGEREF _Toc300834251 \h </w:instrText>
            </w:r>
            <w:r>
              <w:rPr>
                <w:noProof/>
                <w:webHidden/>
              </w:rPr>
            </w:r>
            <w:r>
              <w:rPr>
                <w:noProof/>
                <w:webHidden/>
              </w:rPr>
              <w:fldChar w:fldCharType="separate"/>
            </w:r>
            <w:r w:rsidR="0009548B">
              <w:rPr>
                <w:noProof/>
                <w:webHidden/>
              </w:rPr>
              <w:t>51</w:t>
            </w:r>
            <w:r>
              <w:rPr>
                <w:noProof/>
                <w:webHidden/>
              </w:rPr>
              <w:fldChar w:fldCharType="end"/>
            </w:r>
          </w:hyperlink>
        </w:p>
        <w:p w:rsidR="008733F0" w:rsidRDefault="007C2E65">
          <w:pPr>
            <w:pStyle w:val="TOC1"/>
            <w:rPr>
              <w:b w:val="0"/>
              <w:bCs w:val="0"/>
              <w:caps w:val="0"/>
              <w:noProof/>
              <w:sz w:val="22"/>
              <w:szCs w:val="22"/>
              <w:lang w:bidi="ar-SA"/>
            </w:rPr>
          </w:pPr>
          <w:hyperlink w:anchor="_Toc300834255" w:history="1">
            <w:r w:rsidR="008733F0" w:rsidRPr="00AF7294">
              <w:rPr>
                <w:rStyle w:val="Hyperlink"/>
                <w:noProof/>
              </w:rPr>
              <w:t>III.</w:t>
            </w:r>
            <w:r w:rsidR="008733F0">
              <w:rPr>
                <w:b w:val="0"/>
                <w:bCs w:val="0"/>
                <w:caps w:val="0"/>
                <w:noProof/>
                <w:sz w:val="22"/>
                <w:szCs w:val="22"/>
                <w:lang w:bidi="ar-SA"/>
              </w:rPr>
              <w:tab/>
            </w:r>
            <w:r w:rsidR="008733F0" w:rsidRPr="00AF7294">
              <w:rPr>
                <w:rStyle w:val="Hyperlink"/>
                <w:noProof/>
              </w:rPr>
              <w:t>Sole Member of the Managing Board’s statement</w:t>
            </w:r>
            <w:r w:rsidR="008733F0">
              <w:rPr>
                <w:noProof/>
                <w:webHidden/>
              </w:rPr>
              <w:tab/>
            </w:r>
            <w:r>
              <w:rPr>
                <w:noProof/>
                <w:webHidden/>
              </w:rPr>
              <w:fldChar w:fldCharType="begin"/>
            </w:r>
            <w:r w:rsidR="008733F0">
              <w:rPr>
                <w:noProof/>
                <w:webHidden/>
              </w:rPr>
              <w:instrText xml:space="preserve"> PAGEREF _Toc300834255 \h </w:instrText>
            </w:r>
            <w:r>
              <w:rPr>
                <w:noProof/>
                <w:webHidden/>
              </w:rPr>
            </w:r>
            <w:r>
              <w:rPr>
                <w:noProof/>
                <w:webHidden/>
              </w:rPr>
              <w:fldChar w:fldCharType="separate"/>
            </w:r>
            <w:r w:rsidR="0009548B">
              <w:rPr>
                <w:noProof/>
                <w:webHidden/>
              </w:rPr>
              <w:t>52</w:t>
            </w:r>
            <w:r>
              <w:rPr>
                <w:noProof/>
                <w:webHidden/>
              </w:rPr>
              <w:fldChar w:fldCharType="end"/>
            </w:r>
          </w:hyperlink>
        </w:p>
        <w:p w:rsidR="008733F0" w:rsidRDefault="007C2E65">
          <w:pPr>
            <w:pStyle w:val="TOC1"/>
            <w:rPr>
              <w:b w:val="0"/>
              <w:bCs w:val="0"/>
              <w:caps w:val="0"/>
              <w:noProof/>
              <w:sz w:val="22"/>
              <w:szCs w:val="22"/>
              <w:lang w:bidi="ar-SA"/>
            </w:rPr>
          </w:pPr>
          <w:hyperlink w:anchor="_Toc300834256" w:history="1">
            <w:r w:rsidR="008733F0" w:rsidRPr="00AF7294">
              <w:rPr>
                <w:rStyle w:val="Hyperlink"/>
                <w:noProof/>
              </w:rPr>
              <w:t>IV.</w:t>
            </w:r>
            <w:r w:rsidR="008733F0">
              <w:rPr>
                <w:b w:val="0"/>
                <w:bCs w:val="0"/>
                <w:caps w:val="0"/>
                <w:noProof/>
                <w:sz w:val="22"/>
                <w:szCs w:val="22"/>
                <w:lang w:bidi="ar-SA"/>
              </w:rPr>
              <w:tab/>
            </w:r>
            <w:r w:rsidR="008733F0" w:rsidRPr="00AF7294">
              <w:rPr>
                <w:rStyle w:val="Hyperlink"/>
                <w:noProof/>
              </w:rPr>
              <w:t>About STMicroelectronics</w:t>
            </w:r>
            <w:r w:rsidR="008733F0">
              <w:rPr>
                <w:noProof/>
                <w:webHidden/>
              </w:rPr>
              <w:tab/>
            </w:r>
            <w:r>
              <w:rPr>
                <w:noProof/>
                <w:webHidden/>
              </w:rPr>
              <w:fldChar w:fldCharType="begin"/>
            </w:r>
            <w:r w:rsidR="008733F0">
              <w:rPr>
                <w:noProof/>
                <w:webHidden/>
              </w:rPr>
              <w:instrText xml:space="preserve"> PAGEREF _Toc300834256 \h </w:instrText>
            </w:r>
            <w:r>
              <w:rPr>
                <w:noProof/>
                <w:webHidden/>
              </w:rPr>
            </w:r>
            <w:r>
              <w:rPr>
                <w:noProof/>
                <w:webHidden/>
              </w:rPr>
              <w:fldChar w:fldCharType="separate"/>
            </w:r>
            <w:r w:rsidR="0009548B">
              <w:rPr>
                <w:noProof/>
                <w:webHidden/>
              </w:rPr>
              <w:t>53</w:t>
            </w:r>
            <w:r>
              <w:rPr>
                <w:noProof/>
                <w:webHidden/>
              </w:rPr>
              <w:fldChar w:fldCharType="end"/>
            </w:r>
          </w:hyperlink>
        </w:p>
        <w:p w:rsidR="00571564" w:rsidRPr="003E335B" w:rsidRDefault="007C2E65" w:rsidP="000D70EC">
          <w:pPr>
            <w:spacing w:after="100" w:line="240" w:lineRule="auto"/>
            <w:rPr>
              <w:rFonts w:asciiTheme="minorHAnsi" w:hAnsiTheme="minorHAnsi"/>
              <w:sz w:val="20"/>
              <w:szCs w:val="20"/>
            </w:rPr>
          </w:pPr>
          <w:r w:rsidRPr="003E335B">
            <w:rPr>
              <w:rFonts w:asciiTheme="minorHAnsi" w:hAnsiTheme="minorHAnsi" w:cs="Arial"/>
              <w:sz w:val="20"/>
              <w:szCs w:val="20"/>
            </w:rPr>
            <w:fldChar w:fldCharType="end"/>
          </w:r>
        </w:p>
      </w:sdtContent>
    </w:sdt>
    <w:p w:rsidR="00383156" w:rsidRPr="003E335B" w:rsidRDefault="00383156" w:rsidP="000D70EC">
      <w:pPr>
        <w:spacing w:after="100" w:line="240" w:lineRule="auto"/>
        <w:rPr>
          <w:rFonts w:asciiTheme="minorHAnsi" w:hAnsiTheme="minorHAnsi" w:cs="Arial"/>
          <w:sz w:val="20"/>
          <w:szCs w:val="20"/>
        </w:rPr>
      </w:pPr>
    </w:p>
    <w:p w:rsidR="00383156" w:rsidRPr="003E335B" w:rsidRDefault="00383156" w:rsidP="000D70EC">
      <w:pPr>
        <w:spacing w:after="100" w:line="240" w:lineRule="auto"/>
        <w:rPr>
          <w:rFonts w:asciiTheme="minorHAnsi" w:hAnsiTheme="minorHAnsi" w:cs="Arial"/>
          <w:sz w:val="20"/>
          <w:szCs w:val="20"/>
        </w:rPr>
        <w:sectPr w:rsidR="00383156" w:rsidRPr="003E335B" w:rsidSect="007D1EF2">
          <w:headerReference w:type="default" r:id="rId10"/>
          <w:pgSz w:w="12240" w:h="15840"/>
          <w:pgMar w:top="1701" w:right="1185" w:bottom="284" w:left="1185" w:header="284" w:footer="284" w:gutter="0"/>
          <w:cols w:space="708"/>
          <w:docGrid w:linePitch="360"/>
        </w:sectPr>
      </w:pPr>
    </w:p>
    <w:p w:rsidR="00847BCE" w:rsidRPr="003E335B" w:rsidRDefault="005E3CBE" w:rsidP="000D70EC">
      <w:pPr>
        <w:pStyle w:val="Title1"/>
        <w:spacing w:before="0" w:after="100" w:line="240" w:lineRule="auto"/>
        <w:rPr>
          <w:rFonts w:asciiTheme="minorHAnsi" w:hAnsiTheme="minorHAnsi"/>
          <w:sz w:val="20"/>
          <w:szCs w:val="20"/>
        </w:rPr>
      </w:pPr>
      <w:bookmarkStart w:id="0" w:name="_Toc300834214"/>
      <w:r>
        <w:rPr>
          <w:rFonts w:asciiTheme="minorHAnsi" w:hAnsiTheme="minorHAnsi"/>
          <w:sz w:val="20"/>
          <w:szCs w:val="20"/>
        </w:rPr>
        <w:lastRenderedPageBreak/>
        <w:t>Management</w:t>
      </w:r>
      <w:r w:rsidR="00F012BF" w:rsidRPr="003E335B">
        <w:rPr>
          <w:rFonts w:asciiTheme="minorHAnsi" w:hAnsiTheme="minorHAnsi"/>
          <w:sz w:val="20"/>
          <w:szCs w:val="20"/>
        </w:rPr>
        <w:t xml:space="preserve"> report</w:t>
      </w:r>
      <w:bookmarkEnd w:id="0"/>
    </w:p>
    <w:p w:rsidR="00CB20B1" w:rsidRPr="003E335B" w:rsidRDefault="00CB20B1" w:rsidP="000D70EC">
      <w:pPr>
        <w:pStyle w:val="Title2"/>
        <w:spacing w:before="0" w:after="100" w:line="240" w:lineRule="auto"/>
        <w:rPr>
          <w:rFonts w:asciiTheme="minorHAnsi" w:hAnsiTheme="minorHAnsi"/>
          <w:sz w:val="20"/>
          <w:szCs w:val="20"/>
        </w:rPr>
      </w:pPr>
      <w:bookmarkStart w:id="1" w:name="_DV_M1999"/>
      <w:bookmarkStart w:id="2" w:name="_DV_M2027"/>
      <w:bookmarkStart w:id="3" w:name="eolPage51"/>
      <w:bookmarkStart w:id="4" w:name="eolPage52"/>
      <w:bookmarkStart w:id="5" w:name="_DV_M1128"/>
      <w:bookmarkStart w:id="6" w:name="_DV_M1131"/>
      <w:bookmarkStart w:id="7" w:name="fas109,_par._49"/>
      <w:bookmarkStart w:id="8" w:name="_DV_M621"/>
      <w:bookmarkStart w:id="9" w:name="_Toc300834215"/>
      <w:bookmarkEnd w:id="1"/>
      <w:bookmarkEnd w:id="2"/>
      <w:bookmarkEnd w:id="3"/>
      <w:bookmarkEnd w:id="4"/>
      <w:bookmarkEnd w:id="5"/>
      <w:bookmarkEnd w:id="6"/>
      <w:bookmarkEnd w:id="7"/>
      <w:bookmarkEnd w:id="8"/>
      <w:r w:rsidRPr="003E335B">
        <w:rPr>
          <w:rFonts w:asciiTheme="minorHAnsi" w:hAnsiTheme="minorHAnsi"/>
          <w:sz w:val="20"/>
          <w:szCs w:val="20"/>
        </w:rPr>
        <w:t>corporate information</w:t>
      </w:r>
      <w:bookmarkEnd w:id="9"/>
    </w:p>
    <w:p w:rsidR="008733F0" w:rsidRDefault="00CB20B1">
      <w:pPr>
        <w:spacing w:after="100" w:line="240" w:lineRule="auto"/>
        <w:jc w:val="both"/>
        <w:rPr>
          <w:rFonts w:asciiTheme="minorHAnsi" w:hAnsiTheme="minorHAnsi" w:cs="Arial"/>
          <w:sz w:val="20"/>
          <w:szCs w:val="20"/>
        </w:rPr>
      </w:pPr>
      <w:r w:rsidRPr="003E335B">
        <w:rPr>
          <w:rFonts w:asciiTheme="minorHAnsi" w:hAnsiTheme="minorHAnsi" w:cs="Arial"/>
          <w:sz w:val="20"/>
          <w:szCs w:val="20"/>
        </w:rPr>
        <w:t>STMicroelectronics and its subsidi</w:t>
      </w:r>
      <w:r w:rsidR="00C807AA">
        <w:rPr>
          <w:rFonts w:asciiTheme="minorHAnsi" w:hAnsiTheme="minorHAnsi" w:cs="Arial"/>
          <w:sz w:val="20"/>
          <w:szCs w:val="20"/>
        </w:rPr>
        <w:t>aries (together “the Group”) is</w:t>
      </w:r>
      <w:r w:rsidRPr="003E335B">
        <w:rPr>
          <w:rFonts w:asciiTheme="minorHAnsi" w:hAnsiTheme="minorHAnsi" w:cs="Arial"/>
          <w:sz w:val="20"/>
          <w:szCs w:val="20"/>
        </w:rPr>
        <w:t xml:space="preserve"> a global independent semiconductor group that designs, develops, manufactures and markets a broad range of semiconductor integrated circuits (“ICs”) and discrete devices. The Group offers a diversified product portfolio and develops products for a wide range of market applications, including automotive products, computer peripherals, telecommunications systems, consumer products, industrial automation and control systems. Within its diversified portfolio, the Group has focused on developing products that leverage its technological strengths in creating customized, system-level solutions with digital and mixed-signal content.</w:t>
      </w:r>
    </w:p>
    <w:p w:rsidR="008733F0" w:rsidRDefault="00CB20B1">
      <w:pPr>
        <w:spacing w:line="240" w:lineRule="auto"/>
        <w:jc w:val="both"/>
        <w:rPr>
          <w:sz w:val="20"/>
          <w:szCs w:val="20"/>
        </w:rPr>
      </w:pPr>
      <w:r w:rsidRPr="003E335B">
        <w:rPr>
          <w:sz w:val="20"/>
          <w:szCs w:val="20"/>
        </w:rPr>
        <w:t xml:space="preserve">STMicroelectronics is a publicly traded company, listed on </w:t>
      </w:r>
      <w:r w:rsidR="00C807AA">
        <w:rPr>
          <w:sz w:val="20"/>
          <w:szCs w:val="20"/>
        </w:rPr>
        <w:t xml:space="preserve">the New York Stock Exchange, Euronext Paris and </w:t>
      </w:r>
      <w:r w:rsidRPr="003E335B">
        <w:rPr>
          <w:sz w:val="20"/>
          <w:szCs w:val="20"/>
        </w:rPr>
        <w:t>Borsa Italiana (Italian Stock Exchange).</w:t>
      </w:r>
    </w:p>
    <w:p w:rsidR="008733F0" w:rsidRDefault="0092489C">
      <w:pPr>
        <w:spacing w:line="240" w:lineRule="auto"/>
        <w:jc w:val="both"/>
        <w:rPr>
          <w:b/>
          <w:smallCaps/>
          <w:sz w:val="20"/>
          <w:szCs w:val="20"/>
        </w:rPr>
      </w:pPr>
      <w:r>
        <w:rPr>
          <w:sz w:val="20"/>
          <w:szCs w:val="20"/>
        </w:rPr>
        <w:t>In this Semi-Annual Report, references to “we”, “us” and “The Group” are to STMicroelectronics N.V. together with its consolidated subsidiaries.</w:t>
      </w:r>
    </w:p>
    <w:p w:rsidR="00847BCE" w:rsidRPr="003E335B" w:rsidRDefault="00847BCE" w:rsidP="000D70EC">
      <w:pPr>
        <w:pStyle w:val="Title2"/>
        <w:spacing w:before="0" w:after="100" w:line="240" w:lineRule="auto"/>
        <w:rPr>
          <w:rFonts w:asciiTheme="minorHAnsi" w:hAnsiTheme="minorHAnsi"/>
          <w:sz w:val="20"/>
          <w:szCs w:val="20"/>
        </w:rPr>
      </w:pPr>
      <w:bookmarkStart w:id="10" w:name="_Toc300834216"/>
      <w:r w:rsidRPr="003E335B">
        <w:rPr>
          <w:rFonts w:asciiTheme="minorHAnsi" w:hAnsiTheme="minorHAnsi"/>
          <w:sz w:val="20"/>
          <w:szCs w:val="20"/>
        </w:rPr>
        <w:t>Business overview</w:t>
      </w:r>
      <w:bookmarkEnd w:id="10"/>
    </w:p>
    <w:p w:rsidR="008733F0" w:rsidRDefault="00EA5A4D">
      <w:pPr>
        <w:spacing w:line="240" w:lineRule="auto"/>
        <w:jc w:val="both"/>
        <w:rPr>
          <w:rFonts w:asciiTheme="minorHAnsi" w:hAnsiTheme="minorHAnsi" w:cs="Arial"/>
          <w:sz w:val="20"/>
          <w:szCs w:val="20"/>
        </w:rPr>
      </w:pPr>
      <w:r w:rsidRPr="003E335B">
        <w:rPr>
          <w:rFonts w:asciiTheme="minorHAnsi" w:hAnsiTheme="minorHAnsi" w:cs="Arial"/>
          <w:sz w:val="20"/>
          <w:szCs w:val="20"/>
        </w:rPr>
        <w:t>The total available market is defined as the “TAM”, while the serviceable available market, the “SAM”, is defined as the market for products produced by us (which consists of the TAM and excludes devices such as Microprocessors (“MPUs”), DRAMs, optoelectronics devices and Flash Memory).</w:t>
      </w:r>
    </w:p>
    <w:p w:rsidR="008733F0" w:rsidRDefault="00EA5A4D">
      <w:pPr>
        <w:spacing w:line="240" w:lineRule="auto"/>
        <w:jc w:val="both"/>
        <w:rPr>
          <w:rFonts w:asciiTheme="minorHAnsi" w:hAnsiTheme="minorHAnsi" w:cs="Arial"/>
          <w:sz w:val="20"/>
          <w:szCs w:val="20"/>
        </w:rPr>
      </w:pPr>
      <w:r w:rsidRPr="003E335B">
        <w:rPr>
          <w:rFonts w:asciiTheme="minorHAnsi" w:hAnsiTheme="minorHAnsi" w:cs="Arial"/>
          <w:sz w:val="20"/>
          <w:szCs w:val="20"/>
        </w:rPr>
        <w:t>The semiconductor industry in the first half of 2011</w:t>
      </w:r>
      <w:r w:rsidR="0089580F">
        <w:rPr>
          <w:rFonts w:asciiTheme="minorHAnsi" w:hAnsiTheme="minorHAnsi" w:cs="Arial"/>
          <w:sz w:val="20"/>
          <w:szCs w:val="20"/>
        </w:rPr>
        <w:t xml:space="preserve"> continued to </w:t>
      </w:r>
      <w:r w:rsidR="0058410C">
        <w:rPr>
          <w:rFonts w:asciiTheme="minorHAnsi" w:hAnsiTheme="minorHAnsi" w:cs="Arial"/>
          <w:sz w:val="20"/>
          <w:szCs w:val="20"/>
        </w:rPr>
        <w:t xml:space="preserve">experience </w:t>
      </w:r>
      <w:r w:rsidR="0058410C" w:rsidRPr="003E335B">
        <w:rPr>
          <w:rFonts w:asciiTheme="minorHAnsi" w:hAnsiTheme="minorHAnsi" w:cs="Arial"/>
          <w:sz w:val="20"/>
          <w:szCs w:val="20"/>
        </w:rPr>
        <w:t>growth</w:t>
      </w:r>
      <w:r w:rsidRPr="003E335B">
        <w:rPr>
          <w:rFonts w:asciiTheme="minorHAnsi" w:hAnsiTheme="minorHAnsi" w:cs="Arial"/>
          <w:sz w:val="20"/>
          <w:szCs w:val="20"/>
        </w:rPr>
        <w:t xml:space="preserve"> on a year-over-year basis</w:t>
      </w:r>
      <w:r w:rsidR="00854E81">
        <w:rPr>
          <w:rFonts w:asciiTheme="minorHAnsi" w:hAnsiTheme="minorHAnsi" w:cs="Arial"/>
          <w:sz w:val="20"/>
          <w:szCs w:val="20"/>
        </w:rPr>
        <w:t>, in particular for the SAM</w:t>
      </w:r>
      <w:r w:rsidRPr="003E335B">
        <w:rPr>
          <w:rFonts w:asciiTheme="minorHAnsi" w:hAnsiTheme="minorHAnsi" w:cs="Arial"/>
          <w:sz w:val="20"/>
          <w:szCs w:val="20"/>
        </w:rPr>
        <w:t>.</w:t>
      </w:r>
    </w:p>
    <w:p w:rsidR="008733F0" w:rsidRDefault="00EA5A4D">
      <w:pPr>
        <w:spacing w:after="100" w:line="240" w:lineRule="auto"/>
        <w:jc w:val="both"/>
        <w:rPr>
          <w:rFonts w:asciiTheme="minorHAnsi" w:hAnsiTheme="minorHAnsi" w:cs="Arial"/>
          <w:sz w:val="20"/>
          <w:szCs w:val="20"/>
        </w:rPr>
      </w:pPr>
      <w:r w:rsidRPr="003E335B">
        <w:rPr>
          <w:rFonts w:asciiTheme="minorHAnsi" w:hAnsiTheme="minorHAnsi" w:cs="Arial"/>
          <w:sz w:val="20"/>
          <w:szCs w:val="20"/>
        </w:rPr>
        <w:t xml:space="preserve">Based on published industry data by WSTS, semiconductor industry revenues increased in the first half of 2011 on a year-over-year basis by approximately </w:t>
      </w:r>
      <w:r w:rsidR="00C807AA">
        <w:rPr>
          <w:rFonts w:asciiTheme="minorHAnsi" w:hAnsiTheme="minorHAnsi" w:cs="Arial"/>
          <w:sz w:val="20"/>
          <w:szCs w:val="20"/>
        </w:rPr>
        <w:t>3.7</w:t>
      </w:r>
      <w:r w:rsidRPr="003E335B">
        <w:rPr>
          <w:rFonts w:asciiTheme="minorHAnsi" w:hAnsiTheme="minorHAnsi" w:cs="Arial"/>
          <w:sz w:val="20"/>
          <w:szCs w:val="20"/>
        </w:rPr>
        <w:t xml:space="preserve">% for the TAM and </w:t>
      </w:r>
      <w:r w:rsidR="00C807AA">
        <w:rPr>
          <w:rFonts w:asciiTheme="minorHAnsi" w:hAnsiTheme="minorHAnsi" w:cs="Arial"/>
          <w:sz w:val="20"/>
          <w:szCs w:val="20"/>
        </w:rPr>
        <w:t>6.0</w:t>
      </w:r>
      <w:r w:rsidRPr="003E335B">
        <w:rPr>
          <w:rFonts w:asciiTheme="minorHAnsi" w:hAnsiTheme="minorHAnsi" w:cs="Arial"/>
          <w:sz w:val="20"/>
          <w:szCs w:val="20"/>
        </w:rPr>
        <w:t>% for the SAM to reach approximately $</w:t>
      </w:r>
      <w:r w:rsidR="00C807AA">
        <w:rPr>
          <w:rFonts w:asciiTheme="minorHAnsi" w:hAnsiTheme="minorHAnsi" w:cs="Arial"/>
          <w:sz w:val="20"/>
          <w:szCs w:val="20"/>
        </w:rPr>
        <w:t>149.6</w:t>
      </w:r>
      <w:r w:rsidRPr="003E335B">
        <w:rPr>
          <w:rFonts w:asciiTheme="minorHAnsi" w:hAnsiTheme="minorHAnsi" w:cs="Arial"/>
          <w:sz w:val="20"/>
          <w:szCs w:val="20"/>
        </w:rPr>
        <w:t xml:space="preserve"> billion and $</w:t>
      </w:r>
      <w:r w:rsidR="00C807AA">
        <w:rPr>
          <w:rFonts w:asciiTheme="minorHAnsi" w:hAnsiTheme="minorHAnsi" w:cs="Arial"/>
          <w:sz w:val="20"/>
          <w:szCs w:val="20"/>
        </w:rPr>
        <w:t>86.4</w:t>
      </w:r>
      <w:r w:rsidRPr="003E335B">
        <w:rPr>
          <w:rFonts w:asciiTheme="minorHAnsi" w:hAnsiTheme="minorHAnsi" w:cs="Arial"/>
          <w:sz w:val="20"/>
          <w:szCs w:val="20"/>
        </w:rPr>
        <w:t xml:space="preserve"> billion, respectively. </w:t>
      </w:r>
    </w:p>
    <w:p w:rsidR="008733F0" w:rsidRDefault="00EA5A4D">
      <w:pPr>
        <w:spacing w:line="240" w:lineRule="auto"/>
        <w:jc w:val="both"/>
        <w:rPr>
          <w:rFonts w:asciiTheme="minorHAnsi" w:hAnsiTheme="minorHAnsi" w:cs="Arial"/>
          <w:sz w:val="20"/>
          <w:szCs w:val="20"/>
        </w:rPr>
      </w:pPr>
      <w:r w:rsidRPr="003E335B">
        <w:rPr>
          <w:rFonts w:asciiTheme="minorHAnsi" w:hAnsiTheme="minorHAnsi" w:cs="Arial"/>
          <w:sz w:val="20"/>
          <w:szCs w:val="20"/>
        </w:rPr>
        <w:t>Our effective average exchange rate for the first half of 2011 was $</w:t>
      </w:r>
      <w:r w:rsidR="00EF7226">
        <w:rPr>
          <w:rFonts w:asciiTheme="minorHAnsi" w:hAnsiTheme="minorHAnsi" w:cs="Arial"/>
          <w:sz w:val="20"/>
          <w:szCs w:val="20"/>
        </w:rPr>
        <w:t>1.35</w:t>
      </w:r>
      <w:r w:rsidRPr="003E335B">
        <w:rPr>
          <w:rFonts w:asciiTheme="minorHAnsi" w:hAnsiTheme="minorHAnsi" w:cs="Arial"/>
          <w:sz w:val="20"/>
          <w:szCs w:val="20"/>
        </w:rPr>
        <w:t xml:space="preserve"> for €1.00 compared to $1.37 for €1.00 for the first half of 2010. In terms of the number of days, our first half of 2011 calendar had 18</w:t>
      </w:r>
      <w:r w:rsidR="0058410C">
        <w:rPr>
          <w:rFonts w:asciiTheme="minorHAnsi" w:hAnsiTheme="minorHAnsi" w:cs="Arial"/>
          <w:sz w:val="20"/>
          <w:szCs w:val="20"/>
        </w:rPr>
        <w:t xml:space="preserve">3 days and was </w:t>
      </w:r>
      <w:r w:rsidRPr="003E335B">
        <w:rPr>
          <w:rFonts w:asciiTheme="minorHAnsi" w:hAnsiTheme="minorHAnsi" w:cs="Arial"/>
          <w:sz w:val="20"/>
          <w:szCs w:val="20"/>
        </w:rPr>
        <w:t>3% longer on a year-over-year basis.</w:t>
      </w:r>
    </w:p>
    <w:p w:rsidR="008733F0" w:rsidRDefault="0092489C">
      <w:pPr>
        <w:spacing w:line="240" w:lineRule="auto"/>
        <w:jc w:val="both"/>
        <w:rPr>
          <w:rFonts w:asciiTheme="minorHAnsi" w:hAnsiTheme="minorHAnsi" w:cs="Arial"/>
          <w:sz w:val="20"/>
          <w:szCs w:val="20"/>
        </w:rPr>
      </w:pPr>
      <w:r>
        <w:rPr>
          <w:rFonts w:asciiTheme="minorHAnsi" w:hAnsiTheme="minorHAnsi" w:cs="Arial"/>
          <w:sz w:val="20"/>
          <w:szCs w:val="20"/>
        </w:rPr>
        <w:t>Our first half of 2011 net revenues increased by 5% to $5.10 billion from $4.86 billion in the year-ago period, driven by an increase of approximately 8% in volume offset by a decline in average selling prices by approximately 3%.</w:t>
      </w:r>
      <w:r w:rsidRPr="003E335B">
        <w:rPr>
          <w:rFonts w:asciiTheme="minorHAnsi" w:hAnsiTheme="minorHAnsi" w:cs="Arial"/>
          <w:sz w:val="20"/>
          <w:szCs w:val="20"/>
        </w:rPr>
        <w:t xml:space="preserve"> </w:t>
      </w:r>
      <w:r>
        <w:rPr>
          <w:rFonts w:asciiTheme="minorHAnsi" w:hAnsiTheme="minorHAnsi" w:cs="Arial"/>
          <w:sz w:val="20"/>
          <w:szCs w:val="20"/>
        </w:rPr>
        <w:t xml:space="preserve">Net revenues increased in all product segments compared to the year-ago period, except in Wireless, mainly reflecting a strong demand in Automotive and Imaging product lines within our </w:t>
      </w:r>
      <w:r w:rsidR="006C6E98" w:rsidRPr="006C6E98">
        <w:rPr>
          <w:rFonts w:asciiTheme="minorHAnsi" w:hAnsiTheme="minorHAnsi" w:cs="Arial"/>
          <w:sz w:val="20"/>
          <w:szCs w:val="20"/>
        </w:rPr>
        <w:t>Automotive, Consumer, Computer and Communication Infrastructure</w:t>
      </w:r>
      <w:r>
        <w:rPr>
          <w:rFonts w:asciiTheme="minorHAnsi" w:hAnsiTheme="minorHAnsi" w:cs="Arial"/>
          <w:sz w:val="20"/>
          <w:szCs w:val="20"/>
        </w:rPr>
        <w:t xml:space="preserve"> (“ACCI”) product segment and of our MEMS and Microcontrollers with</w:t>
      </w:r>
      <w:r w:rsidR="00254A1E">
        <w:rPr>
          <w:rFonts w:asciiTheme="minorHAnsi" w:hAnsiTheme="minorHAnsi" w:cs="Arial"/>
          <w:sz w:val="20"/>
          <w:szCs w:val="20"/>
        </w:rPr>
        <w:t>in</w:t>
      </w:r>
      <w:r>
        <w:rPr>
          <w:rFonts w:asciiTheme="minorHAnsi" w:hAnsiTheme="minorHAnsi" w:cs="Arial"/>
          <w:sz w:val="20"/>
          <w:szCs w:val="20"/>
        </w:rPr>
        <w:t xml:space="preserve"> our </w:t>
      </w:r>
      <w:r w:rsidRPr="003E335B">
        <w:rPr>
          <w:rFonts w:asciiTheme="minorHAnsi" w:hAnsiTheme="minorHAnsi" w:cs="Arial"/>
          <w:sz w:val="20"/>
          <w:szCs w:val="20"/>
        </w:rPr>
        <w:t xml:space="preserve">Analog, MEMS and Microcontrollers </w:t>
      </w:r>
      <w:r>
        <w:rPr>
          <w:rFonts w:asciiTheme="minorHAnsi" w:hAnsiTheme="minorHAnsi" w:cs="Arial"/>
          <w:sz w:val="20"/>
          <w:szCs w:val="20"/>
        </w:rPr>
        <w:t>(“AMM”) product segment. Net revenues also benefited from a longer first half in 2011 (183 days versus 177 days)</w:t>
      </w:r>
      <w:r w:rsidR="00F60550">
        <w:rPr>
          <w:rFonts w:asciiTheme="minorHAnsi" w:hAnsiTheme="minorHAnsi" w:cs="Arial"/>
          <w:sz w:val="20"/>
          <w:szCs w:val="20"/>
        </w:rPr>
        <w:t>.</w:t>
      </w:r>
    </w:p>
    <w:p w:rsidR="008733F0" w:rsidRDefault="0092489C">
      <w:pPr>
        <w:spacing w:line="240" w:lineRule="auto"/>
        <w:jc w:val="both"/>
        <w:rPr>
          <w:rFonts w:asciiTheme="minorHAnsi" w:hAnsiTheme="minorHAnsi" w:cs="Arial"/>
          <w:sz w:val="20"/>
          <w:szCs w:val="20"/>
        </w:rPr>
      </w:pPr>
      <w:r>
        <w:rPr>
          <w:rFonts w:asciiTheme="minorHAnsi" w:hAnsiTheme="minorHAnsi" w:cs="Arial"/>
          <w:sz w:val="20"/>
          <w:szCs w:val="20"/>
        </w:rPr>
        <w:t>During o</w:t>
      </w:r>
      <w:r w:rsidR="00EA5A4D" w:rsidRPr="003E335B">
        <w:rPr>
          <w:rFonts w:asciiTheme="minorHAnsi" w:hAnsiTheme="minorHAnsi" w:cs="Arial"/>
          <w:sz w:val="20"/>
          <w:szCs w:val="20"/>
        </w:rPr>
        <w:t xml:space="preserve">ur first </w:t>
      </w:r>
      <w:r w:rsidR="008C2047" w:rsidRPr="003E335B">
        <w:rPr>
          <w:rFonts w:asciiTheme="minorHAnsi" w:hAnsiTheme="minorHAnsi" w:cs="Arial"/>
          <w:sz w:val="20"/>
          <w:szCs w:val="20"/>
        </w:rPr>
        <w:t>half of</w:t>
      </w:r>
      <w:r w:rsidR="00EA5A4D" w:rsidRPr="003E335B">
        <w:rPr>
          <w:rFonts w:asciiTheme="minorHAnsi" w:hAnsiTheme="minorHAnsi" w:cs="Arial"/>
          <w:sz w:val="20"/>
          <w:szCs w:val="20"/>
        </w:rPr>
        <w:t xml:space="preserve"> 2011</w:t>
      </w:r>
      <w:r w:rsidR="00F60550">
        <w:rPr>
          <w:rFonts w:asciiTheme="minorHAnsi" w:hAnsiTheme="minorHAnsi" w:cs="Arial"/>
          <w:sz w:val="20"/>
          <w:szCs w:val="20"/>
        </w:rPr>
        <w:t>,</w:t>
      </w:r>
      <w:r w:rsidR="00EA5A4D" w:rsidRPr="003E335B">
        <w:rPr>
          <w:rFonts w:asciiTheme="minorHAnsi" w:hAnsiTheme="minorHAnsi" w:cs="Arial"/>
          <w:sz w:val="20"/>
          <w:szCs w:val="20"/>
        </w:rPr>
        <w:t xml:space="preserve"> gross margin reached </w:t>
      </w:r>
      <w:r w:rsidR="00F60550">
        <w:rPr>
          <w:rFonts w:asciiTheme="minorHAnsi" w:hAnsiTheme="minorHAnsi" w:cs="Arial"/>
          <w:sz w:val="20"/>
          <w:szCs w:val="20"/>
        </w:rPr>
        <w:t>34.3</w:t>
      </w:r>
      <w:r w:rsidR="00EA5A4D" w:rsidRPr="003E335B">
        <w:rPr>
          <w:rFonts w:asciiTheme="minorHAnsi" w:hAnsiTheme="minorHAnsi" w:cs="Arial"/>
          <w:sz w:val="20"/>
          <w:szCs w:val="20"/>
        </w:rPr>
        <w:t xml:space="preserve">% of revenues, </w:t>
      </w:r>
      <w:r w:rsidR="00F60550">
        <w:rPr>
          <w:rFonts w:asciiTheme="minorHAnsi" w:hAnsiTheme="minorHAnsi" w:cs="Arial"/>
          <w:sz w:val="20"/>
          <w:szCs w:val="20"/>
        </w:rPr>
        <w:t>de</w:t>
      </w:r>
      <w:r w:rsidR="00EA5A4D" w:rsidRPr="003E335B">
        <w:rPr>
          <w:rFonts w:asciiTheme="minorHAnsi" w:hAnsiTheme="minorHAnsi" w:cs="Arial"/>
          <w:sz w:val="20"/>
          <w:szCs w:val="20"/>
        </w:rPr>
        <w:t xml:space="preserve">creasing by </w:t>
      </w:r>
      <w:r w:rsidR="00F60550">
        <w:rPr>
          <w:rFonts w:asciiTheme="minorHAnsi" w:hAnsiTheme="minorHAnsi" w:cs="Arial"/>
          <w:sz w:val="20"/>
          <w:szCs w:val="20"/>
        </w:rPr>
        <w:t>30</w:t>
      </w:r>
      <w:r w:rsidR="00EA5A4D" w:rsidRPr="003E335B">
        <w:rPr>
          <w:rFonts w:asciiTheme="minorHAnsi" w:hAnsiTheme="minorHAnsi" w:cs="Arial"/>
          <w:sz w:val="20"/>
          <w:szCs w:val="20"/>
        </w:rPr>
        <w:t xml:space="preserve"> basis points compared to the prior year period. The main factor</w:t>
      </w:r>
      <w:r w:rsidR="002F097B">
        <w:rPr>
          <w:rFonts w:asciiTheme="minorHAnsi" w:hAnsiTheme="minorHAnsi" w:cs="Arial"/>
          <w:sz w:val="20"/>
          <w:szCs w:val="20"/>
        </w:rPr>
        <w:t>s</w:t>
      </w:r>
      <w:r w:rsidR="00EA5A4D" w:rsidRPr="003E335B">
        <w:rPr>
          <w:rFonts w:asciiTheme="minorHAnsi" w:hAnsiTheme="minorHAnsi" w:cs="Arial"/>
          <w:sz w:val="20"/>
          <w:szCs w:val="20"/>
        </w:rPr>
        <w:t xml:space="preserve"> contributing to the year-over-year </w:t>
      </w:r>
      <w:r w:rsidR="001E5AAE">
        <w:rPr>
          <w:rFonts w:asciiTheme="minorHAnsi" w:hAnsiTheme="minorHAnsi" w:cs="Arial"/>
          <w:sz w:val="20"/>
          <w:szCs w:val="20"/>
        </w:rPr>
        <w:t>deterioration</w:t>
      </w:r>
      <w:r w:rsidR="00EA5A4D" w:rsidRPr="003E335B">
        <w:rPr>
          <w:rFonts w:asciiTheme="minorHAnsi" w:hAnsiTheme="minorHAnsi" w:cs="Arial"/>
          <w:sz w:val="20"/>
          <w:szCs w:val="20"/>
        </w:rPr>
        <w:t xml:space="preserve"> during the first </w:t>
      </w:r>
      <w:r w:rsidR="008C2047" w:rsidRPr="003E335B">
        <w:rPr>
          <w:rFonts w:asciiTheme="minorHAnsi" w:hAnsiTheme="minorHAnsi" w:cs="Arial"/>
          <w:sz w:val="20"/>
          <w:szCs w:val="20"/>
        </w:rPr>
        <w:t>half</w:t>
      </w:r>
      <w:r w:rsidR="00EA5A4D" w:rsidRPr="003E335B">
        <w:rPr>
          <w:rFonts w:asciiTheme="minorHAnsi" w:hAnsiTheme="minorHAnsi" w:cs="Arial"/>
          <w:sz w:val="20"/>
          <w:szCs w:val="20"/>
        </w:rPr>
        <w:t xml:space="preserve"> of 2011 w</w:t>
      </w:r>
      <w:r w:rsidR="002F097B">
        <w:rPr>
          <w:rFonts w:asciiTheme="minorHAnsi" w:hAnsiTheme="minorHAnsi" w:cs="Arial"/>
          <w:sz w:val="20"/>
          <w:szCs w:val="20"/>
        </w:rPr>
        <w:t>ere</w:t>
      </w:r>
      <w:r w:rsidR="00EA5A4D" w:rsidRPr="003E335B">
        <w:rPr>
          <w:rFonts w:asciiTheme="minorHAnsi" w:hAnsiTheme="minorHAnsi" w:cs="Arial"/>
          <w:sz w:val="20"/>
          <w:szCs w:val="20"/>
        </w:rPr>
        <w:t xml:space="preserve"> </w:t>
      </w:r>
      <w:r w:rsidR="001E5AAE">
        <w:rPr>
          <w:rFonts w:asciiTheme="minorHAnsi" w:hAnsiTheme="minorHAnsi" w:cs="Arial"/>
          <w:sz w:val="20"/>
          <w:szCs w:val="20"/>
        </w:rPr>
        <w:t>a negative price impact</w:t>
      </w:r>
      <w:r w:rsidR="002F097B">
        <w:rPr>
          <w:rFonts w:asciiTheme="minorHAnsi" w:hAnsiTheme="minorHAnsi" w:cs="Arial"/>
          <w:sz w:val="20"/>
          <w:szCs w:val="20"/>
        </w:rPr>
        <w:t xml:space="preserve"> </w:t>
      </w:r>
      <w:r w:rsidR="001E5AAE">
        <w:rPr>
          <w:rFonts w:asciiTheme="minorHAnsi" w:hAnsiTheme="minorHAnsi" w:cs="Arial"/>
          <w:sz w:val="20"/>
          <w:szCs w:val="20"/>
        </w:rPr>
        <w:t xml:space="preserve">and </w:t>
      </w:r>
      <w:r w:rsidR="002F097B">
        <w:rPr>
          <w:rFonts w:asciiTheme="minorHAnsi" w:hAnsiTheme="minorHAnsi" w:cs="Arial"/>
          <w:sz w:val="20"/>
          <w:szCs w:val="20"/>
        </w:rPr>
        <w:t xml:space="preserve">also the impact of </w:t>
      </w:r>
      <w:r w:rsidR="001E5AAE">
        <w:rPr>
          <w:rFonts w:asciiTheme="minorHAnsi" w:hAnsiTheme="minorHAnsi" w:cs="Arial"/>
          <w:sz w:val="20"/>
          <w:szCs w:val="20"/>
        </w:rPr>
        <w:t xml:space="preserve">amortization of development costs for </w:t>
      </w:r>
      <w:r w:rsidR="00F94D7A">
        <w:rPr>
          <w:rFonts w:asciiTheme="minorHAnsi" w:hAnsiTheme="minorHAnsi" w:cs="Arial"/>
          <w:sz w:val="20"/>
          <w:szCs w:val="20"/>
        </w:rPr>
        <w:t xml:space="preserve">key wireless </w:t>
      </w:r>
      <w:r w:rsidR="001E5AAE">
        <w:rPr>
          <w:rFonts w:asciiTheme="minorHAnsi" w:hAnsiTheme="minorHAnsi" w:cs="Arial"/>
          <w:sz w:val="20"/>
          <w:szCs w:val="20"/>
        </w:rPr>
        <w:t xml:space="preserve">products </w:t>
      </w:r>
      <w:r w:rsidR="002F097B">
        <w:rPr>
          <w:rFonts w:asciiTheme="minorHAnsi" w:hAnsiTheme="minorHAnsi" w:cs="Arial"/>
          <w:sz w:val="20"/>
          <w:szCs w:val="20"/>
        </w:rPr>
        <w:t xml:space="preserve">launched </w:t>
      </w:r>
      <w:r w:rsidR="00F94D7A">
        <w:rPr>
          <w:rFonts w:asciiTheme="minorHAnsi" w:hAnsiTheme="minorHAnsi" w:cs="Arial"/>
          <w:sz w:val="20"/>
          <w:szCs w:val="20"/>
        </w:rPr>
        <w:t xml:space="preserve">during the second half </w:t>
      </w:r>
      <w:r w:rsidR="00921C9F">
        <w:rPr>
          <w:rFonts w:asciiTheme="minorHAnsi" w:hAnsiTheme="minorHAnsi" w:cs="Arial"/>
          <w:sz w:val="20"/>
          <w:szCs w:val="20"/>
        </w:rPr>
        <w:t xml:space="preserve">of </w:t>
      </w:r>
      <w:r w:rsidR="00F94D7A">
        <w:rPr>
          <w:rFonts w:asciiTheme="minorHAnsi" w:hAnsiTheme="minorHAnsi" w:cs="Arial"/>
          <w:sz w:val="20"/>
          <w:szCs w:val="20"/>
        </w:rPr>
        <w:t xml:space="preserve">2010 and </w:t>
      </w:r>
      <w:r w:rsidR="00921C9F">
        <w:rPr>
          <w:rFonts w:asciiTheme="minorHAnsi" w:hAnsiTheme="minorHAnsi" w:cs="Arial"/>
          <w:sz w:val="20"/>
          <w:szCs w:val="20"/>
        </w:rPr>
        <w:t xml:space="preserve">the </w:t>
      </w:r>
      <w:r w:rsidR="00F94D7A">
        <w:rPr>
          <w:rFonts w:asciiTheme="minorHAnsi" w:hAnsiTheme="minorHAnsi" w:cs="Arial"/>
          <w:sz w:val="20"/>
          <w:szCs w:val="20"/>
        </w:rPr>
        <w:t xml:space="preserve">first half </w:t>
      </w:r>
      <w:r w:rsidR="00921C9F">
        <w:rPr>
          <w:rFonts w:asciiTheme="minorHAnsi" w:hAnsiTheme="minorHAnsi" w:cs="Arial"/>
          <w:sz w:val="20"/>
          <w:szCs w:val="20"/>
        </w:rPr>
        <w:t xml:space="preserve">of </w:t>
      </w:r>
      <w:r w:rsidR="00F94D7A">
        <w:rPr>
          <w:rFonts w:asciiTheme="minorHAnsi" w:hAnsiTheme="minorHAnsi" w:cs="Arial"/>
          <w:sz w:val="20"/>
          <w:szCs w:val="20"/>
        </w:rPr>
        <w:t>2011 for which</w:t>
      </w:r>
      <w:r w:rsidR="001E5AAE">
        <w:rPr>
          <w:rFonts w:asciiTheme="minorHAnsi" w:hAnsiTheme="minorHAnsi" w:cs="Arial"/>
          <w:sz w:val="20"/>
          <w:szCs w:val="20"/>
        </w:rPr>
        <w:t xml:space="preserve"> sales are </w:t>
      </w:r>
      <w:r w:rsidR="004855CE">
        <w:rPr>
          <w:rFonts w:asciiTheme="minorHAnsi" w:hAnsiTheme="minorHAnsi" w:cs="Arial"/>
          <w:sz w:val="20"/>
          <w:szCs w:val="20"/>
        </w:rPr>
        <w:t xml:space="preserve">still </w:t>
      </w:r>
      <w:r w:rsidR="001E5AAE">
        <w:rPr>
          <w:rFonts w:asciiTheme="minorHAnsi" w:hAnsiTheme="minorHAnsi" w:cs="Arial"/>
          <w:sz w:val="20"/>
          <w:szCs w:val="20"/>
        </w:rPr>
        <w:t>ramping up. These negative impacts were partially offset by improvements in the loading of our fabs and by manufacturing efficiencies</w:t>
      </w:r>
      <w:r w:rsidR="00EA5A4D" w:rsidRPr="003E335B">
        <w:rPr>
          <w:rFonts w:asciiTheme="minorHAnsi" w:hAnsiTheme="minorHAnsi" w:cs="Arial"/>
          <w:sz w:val="20"/>
          <w:szCs w:val="20"/>
        </w:rPr>
        <w:t xml:space="preserve">. </w:t>
      </w:r>
    </w:p>
    <w:p w:rsidR="008733F0" w:rsidRDefault="00EA5A4D">
      <w:pPr>
        <w:spacing w:line="240" w:lineRule="auto"/>
        <w:jc w:val="both"/>
        <w:rPr>
          <w:rFonts w:asciiTheme="minorHAnsi" w:hAnsiTheme="minorHAnsi" w:cs="Arial"/>
          <w:sz w:val="20"/>
          <w:szCs w:val="20"/>
        </w:rPr>
      </w:pPr>
      <w:r w:rsidRPr="003E335B">
        <w:rPr>
          <w:rFonts w:asciiTheme="minorHAnsi" w:hAnsiTheme="minorHAnsi" w:cs="Arial"/>
          <w:sz w:val="20"/>
          <w:szCs w:val="20"/>
        </w:rPr>
        <w:lastRenderedPageBreak/>
        <w:t xml:space="preserve">Our total operating expenses, combining the selling, general and administrative (“SG&amp;A”) and research and development (“R&amp;D”) expenses in the first </w:t>
      </w:r>
      <w:r w:rsidR="008C2047" w:rsidRPr="003E335B">
        <w:rPr>
          <w:rFonts w:asciiTheme="minorHAnsi" w:hAnsiTheme="minorHAnsi" w:cs="Arial"/>
          <w:sz w:val="20"/>
          <w:szCs w:val="20"/>
        </w:rPr>
        <w:t>half</w:t>
      </w:r>
      <w:r w:rsidRPr="003E335B">
        <w:rPr>
          <w:rFonts w:asciiTheme="minorHAnsi" w:hAnsiTheme="minorHAnsi" w:cs="Arial"/>
          <w:sz w:val="20"/>
          <w:szCs w:val="20"/>
        </w:rPr>
        <w:t xml:space="preserve"> of 2011</w:t>
      </w:r>
      <w:r w:rsidR="001E5AAE">
        <w:rPr>
          <w:rFonts w:asciiTheme="minorHAnsi" w:hAnsiTheme="minorHAnsi" w:cs="Arial"/>
          <w:sz w:val="20"/>
          <w:szCs w:val="20"/>
        </w:rPr>
        <w:t xml:space="preserve"> increased by 3% mainly reflecting a longer half</w:t>
      </w:r>
      <w:r w:rsidR="008F78B4">
        <w:rPr>
          <w:rFonts w:asciiTheme="minorHAnsi" w:hAnsiTheme="minorHAnsi" w:cs="Arial"/>
          <w:sz w:val="20"/>
          <w:szCs w:val="20"/>
        </w:rPr>
        <w:t xml:space="preserve"> year</w:t>
      </w:r>
      <w:r w:rsidR="001E5AAE">
        <w:rPr>
          <w:rFonts w:asciiTheme="minorHAnsi" w:hAnsiTheme="minorHAnsi" w:cs="Arial"/>
          <w:sz w:val="20"/>
          <w:szCs w:val="20"/>
        </w:rPr>
        <w:t xml:space="preserve"> and the unfavorable impact of the U.S. dollar exchange rate, partially offset by the impact of cost savings plans </w:t>
      </w:r>
      <w:r w:rsidR="0058410C">
        <w:rPr>
          <w:rFonts w:asciiTheme="minorHAnsi" w:hAnsiTheme="minorHAnsi" w:cs="Arial"/>
          <w:sz w:val="20"/>
          <w:szCs w:val="20"/>
        </w:rPr>
        <w:t xml:space="preserve">mainly </w:t>
      </w:r>
      <w:r w:rsidR="001E5AAE">
        <w:rPr>
          <w:rFonts w:asciiTheme="minorHAnsi" w:hAnsiTheme="minorHAnsi" w:cs="Arial"/>
          <w:sz w:val="20"/>
          <w:szCs w:val="20"/>
        </w:rPr>
        <w:t>at ST-Ericsson.</w:t>
      </w:r>
    </w:p>
    <w:p w:rsidR="008733F0" w:rsidRDefault="00EA5A4D">
      <w:pPr>
        <w:spacing w:line="240" w:lineRule="auto"/>
        <w:jc w:val="both"/>
        <w:rPr>
          <w:rFonts w:cs="Arial"/>
        </w:rPr>
      </w:pPr>
      <w:r w:rsidRPr="003E335B">
        <w:rPr>
          <w:rFonts w:asciiTheme="minorHAnsi" w:hAnsiTheme="minorHAnsi" w:cs="Arial"/>
          <w:sz w:val="20"/>
          <w:szCs w:val="20"/>
        </w:rPr>
        <w:t>The overall year-over-year</w:t>
      </w:r>
      <w:r w:rsidR="009910DB">
        <w:rPr>
          <w:rFonts w:asciiTheme="minorHAnsi" w:hAnsiTheme="minorHAnsi" w:cs="Arial"/>
          <w:sz w:val="20"/>
          <w:szCs w:val="20"/>
        </w:rPr>
        <w:t xml:space="preserve"> improvement of our performance</w:t>
      </w:r>
      <w:r w:rsidRPr="003E335B">
        <w:rPr>
          <w:rFonts w:asciiTheme="minorHAnsi" w:hAnsiTheme="minorHAnsi" w:cs="Arial"/>
          <w:sz w:val="20"/>
          <w:szCs w:val="20"/>
        </w:rPr>
        <w:t xml:space="preserve"> in the first </w:t>
      </w:r>
      <w:r w:rsidR="008C2047" w:rsidRPr="003E335B">
        <w:rPr>
          <w:rFonts w:asciiTheme="minorHAnsi" w:hAnsiTheme="minorHAnsi" w:cs="Arial"/>
          <w:sz w:val="20"/>
          <w:szCs w:val="20"/>
        </w:rPr>
        <w:t>half</w:t>
      </w:r>
      <w:r w:rsidRPr="003E335B">
        <w:rPr>
          <w:rFonts w:asciiTheme="minorHAnsi" w:hAnsiTheme="minorHAnsi" w:cs="Arial"/>
          <w:sz w:val="20"/>
          <w:szCs w:val="20"/>
        </w:rPr>
        <w:t xml:space="preserve"> of 2011, in terms of higher </w:t>
      </w:r>
      <w:r w:rsidR="008733F0" w:rsidRPr="003E335B">
        <w:rPr>
          <w:rFonts w:asciiTheme="minorHAnsi" w:hAnsiTheme="minorHAnsi" w:cs="Arial"/>
          <w:sz w:val="20"/>
          <w:szCs w:val="20"/>
        </w:rPr>
        <w:t xml:space="preserve">revenues </w:t>
      </w:r>
      <w:r w:rsidR="008733F0">
        <w:rPr>
          <w:rFonts w:asciiTheme="minorHAnsi" w:hAnsiTheme="minorHAnsi" w:cs="Arial"/>
          <w:sz w:val="20"/>
          <w:szCs w:val="20"/>
        </w:rPr>
        <w:t>combined</w:t>
      </w:r>
      <w:r w:rsidR="00D47FC3">
        <w:rPr>
          <w:rFonts w:asciiTheme="minorHAnsi" w:hAnsiTheme="minorHAnsi" w:cs="Arial"/>
          <w:sz w:val="20"/>
          <w:szCs w:val="20"/>
        </w:rPr>
        <w:t xml:space="preserve"> with the positive i</w:t>
      </w:r>
      <w:r w:rsidR="004855CE">
        <w:rPr>
          <w:rFonts w:asciiTheme="minorHAnsi" w:hAnsiTheme="minorHAnsi" w:cs="Arial"/>
          <w:sz w:val="20"/>
          <w:szCs w:val="20"/>
        </w:rPr>
        <w:t xml:space="preserve">mpact </w:t>
      </w:r>
      <w:r w:rsidR="00921C9F">
        <w:rPr>
          <w:rFonts w:asciiTheme="minorHAnsi" w:hAnsiTheme="minorHAnsi" w:cs="Arial"/>
          <w:sz w:val="20"/>
          <w:szCs w:val="20"/>
        </w:rPr>
        <w:t xml:space="preserve">of </w:t>
      </w:r>
      <w:r w:rsidR="0058410C">
        <w:rPr>
          <w:rFonts w:asciiTheme="minorHAnsi" w:hAnsiTheme="minorHAnsi" w:cs="Arial"/>
          <w:sz w:val="20"/>
          <w:szCs w:val="20"/>
        </w:rPr>
        <w:t>improved manufacturing performances</w:t>
      </w:r>
      <w:r w:rsidR="00D47FC3">
        <w:rPr>
          <w:rFonts w:asciiTheme="minorHAnsi" w:hAnsiTheme="minorHAnsi" w:cs="Arial"/>
          <w:sz w:val="20"/>
          <w:szCs w:val="20"/>
        </w:rPr>
        <w:t xml:space="preserve"> </w:t>
      </w:r>
      <w:r w:rsidRPr="003E335B">
        <w:rPr>
          <w:rFonts w:asciiTheme="minorHAnsi" w:hAnsiTheme="minorHAnsi" w:cs="Arial"/>
          <w:sz w:val="20"/>
          <w:szCs w:val="20"/>
        </w:rPr>
        <w:t>led to a s</w:t>
      </w:r>
      <w:r w:rsidR="0058410C">
        <w:rPr>
          <w:rFonts w:asciiTheme="minorHAnsi" w:hAnsiTheme="minorHAnsi" w:cs="Arial"/>
          <w:sz w:val="20"/>
          <w:szCs w:val="20"/>
        </w:rPr>
        <w:t>olid</w:t>
      </w:r>
      <w:r w:rsidRPr="003E335B">
        <w:rPr>
          <w:rFonts w:asciiTheme="minorHAnsi" w:hAnsiTheme="minorHAnsi" w:cs="Arial"/>
          <w:sz w:val="20"/>
          <w:szCs w:val="20"/>
        </w:rPr>
        <w:t xml:space="preserve"> </w:t>
      </w:r>
      <w:r w:rsidR="008C2047" w:rsidRPr="003E335B">
        <w:rPr>
          <w:rFonts w:asciiTheme="minorHAnsi" w:hAnsiTheme="minorHAnsi" w:cs="Arial"/>
          <w:sz w:val="20"/>
          <w:szCs w:val="20"/>
        </w:rPr>
        <w:t>improvement</w:t>
      </w:r>
      <w:r w:rsidRPr="003E335B">
        <w:rPr>
          <w:rFonts w:asciiTheme="minorHAnsi" w:hAnsiTheme="minorHAnsi" w:cs="Arial"/>
          <w:sz w:val="20"/>
          <w:szCs w:val="20"/>
        </w:rPr>
        <w:t xml:space="preserve"> of our operating </w:t>
      </w:r>
      <w:r w:rsidR="002F097B">
        <w:rPr>
          <w:rFonts w:asciiTheme="minorHAnsi" w:hAnsiTheme="minorHAnsi" w:cs="Arial"/>
          <w:sz w:val="20"/>
          <w:szCs w:val="20"/>
        </w:rPr>
        <w:t>income</w:t>
      </w:r>
      <w:r w:rsidRPr="003E335B">
        <w:rPr>
          <w:rFonts w:asciiTheme="minorHAnsi" w:hAnsiTheme="minorHAnsi" w:cs="Arial"/>
          <w:sz w:val="20"/>
          <w:szCs w:val="20"/>
        </w:rPr>
        <w:t>, moving from a</w:t>
      </w:r>
      <w:r w:rsidR="008C2047" w:rsidRPr="003E335B">
        <w:rPr>
          <w:rFonts w:asciiTheme="minorHAnsi" w:hAnsiTheme="minorHAnsi" w:cs="Arial"/>
          <w:sz w:val="20"/>
          <w:szCs w:val="20"/>
        </w:rPr>
        <w:t xml:space="preserve"> profit </w:t>
      </w:r>
      <w:r w:rsidRPr="003E335B">
        <w:rPr>
          <w:rFonts w:asciiTheme="minorHAnsi" w:hAnsiTheme="minorHAnsi" w:cs="Arial"/>
          <w:sz w:val="20"/>
          <w:szCs w:val="20"/>
        </w:rPr>
        <w:t>of $</w:t>
      </w:r>
      <w:r w:rsidR="008C2047" w:rsidRPr="003E335B">
        <w:rPr>
          <w:rFonts w:asciiTheme="minorHAnsi" w:hAnsiTheme="minorHAnsi" w:cs="Arial"/>
          <w:sz w:val="20"/>
          <w:szCs w:val="20"/>
        </w:rPr>
        <w:t>107</w:t>
      </w:r>
      <w:r w:rsidRPr="003E335B">
        <w:rPr>
          <w:rFonts w:asciiTheme="minorHAnsi" w:hAnsiTheme="minorHAnsi" w:cs="Arial"/>
          <w:sz w:val="20"/>
          <w:szCs w:val="20"/>
        </w:rPr>
        <w:t xml:space="preserve"> million in the first </w:t>
      </w:r>
      <w:r w:rsidR="008C2047" w:rsidRPr="003E335B">
        <w:rPr>
          <w:rFonts w:asciiTheme="minorHAnsi" w:hAnsiTheme="minorHAnsi" w:cs="Arial"/>
          <w:sz w:val="20"/>
          <w:szCs w:val="20"/>
        </w:rPr>
        <w:t>half of</w:t>
      </w:r>
      <w:r w:rsidRPr="003E335B">
        <w:rPr>
          <w:rFonts w:asciiTheme="minorHAnsi" w:hAnsiTheme="minorHAnsi" w:cs="Arial"/>
          <w:sz w:val="20"/>
          <w:szCs w:val="20"/>
        </w:rPr>
        <w:t xml:space="preserve"> 2010 to </w:t>
      </w:r>
      <w:r w:rsidR="008C2047" w:rsidRPr="003E335B">
        <w:rPr>
          <w:rFonts w:asciiTheme="minorHAnsi" w:hAnsiTheme="minorHAnsi" w:cs="Arial"/>
          <w:sz w:val="20"/>
          <w:szCs w:val="20"/>
        </w:rPr>
        <w:t xml:space="preserve">a profit </w:t>
      </w:r>
      <w:r w:rsidRPr="003E335B">
        <w:rPr>
          <w:rFonts w:asciiTheme="minorHAnsi" w:hAnsiTheme="minorHAnsi" w:cs="Arial"/>
          <w:sz w:val="20"/>
          <w:szCs w:val="20"/>
        </w:rPr>
        <w:t>of $</w:t>
      </w:r>
      <w:r w:rsidR="00BF48C5">
        <w:rPr>
          <w:rFonts w:asciiTheme="minorHAnsi" w:hAnsiTheme="minorHAnsi" w:cs="Arial"/>
          <w:sz w:val="20"/>
          <w:szCs w:val="20"/>
        </w:rPr>
        <w:t>294</w:t>
      </w:r>
      <w:r w:rsidR="00BF48C5" w:rsidRPr="003E335B">
        <w:rPr>
          <w:rFonts w:asciiTheme="minorHAnsi" w:hAnsiTheme="minorHAnsi" w:cs="Arial"/>
          <w:sz w:val="20"/>
          <w:szCs w:val="20"/>
        </w:rPr>
        <w:t xml:space="preserve"> </w:t>
      </w:r>
      <w:r w:rsidRPr="003E335B">
        <w:rPr>
          <w:rFonts w:asciiTheme="minorHAnsi" w:hAnsiTheme="minorHAnsi" w:cs="Arial"/>
          <w:sz w:val="20"/>
          <w:szCs w:val="20"/>
        </w:rPr>
        <w:t xml:space="preserve">million in the first </w:t>
      </w:r>
      <w:r w:rsidR="008C2047" w:rsidRPr="003E335B">
        <w:rPr>
          <w:rFonts w:asciiTheme="minorHAnsi" w:hAnsiTheme="minorHAnsi" w:cs="Arial"/>
          <w:sz w:val="20"/>
          <w:szCs w:val="20"/>
        </w:rPr>
        <w:t>half</w:t>
      </w:r>
      <w:r w:rsidRPr="003E335B">
        <w:rPr>
          <w:rFonts w:asciiTheme="minorHAnsi" w:hAnsiTheme="minorHAnsi" w:cs="Arial"/>
          <w:sz w:val="20"/>
          <w:szCs w:val="20"/>
        </w:rPr>
        <w:t xml:space="preserve"> of 2011. </w:t>
      </w:r>
    </w:p>
    <w:p w:rsidR="008733F0" w:rsidRDefault="00C257D0">
      <w:pPr>
        <w:spacing w:after="100" w:line="240" w:lineRule="auto"/>
        <w:jc w:val="both"/>
        <w:rPr>
          <w:rFonts w:asciiTheme="minorHAnsi" w:hAnsiTheme="minorHAnsi" w:cs="Arial"/>
          <w:sz w:val="20"/>
          <w:szCs w:val="20"/>
        </w:rPr>
      </w:pPr>
      <w:r>
        <w:rPr>
          <w:rFonts w:asciiTheme="minorHAnsi" w:hAnsiTheme="minorHAnsi" w:cs="Arial"/>
          <w:sz w:val="20"/>
          <w:szCs w:val="20"/>
        </w:rPr>
        <w:t>Net income in the first half of 2011 significantly increased to $44</w:t>
      </w:r>
      <w:r w:rsidR="00D415D2">
        <w:rPr>
          <w:rFonts w:asciiTheme="minorHAnsi" w:hAnsiTheme="minorHAnsi" w:cs="Arial"/>
          <w:sz w:val="20"/>
          <w:szCs w:val="20"/>
        </w:rPr>
        <w:t>4</w:t>
      </w:r>
      <w:r>
        <w:rPr>
          <w:rFonts w:asciiTheme="minorHAnsi" w:hAnsiTheme="minorHAnsi" w:cs="Arial"/>
          <w:sz w:val="20"/>
          <w:szCs w:val="20"/>
        </w:rPr>
        <w:t xml:space="preserve"> million, benefiting </w:t>
      </w:r>
      <w:proofErr w:type="gramStart"/>
      <w:r>
        <w:rPr>
          <w:rFonts w:asciiTheme="minorHAnsi" w:hAnsiTheme="minorHAnsi" w:cs="Arial"/>
          <w:sz w:val="20"/>
          <w:szCs w:val="20"/>
        </w:rPr>
        <w:t>from  the</w:t>
      </w:r>
      <w:proofErr w:type="gramEnd"/>
      <w:r w:rsidRPr="002F097B">
        <w:rPr>
          <w:rFonts w:asciiTheme="minorHAnsi" w:hAnsiTheme="minorHAnsi" w:cs="Arial"/>
          <w:sz w:val="20"/>
          <w:szCs w:val="20"/>
        </w:rPr>
        <w:t xml:space="preserve"> cash </w:t>
      </w:r>
      <w:r>
        <w:rPr>
          <w:rFonts w:asciiTheme="minorHAnsi" w:hAnsiTheme="minorHAnsi" w:cs="Arial"/>
          <w:sz w:val="20"/>
          <w:szCs w:val="20"/>
        </w:rPr>
        <w:t xml:space="preserve">payment from Credit Suisse as the full and final </w:t>
      </w:r>
      <w:r w:rsidRPr="002F097B">
        <w:rPr>
          <w:rFonts w:asciiTheme="minorHAnsi" w:hAnsiTheme="minorHAnsi" w:cs="Arial"/>
          <w:sz w:val="20"/>
          <w:szCs w:val="20"/>
        </w:rPr>
        <w:t>settlement of all outstanding litigation concerning Auction Rate Securities</w:t>
      </w:r>
      <w:r w:rsidR="002F097B" w:rsidRPr="002F097B">
        <w:rPr>
          <w:rFonts w:asciiTheme="minorHAnsi" w:hAnsiTheme="minorHAnsi" w:cs="Arial"/>
          <w:sz w:val="20"/>
          <w:szCs w:val="20"/>
        </w:rPr>
        <w:t>, which resulted in recording a $329 million benefit before taxes</w:t>
      </w:r>
      <w:r w:rsidR="00AE58EB">
        <w:rPr>
          <w:rFonts w:asciiTheme="minorHAnsi" w:hAnsiTheme="minorHAnsi" w:cs="Arial"/>
          <w:sz w:val="20"/>
          <w:szCs w:val="20"/>
        </w:rPr>
        <w:t xml:space="preserve">. </w:t>
      </w:r>
    </w:p>
    <w:p w:rsidR="008733F0" w:rsidRDefault="00AE58EB">
      <w:pPr>
        <w:autoSpaceDE w:val="0"/>
        <w:autoSpaceDN w:val="0"/>
        <w:adjustRightInd w:val="0"/>
        <w:spacing w:after="0" w:afterAutospacing="0" w:line="240" w:lineRule="auto"/>
        <w:jc w:val="both"/>
        <w:rPr>
          <w:rFonts w:asciiTheme="minorHAnsi" w:hAnsiTheme="minorHAnsi" w:cs="Arial"/>
          <w:sz w:val="20"/>
          <w:szCs w:val="20"/>
        </w:rPr>
      </w:pPr>
      <w:r>
        <w:rPr>
          <w:rFonts w:asciiTheme="minorHAnsi" w:hAnsiTheme="minorHAnsi" w:cs="Arial"/>
          <w:sz w:val="20"/>
          <w:szCs w:val="20"/>
        </w:rPr>
        <w:t xml:space="preserve">During this first half </w:t>
      </w:r>
      <w:r w:rsidR="006B1024">
        <w:rPr>
          <w:rFonts w:asciiTheme="minorHAnsi" w:hAnsiTheme="minorHAnsi" w:cs="Arial"/>
          <w:sz w:val="20"/>
          <w:szCs w:val="20"/>
        </w:rPr>
        <w:t xml:space="preserve">of </w:t>
      </w:r>
      <w:r>
        <w:rPr>
          <w:rFonts w:asciiTheme="minorHAnsi" w:hAnsiTheme="minorHAnsi" w:cs="Arial"/>
          <w:sz w:val="20"/>
          <w:szCs w:val="20"/>
        </w:rPr>
        <w:t xml:space="preserve">2011, we have made measurable progress in advancing our product portfolio, clearly gaining shares </w:t>
      </w:r>
      <w:r w:rsidR="004855CE">
        <w:rPr>
          <w:rFonts w:asciiTheme="minorHAnsi" w:hAnsiTheme="minorHAnsi" w:cs="Arial"/>
          <w:sz w:val="20"/>
          <w:szCs w:val="20"/>
        </w:rPr>
        <w:t>since</w:t>
      </w:r>
      <w:r>
        <w:rPr>
          <w:rFonts w:asciiTheme="minorHAnsi" w:hAnsiTheme="minorHAnsi" w:cs="Arial"/>
          <w:sz w:val="20"/>
          <w:szCs w:val="20"/>
        </w:rPr>
        <w:t xml:space="preserve"> net revenues from our wholly owned businesses</w:t>
      </w:r>
      <w:r w:rsidR="00F857DE">
        <w:rPr>
          <w:rFonts w:asciiTheme="minorHAnsi" w:hAnsiTheme="minorHAnsi" w:cs="Arial"/>
          <w:sz w:val="20"/>
          <w:szCs w:val="20"/>
        </w:rPr>
        <w:t xml:space="preserve"> </w:t>
      </w:r>
      <w:r w:rsidR="006C6E98" w:rsidRPr="006C6E98">
        <w:rPr>
          <w:rFonts w:asciiTheme="minorHAnsi" w:hAnsiTheme="minorHAnsi" w:cs="Arial"/>
          <w:sz w:val="20"/>
          <w:szCs w:val="20"/>
        </w:rPr>
        <w:t>(including ACCI, AMM, PDP and others, but excluding Wireless, mainly run through ST-Ericsson)</w:t>
      </w:r>
      <w:r>
        <w:rPr>
          <w:rFonts w:asciiTheme="minorHAnsi" w:hAnsiTheme="minorHAnsi" w:cs="Arial"/>
          <w:sz w:val="20"/>
          <w:szCs w:val="20"/>
        </w:rPr>
        <w:t xml:space="preserve"> increased </w:t>
      </w:r>
      <w:r w:rsidR="007122A5">
        <w:rPr>
          <w:rFonts w:asciiTheme="minorHAnsi" w:hAnsiTheme="minorHAnsi" w:cs="Arial"/>
          <w:sz w:val="20"/>
          <w:szCs w:val="20"/>
        </w:rPr>
        <w:t xml:space="preserve">by </w:t>
      </w:r>
      <w:r>
        <w:rPr>
          <w:rFonts w:asciiTheme="minorHAnsi" w:hAnsiTheme="minorHAnsi" w:cs="Arial"/>
          <w:sz w:val="20"/>
          <w:szCs w:val="20"/>
        </w:rPr>
        <w:t>17% compared to the year-ago period. Our product portfolio is gaining further traction, with significant design wins in the growth application areas we are targeting: energy management and savings, trust and data security, healthcare and wellness as well as smart consumer devices.</w:t>
      </w:r>
      <w:r w:rsidR="00AC0291">
        <w:rPr>
          <w:rFonts w:asciiTheme="minorHAnsi" w:hAnsiTheme="minorHAnsi" w:cs="Arial"/>
          <w:sz w:val="20"/>
          <w:szCs w:val="20"/>
        </w:rPr>
        <w:t xml:space="preserve"> However during this first half of 2011, </w:t>
      </w:r>
      <w:r>
        <w:rPr>
          <w:rFonts w:asciiTheme="minorHAnsi" w:hAnsiTheme="minorHAnsi" w:cs="Arial"/>
          <w:sz w:val="20"/>
          <w:szCs w:val="20"/>
        </w:rPr>
        <w:t xml:space="preserve">we </w:t>
      </w:r>
      <w:r w:rsidR="00AC0291">
        <w:rPr>
          <w:rFonts w:asciiTheme="minorHAnsi" w:hAnsiTheme="minorHAnsi" w:cs="Arial"/>
          <w:sz w:val="20"/>
          <w:szCs w:val="20"/>
        </w:rPr>
        <w:t xml:space="preserve">also </w:t>
      </w:r>
      <w:r>
        <w:rPr>
          <w:rFonts w:asciiTheme="minorHAnsi" w:hAnsiTheme="minorHAnsi" w:cs="Arial"/>
          <w:sz w:val="20"/>
          <w:szCs w:val="20"/>
        </w:rPr>
        <w:t>experienced headwinds related to the situation in Japan and currency rates, while continuing to face ST-Ericsson</w:t>
      </w:r>
      <w:r w:rsidR="008F78B4">
        <w:rPr>
          <w:rFonts w:asciiTheme="minorHAnsi" w:hAnsiTheme="minorHAnsi" w:cs="Arial"/>
          <w:sz w:val="20"/>
          <w:szCs w:val="20"/>
        </w:rPr>
        <w:t>’s</w:t>
      </w:r>
      <w:r>
        <w:rPr>
          <w:rFonts w:asciiTheme="minorHAnsi" w:hAnsiTheme="minorHAnsi" w:cs="Arial"/>
          <w:sz w:val="20"/>
          <w:szCs w:val="20"/>
        </w:rPr>
        <w:t xml:space="preserve"> ongoing transition. Additionally, in June, we saw weaker demand, and a much weaker than planned outlook for Wireless products from a major customer and we saw signs of softening demand in some of our businesses, such as digital consumer products and microcontrollers.</w:t>
      </w:r>
    </w:p>
    <w:p w:rsidR="0016106B" w:rsidRDefault="0016106B">
      <w:pPr>
        <w:autoSpaceDE w:val="0"/>
        <w:autoSpaceDN w:val="0"/>
        <w:adjustRightInd w:val="0"/>
        <w:spacing w:after="0" w:afterAutospacing="0" w:line="240" w:lineRule="auto"/>
        <w:jc w:val="both"/>
        <w:rPr>
          <w:rFonts w:asciiTheme="minorHAnsi" w:hAnsiTheme="minorHAnsi" w:cs="Arial"/>
          <w:sz w:val="20"/>
          <w:szCs w:val="20"/>
        </w:rPr>
      </w:pPr>
    </w:p>
    <w:p w:rsidR="0016106B" w:rsidRDefault="0016106B">
      <w:pPr>
        <w:autoSpaceDE w:val="0"/>
        <w:autoSpaceDN w:val="0"/>
        <w:adjustRightInd w:val="0"/>
        <w:spacing w:after="0" w:afterAutospacing="0" w:line="240" w:lineRule="auto"/>
        <w:jc w:val="both"/>
        <w:rPr>
          <w:rFonts w:asciiTheme="minorHAnsi" w:hAnsiTheme="minorHAnsi" w:cs="Arial"/>
          <w:sz w:val="20"/>
          <w:szCs w:val="20"/>
        </w:rPr>
      </w:pPr>
      <w:r w:rsidRPr="0016106B">
        <w:rPr>
          <w:rFonts w:asciiTheme="minorHAnsi" w:hAnsiTheme="minorHAnsi" w:cs="Arial"/>
          <w:sz w:val="20"/>
          <w:szCs w:val="20"/>
        </w:rPr>
        <w:t xml:space="preserve">ST-Ericsson is currently in a transition from legacy to new products. The </w:t>
      </w:r>
      <w:r>
        <w:rPr>
          <w:rFonts w:asciiTheme="minorHAnsi" w:hAnsiTheme="minorHAnsi" w:cs="Arial"/>
          <w:sz w:val="20"/>
          <w:szCs w:val="20"/>
        </w:rPr>
        <w:t>Group</w:t>
      </w:r>
      <w:r w:rsidRPr="0016106B">
        <w:rPr>
          <w:rFonts w:asciiTheme="minorHAnsi" w:hAnsiTheme="minorHAnsi" w:cs="Arial"/>
          <w:sz w:val="20"/>
          <w:szCs w:val="20"/>
        </w:rPr>
        <w:t xml:space="preserve">’s innovative product roadmap continues to gain traction with customers. Additionally, ST-Ericsson continues to make progress on their </w:t>
      </w:r>
      <w:proofErr w:type="spellStart"/>
      <w:r w:rsidRPr="0016106B">
        <w:rPr>
          <w:rFonts w:asciiTheme="minorHAnsi" w:hAnsiTheme="minorHAnsi" w:cs="Arial"/>
          <w:sz w:val="20"/>
          <w:szCs w:val="20"/>
        </w:rPr>
        <w:t>NovaThorTM</w:t>
      </w:r>
      <w:proofErr w:type="spellEnd"/>
      <w:r w:rsidRPr="0016106B">
        <w:rPr>
          <w:rFonts w:asciiTheme="minorHAnsi" w:hAnsiTheme="minorHAnsi" w:cs="Arial"/>
          <w:sz w:val="20"/>
          <w:szCs w:val="20"/>
        </w:rPr>
        <w:t xml:space="preserve"> U8500 platform, although initial volumes will be somewhat lower than initially expected due to reduced demand at certain customers. Lately, the short to midterm uncertainty in the wireless market has increased due to changes in the business environment and has reduced demand for legacy products. In the event of a significant worsening of the current market conditions or a lack of results, the value of ST-Ericsson for ST could decrease to a value lower than the current carrying amount of the investment on our books.</w:t>
      </w:r>
    </w:p>
    <w:p w:rsidR="0016106B" w:rsidRDefault="0016106B">
      <w:pPr>
        <w:autoSpaceDE w:val="0"/>
        <w:autoSpaceDN w:val="0"/>
        <w:adjustRightInd w:val="0"/>
        <w:spacing w:after="0" w:afterAutospacing="0" w:line="240" w:lineRule="auto"/>
        <w:jc w:val="both"/>
        <w:rPr>
          <w:rFonts w:asciiTheme="minorHAnsi" w:hAnsiTheme="minorHAnsi" w:cs="Arial"/>
          <w:sz w:val="20"/>
          <w:szCs w:val="20"/>
        </w:rPr>
      </w:pPr>
    </w:p>
    <w:p w:rsidR="008733F0" w:rsidRDefault="00D92381">
      <w:pPr>
        <w:spacing w:after="100" w:line="240" w:lineRule="auto"/>
        <w:jc w:val="both"/>
        <w:rPr>
          <w:rFonts w:asciiTheme="minorHAnsi" w:hAnsiTheme="minorHAnsi" w:cs="Arial"/>
          <w:i/>
          <w:sz w:val="20"/>
          <w:szCs w:val="20"/>
        </w:rPr>
      </w:pPr>
      <w:r w:rsidRPr="003E335B">
        <w:rPr>
          <w:rFonts w:asciiTheme="minorHAnsi" w:hAnsiTheme="minorHAnsi" w:cs="Arial"/>
          <w:i/>
          <w:sz w:val="20"/>
          <w:szCs w:val="20"/>
        </w:rPr>
        <w:t>This section should be read in conjunction with the report of the Managing Board included in the 20</w:t>
      </w:r>
      <w:r w:rsidR="008C2047" w:rsidRPr="003E335B">
        <w:rPr>
          <w:rFonts w:asciiTheme="minorHAnsi" w:hAnsiTheme="minorHAnsi" w:cs="Arial"/>
          <w:i/>
          <w:sz w:val="20"/>
          <w:szCs w:val="20"/>
        </w:rPr>
        <w:t>10</w:t>
      </w:r>
      <w:r w:rsidRPr="003E335B">
        <w:rPr>
          <w:rFonts w:asciiTheme="minorHAnsi" w:hAnsiTheme="minorHAnsi" w:cs="Arial"/>
          <w:i/>
          <w:sz w:val="20"/>
          <w:szCs w:val="20"/>
        </w:rPr>
        <w:t xml:space="preserve"> Annual Report filed with the AFM (Autoriteit Financiële Markten) on </w:t>
      </w:r>
      <w:r w:rsidR="008C2047" w:rsidRPr="003E335B">
        <w:rPr>
          <w:rFonts w:asciiTheme="minorHAnsi" w:hAnsiTheme="minorHAnsi" w:cs="Arial"/>
          <w:i/>
          <w:sz w:val="20"/>
          <w:szCs w:val="20"/>
        </w:rPr>
        <w:t xml:space="preserve">March </w:t>
      </w:r>
      <w:r w:rsidR="00557431" w:rsidRPr="003E335B">
        <w:rPr>
          <w:rFonts w:asciiTheme="minorHAnsi" w:hAnsiTheme="minorHAnsi" w:cs="Arial"/>
          <w:sz w:val="20"/>
          <w:szCs w:val="20"/>
        </w:rPr>
        <w:t>17</w:t>
      </w:r>
      <w:r w:rsidRPr="003E335B">
        <w:rPr>
          <w:rFonts w:asciiTheme="minorHAnsi" w:hAnsiTheme="minorHAnsi" w:cs="Arial"/>
          <w:i/>
          <w:sz w:val="20"/>
          <w:szCs w:val="20"/>
        </w:rPr>
        <w:t>, 201</w:t>
      </w:r>
      <w:r w:rsidR="008C2047" w:rsidRPr="003E335B">
        <w:rPr>
          <w:rFonts w:asciiTheme="minorHAnsi" w:hAnsiTheme="minorHAnsi" w:cs="Arial"/>
          <w:i/>
          <w:sz w:val="20"/>
          <w:szCs w:val="20"/>
        </w:rPr>
        <w:t>1</w:t>
      </w:r>
      <w:r w:rsidRPr="003E335B">
        <w:rPr>
          <w:rFonts w:asciiTheme="minorHAnsi" w:hAnsiTheme="minorHAnsi" w:cs="Arial"/>
          <w:i/>
          <w:sz w:val="20"/>
          <w:szCs w:val="20"/>
        </w:rPr>
        <w:t xml:space="preserve"> and approved by the shareholders at the Annual Shareholders’ Meeting on May </w:t>
      </w:r>
      <w:r w:rsidR="006B1024">
        <w:rPr>
          <w:rFonts w:asciiTheme="minorHAnsi" w:hAnsiTheme="minorHAnsi" w:cs="Arial"/>
          <w:i/>
          <w:sz w:val="20"/>
          <w:szCs w:val="20"/>
        </w:rPr>
        <w:t>3</w:t>
      </w:r>
      <w:r w:rsidRPr="003E335B">
        <w:rPr>
          <w:rFonts w:asciiTheme="minorHAnsi" w:hAnsiTheme="minorHAnsi" w:cs="Arial"/>
          <w:i/>
          <w:sz w:val="20"/>
          <w:szCs w:val="20"/>
        </w:rPr>
        <w:t>, 201</w:t>
      </w:r>
      <w:r w:rsidR="008C2047" w:rsidRPr="003E335B">
        <w:rPr>
          <w:rFonts w:asciiTheme="minorHAnsi" w:hAnsiTheme="minorHAnsi" w:cs="Arial"/>
          <w:i/>
          <w:sz w:val="20"/>
          <w:szCs w:val="20"/>
        </w:rPr>
        <w:t>1</w:t>
      </w:r>
      <w:r w:rsidRPr="003E335B">
        <w:rPr>
          <w:rFonts w:asciiTheme="minorHAnsi" w:hAnsiTheme="minorHAnsi" w:cs="Arial"/>
          <w:i/>
          <w:sz w:val="20"/>
          <w:szCs w:val="20"/>
        </w:rPr>
        <w:t>.</w:t>
      </w:r>
    </w:p>
    <w:p w:rsidR="00847BCE" w:rsidRPr="003E335B" w:rsidRDefault="00847BCE" w:rsidP="000D70EC">
      <w:pPr>
        <w:pStyle w:val="Title2"/>
        <w:spacing w:before="0" w:after="100" w:line="240" w:lineRule="auto"/>
        <w:rPr>
          <w:rFonts w:asciiTheme="minorHAnsi" w:hAnsiTheme="minorHAnsi"/>
          <w:sz w:val="20"/>
          <w:szCs w:val="20"/>
        </w:rPr>
      </w:pPr>
      <w:bookmarkStart w:id="11" w:name="_Toc300834217"/>
      <w:r w:rsidRPr="003E335B">
        <w:rPr>
          <w:rFonts w:asciiTheme="minorHAnsi" w:hAnsiTheme="minorHAnsi"/>
          <w:sz w:val="20"/>
          <w:szCs w:val="20"/>
        </w:rPr>
        <w:t>Segment information</w:t>
      </w:r>
      <w:bookmarkEnd w:id="11"/>
    </w:p>
    <w:p w:rsidR="002E71AB" w:rsidRPr="003E335B" w:rsidRDefault="002E71AB" w:rsidP="000D70EC">
      <w:pPr>
        <w:spacing w:line="240" w:lineRule="auto"/>
        <w:rPr>
          <w:rFonts w:asciiTheme="minorHAnsi" w:hAnsiTheme="minorHAnsi" w:cs="Arial"/>
          <w:sz w:val="20"/>
          <w:szCs w:val="20"/>
        </w:rPr>
      </w:pPr>
      <w:r w:rsidRPr="003E335B">
        <w:rPr>
          <w:rFonts w:asciiTheme="minorHAnsi" w:hAnsiTheme="minorHAnsi" w:cs="Arial"/>
          <w:sz w:val="20"/>
          <w:szCs w:val="20"/>
        </w:rPr>
        <w:t xml:space="preserve">We operate in two business areas: Semiconductors and Subsystems. </w:t>
      </w:r>
    </w:p>
    <w:p w:rsidR="008733F0" w:rsidRDefault="002E71AB">
      <w:pPr>
        <w:spacing w:line="240" w:lineRule="auto"/>
        <w:jc w:val="both"/>
        <w:rPr>
          <w:rFonts w:asciiTheme="minorHAnsi" w:hAnsiTheme="minorHAnsi" w:cs="Arial"/>
          <w:sz w:val="20"/>
          <w:szCs w:val="20"/>
        </w:rPr>
      </w:pPr>
      <w:r w:rsidRPr="003E335B">
        <w:rPr>
          <w:rFonts w:asciiTheme="minorHAnsi" w:hAnsiTheme="minorHAnsi" w:cs="Arial"/>
          <w:sz w:val="20"/>
          <w:szCs w:val="20"/>
        </w:rPr>
        <w:t>In the Semiconductors business area, we design, develop, manufacture and market a broad range of products, including discrete and standard commodity components, application-specific integrated circuits (“ASICs”), full-custom devices and semi-custom devices and application-specific standard products (“ASSPs”) for analog, digital and mixed-signal applications. In addition, we further participate in the manufacturing value chain of Smartcard products through our divisions, which include the production and sale of both silicon chips and Smart cards.</w:t>
      </w:r>
    </w:p>
    <w:p w:rsidR="00A50051" w:rsidRDefault="00A50051">
      <w:pPr>
        <w:spacing w:after="100" w:line="240" w:lineRule="auto"/>
        <w:rPr>
          <w:rFonts w:asciiTheme="minorHAnsi" w:hAnsiTheme="minorHAnsi" w:cs="Arial"/>
          <w:sz w:val="20"/>
          <w:szCs w:val="20"/>
        </w:rPr>
      </w:pPr>
      <w:r>
        <w:rPr>
          <w:rFonts w:asciiTheme="minorHAnsi" w:hAnsiTheme="minorHAnsi" w:cs="Arial"/>
          <w:sz w:val="20"/>
          <w:szCs w:val="20"/>
        </w:rPr>
        <w:br w:type="page"/>
      </w:r>
    </w:p>
    <w:p w:rsidR="008733F0" w:rsidRDefault="002E71AB">
      <w:pPr>
        <w:spacing w:line="240" w:lineRule="auto"/>
        <w:jc w:val="both"/>
        <w:rPr>
          <w:rFonts w:asciiTheme="minorHAnsi" w:hAnsiTheme="minorHAnsi" w:cs="Arial"/>
          <w:sz w:val="20"/>
          <w:szCs w:val="20"/>
        </w:rPr>
      </w:pPr>
      <w:r w:rsidRPr="003E335B">
        <w:rPr>
          <w:rFonts w:asciiTheme="minorHAnsi" w:hAnsiTheme="minorHAnsi" w:cs="Arial"/>
          <w:sz w:val="20"/>
          <w:szCs w:val="20"/>
        </w:rPr>
        <w:lastRenderedPageBreak/>
        <w:t>As of January 1, 2011 we changed the segment organization structure. The current organization is as follows:</w:t>
      </w:r>
    </w:p>
    <w:p w:rsidR="002E71AB" w:rsidRPr="003E335B" w:rsidRDefault="002E71AB" w:rsidP="000A1B34">
      <w:pPr>
        <w:pStyle w:val="ListParagraph"/>
        <w:numPr>
          <w:ilvl w:val="0"/>
          <w:numId w:val="47"/>
        </w:numPr>
        <w:spacing w:line="240" w:lineRule="auto"/>
        <w:rPr>
          <w:rFonts w:cs="Arial"/>
        </w:rPr>
      </w:pPr>
      <w:r w:rsidRPr="003E335B">
        <w:rPr>
          <w:rFonts w:cs="Arial"/>
        </w:rPr>
        <w:t>Automotive, Consumer, Computer and Communication Infrastructure (“ACCI”), comprised of:</w:t>
      </w:r>
    </w:p>
    <w:p w:rsidR="002E71AB" w:rsidRPr="003E335B" w:rsidRDefault="002E71AB" w:rsidP="000A1B34">
      <w:pPr>
        <w:pStyle w:val="ListParagraph"/>
        <w:numPr>
          <w:ilvl w:val="1"/>
          <w:numId w:val="47"/>
        </w:numPr>
        <w:spacing w:line="240" w:lineRule="auto"/>
        <w:rPr>
          <w:rFonts w:cs="Arial"/>
        </w:rPr>
      </w:pPr>
      <w:r w:rsidRPr="003E335B">
        <w:rPr>
          <w:rFonts w:cs="Arial"/>
        </w:rPr>
        <w:t>Automotive Products Group (“APG”);</w:t>
      </w:r>
    </w:p>
    <w:p w:rsidR="002E71AB" w:rsidRPr="003E335B" w:rsidRDefault="002E71AB" w:rsidP="000A1B34">
      <w:pPr>
        <w:pStyle w:val="ListParagraph"/>
        <w:numPr>
          <w:ilvl w:val="1"/>
          <w:numId w:val="47"/>
        </w:numPr>
        <w:spacing w:line="240" w:lineRule="auto"/>
        <w:rPr>
          <w:rFonts w:cs="Arial"/>
        </w:rPr>
      </w:pPr>
      <w:r w:rsidRPr="003E335B">
        <w:rPr>
          <w:rFonts w:cs="Arial"/>
        </w:rPr>
        <w:t xml:space="preserve">Computer and Communication Infrastructure (“CCI”); </w:t>
      </w:r>
    </w:p>
    <w:p w:rsidR="00254A1E" w:rsidRDefault="002E71AB">
      <w:pPr>
        <w:pStyle w:val="ListParagraph"/>
        <w:numPr>
          <w:ilvl w:val="1"/>
          <w:numId w:val="47"/>
        </w:numPr>
        <w:spacing w:line="240" w:lineRule="auto"/>
        <w:rPr>
          <w:rFonts w:cs="Arial"/>
        </w:rPr>
      </w:pPr>
      <w:r w:rsidRPr="003E335B">
        <w:rPr>
          <w:rFonts w:cs="Arial"/>
        </w:rPr>
        <w:t xml:space="preserve">Home Entertainment &amp; Displays (“HED”); and </w:t>
      </w:r>
    </w:p>
    <w:p w:rsidR="008733F0" w:rsidRPr="00A50051" w:rsidRDefault="002E71AB" w:rsidP="00A50051">
      <w:pPr>
        <w:pStyle w:val="ListParagraph"/>
        <w:numPr>
          <w:ilvl w:val="1"/>
          <w:numId w:val="47"/>
        </w:numPr>
        <w:spacing w:line="240" w:lineRule="auto"/>
        <w:rPr>
          <w:rFonts w:cs="Arial"/>
        </w:rPr>
      </w:pPr>
      <w:r w:rsidRPr="003E335B">
        <w:rPr>
          <w:rFonts w:cs="Arial"/>
        </w:rPr>
        <w:t xml:space="preserve">Imaging (“IMG”). </w:t>
      </w:r>
    </w:p>
    <w:p w:rsidR="002E71AB" w:rsidRPr="003E335B" w:rsidRDefault="002E71AB" w:rsidP="000A1B34">
      <w:pPr>
        <w:pStyle w:val="BulletedList"/>
        <w:numPr>
          <w:ilvl w:val="0"/>
          <w:numId w:val="47"/>
        </w:numPr>
        <w:spacing w:after="0" w:afterAutospacing="0"/>
        <w:rPr>
          <w:rFonts w:asciiTheme="minorHAnsi" w:hAnsiTheme="minorHAnsi" w:cs="Arial"/>
          <w:sz w:val="20"/>
          <w:szCs w:val="20"/>
          <w:lang w:val="en-US"/>
        </w:rPr>
      </w:pPr>
      <w:r w:rsidRPr="003E335B">
        <w:rPr>
          <w:rFonts w:asciiTheme="minorHAnsi" w:hAnsiTheme="minorHAnsi" w:cs="Arial"/>
          <w:sz w:val="20"/>
          <w:szCs w:val="20"/>
          <w:lang w:val="en-US"/>
        </w:rPr>
        <w:t>Analog, MEMS and Microcontrollers (“AMM”), comprised of</w:t>
      </w:r>
    </w:p>
    <w:p w:rsidR="002E71AB" w:rsidRPr="003E335B" w:rsidRDefault="002E71AB" w:rsidP="000A1B34">
      <w:pPr>
        <w:pStyle w:val="BulletedList"/>
        <w:numPr>
          <w:ilvl w:val="1"/>
          <w:numId w:val="47"/>
        </w:numPr>
        <w:spacing w:after="0" w:afterAutospacing="0"/>
        <w:rPr>
          <w:rFonts w:asciiTheme="minorHAnsi" w:hAnsiTheme="minorHAnsi" w:cs="Arial"/>
          <w:sz w:val="20"/>
          <w:szCs w:val="20"/>
          <w:lang w:val="en-US"/>
        </w:rPr>
      </w:pPr>
      <w:r w:rsidRPr="003E335B">
        <w:rPr>
          <w:rFonts w:asciiTheme="minorHAnsi" w:hAnsiTheme="minorHAnsi" w:cs="Arial"/>
          <w:sz w:val="20"/>
          <w:szCs w:val="20"/>
          <w:lang w:val="en-US"/>
        </w:rPr>
        <w:t>Analog Products and Micro-Electro-Mechanical Systems (“Analog &amp; MEMS”); and</w:t>
      </w:r>
    </w:p>
    <w:p w:rsidR="00254A1E" w:rsidRPr="008733F0" w:rsidRDefault="002E71AB" w:rsidP="008733F0">
      <w:pPr>
        <w:pStyle w:val="BulletedList"/>
        <w:numPr>
          <w:ilvl w:val="1"/>
          <w:numId w:val="47"/>
        </w:numPr>
        <w:spacing w:after="0" w:afterAutospacing="0"/>
        <w:rPr>
          <w:rFonts w:asciiTheme="minorHAnsi" w:hAnsiTheme="minorHAnsi" w:cs="Arial"/>
          <w:sz w:val="20"/>
          <w:szCs w:val="20"/>
        </w:rPr>
      </w:pPr>
      <w:r w:rsidRPr="003E335B">
        <w:rPr>
          <w:rFonts w:asciiTheme="minorHAnsi" w:hAnsiTheme="minorHAnsi" w:cs="Arial"/>
          <w:sz w:val="20"/>
          <w:szCs w:val="20"/>
          <w:lang w:val="en-US"/>
        </w:rPr>
        <w:t>Microcontrollers, non-Flash, non-volatile Memory and Smart Card products (“MMS”).</w:t>
      </w:r>
    </w:p>
    <w:p w:rsidR="00254A1E" w:rsidRDefault="002E71AB">
      <w:pPr>
        <w:pStyle w:val="BulletedList"/>
        <w:numPr>
          <w:ilvl w:val="0"/>
          <w:numId w:val="47"/>
        </w:numPr>
        <w:spacing w:after="0" w:afterAutospacing="0"/>
        <w:rPr>
          <w:rFonts w:asciiTheme="minorHAnsi" w:hAnsiTheme="minorHAnsi" w:cs="Arial"/>
          <w:sz w:val="20"/>
          <w:szCs w:val="20"/>
          <w:lang w:val="en-US"/>
        </w:rPr>
      </w:pPr>
      <w:r w:rsidRPr="003E335B">
        <w:rPr>
          <w:rFonts w:asciiTheme="minorHAnsi" w:hAnsiTheme="minorHAnsi" w:cs="Arial"/>
          <w:sz w:val="20"/>
          <w:szCs w:val="20"/>
          <w:lang w:val="en-US"/>
        </w:rPr>
        <w:t>Power Discrete P</w:t>
      </w:r>
      <w:r w:rsidR="00D05C90" w:rsidRPr="003E335B">
        <w:rPr>
          <w:rFonts w:asciiTheme="minorHAnsi" w:hAnsiTheme="minorHAnsi" w:cs="Arial"/>
          <w:sz w:val="20"/>
          <w:szCs w:val="20"/>
          <w:lang w:val="en-US"/>
        </w:rPr>
        <w:t xml:space="preserve">roducts (“PDP”), comprised of Rectifiers, </w:t>
      </w:r>
      <w:r w:rsidRPr="003E335B">
        <w:rPr>
          <w:rFonts w:asciiTheme="minorHAnsi" w:hAnsiTheme="minorHAnsi" w:cs="Arial"/>
          <w:sz w:val="20"/>
          <w:szCs w:val="20"/>
          <w:lang w:val="en-US"/>
        </w:rPr>
        <w:t xml:space="preserve">Thyristors &amp; Triacs, Protection, Integrated Passive Active Devices (IPADs) and Transistors. </w:t>
      </w:r>
    </w:p>
    <w:p w:rsidR="00254A1E" w:rsidRDefault="00AC0291">
      <w:pPr>
        <w:pStyle w:val="BulletedList"/>
        <w:numPr>
          <w:ilvl w:val="0"/>
          <w:numId w:val="47"/>
        </w:numPr>
        <w:spacing w:after="0" w:afterAutospacing="0"/>
        <w:rPr>
          <w:rFonts w:asciiTheme="minorHAnsi" w:hAnsiTheme="minorHAnsi" w:cs="Arial"/>
          <w:sz w:val="20"/>
          <w:szCs w:val="20"/>
          <w:lang w:val="en-US"/>
        </w:rPr>
      </w:pPr>
      <w:r w:rsidRPr="003E335B">
        <w:rPr>
          <w:rFonts w:asciiTheme="minorHAnsi" w:hAnsiTheme="minorHAnsi" w:cs="Arial"/>
          <w:sz w:val="20"/>
          <w:szCs w:val="20"/>
          <w:lang w:val="en-US"/>
        </w:rPr>
        <w:t>Wireless Segment (“Wireless”), comprised of:</w:t>
      </w:r>
    </w:p>
    <w:p w:rsidR="00254A1E" w:rsidRDefault="00AC0291">
      <w:pPr>
        <w:pStyle w:val="BulletedList"/>
        <w:numPr>
          <w:ilvl w:val="1"/>
          <w:numId w:val="47"/>
        </w:numPr>
        <w:spacing w:after="0" w:afterAutospacing="0"/>
        <w:rPr>
          <w:rFonts w:asciiTheme="minorHAnsi" w:hAnsiTheme="minorHAnsi" w:cs="Arial"/>
          <w:sz w:val="20"/>
          <w:szCs w:val="20"/>
          <w:lang w:val="en-US"/>
        </w:rPr>
      </w:pPr>
      <w:r w:rsidRPr="003E335B">
        <w:rPr>
          <w:rFonts w:hint="eastAsia"/>
          <w:color w:val="000000"/>
          <w:sz w:val="20"/>
          <w:szCs w:val="20"/>
        </w:rPr>
        <w:t>Entry Solutions and Connectivity (</w:t>
      </w:r>
      <w:r w:rsidRPr="003E335B">
        <w:rPr>
          <w:color w:val="000000"/>
          <w:sz w:val="20"/>
          <w:szCs w:val="20"/>
        </w:rPr>
        <w:t>“</w:t>
      </w:r>
      <w:r w:rsidRPr="003E335B">
        <w:rPr>
          <w:rFonts w:hint="eastAsia"/>
          <w:color w:val="000000"/>
          <w:sz w:val="20"/>
          <w:szCs w:val="20"/>
        </w:rPr>
        <w:t>ESC</w:t>
      </w:r>
      <w:r w:rsidRPr="003E335B">
        <w:rPr>
          <w:color w:val="000000"/>
          <w:sz w:val="20"/>
          <w:szCs w:val="20"/>
        </w:rPr>
        <w:t>”</w:t>
      </w:r>
      <w:r w:rsidRPr="003E335B">
        <w:rPr>
          <w:rFonts w:hint="eastAsia"/>
          <w:color w:val="000000"/>
          <w:sz w:val="20"/>
          <w:szCs w:val="20"/>
        </w:rPr>
        <w:t xml:space="preserve">) </w:t>
      </w:r>
      <w:r w:rsidRPr="003E335B">
        <w:rPr>
          <w:color w:val="000000"/>
          <w:sz w:val="20"/>
          <w:szCs w:val="20"/>
        </w:rPr>
        <w:t>(formerly “</w:t>
      </w:r>
      <w:r w:rsidRPr="003E335B">
        <w:rPr>
          <w:rFonts w:asciiTheme="minorHAnsi" w:hAnsiTheme="minorHAnsi" w:cs="Arial"/>
          <w:sz w:val="20"/>
          <w:szCs w:val="20"/>
          <w:lang w:val="en-US"/>
        </w:rPr>
        <w:t xml:space="preserve">2G, EDGE, TD-SCDMA &amp; Connectivity”); </w:t>
      </w:r>
    </w:p>
    <w:p w:rsidR="00254A1E" w:rsidRDefault="00AC0291">
      <w:pPr>
        <w:pStyle w:val="BulletedList"/>
        <w:numPr>
          <w:ilvl w:val="1"/>
          <w:numId w:val="47"/>
        </w:numPr>
        <w:spacing w:after="0" w:afterAutospacing="0"/>
        <w:rPr>
          <w:rFonts w:asciiTheme="minorHAnsi" w:hAnsiTheme="minorHAnsi" w:cs="Arial"/>
          <w:sz w:val="20"/>
          <w:szCs w:val="20"/>
          <w:lang w:val="en-US"/>
        </w:rPr>
      </w:pPr>
      <w:r w:rsidRPr="003E335B">
        <w:rPr>
          <w:rFonts w:hint="eastAsia"/>
          <w:color w:val="000000"/>
          <w:sz w:val="20"/>
          <w:szCs w:val="20"/>
        </w:rPr>
        <w:t>Smartphone and Tablet Solutions (</w:t>
      </w:r>
      <w:r w:rsidRPr="003E335B">
        <w:rPr>
          <w:color w:val="000000"/>
          <w:sz w:val="20"/>
          <w:szCs w:val="20"/>
        </w:rPr>
        <w:t>“</w:t>
      </w:r>
      <w:r w:rsidRPr="003E335B">
        <w:rPr>
          <w:rFonts w:hint="eastAsia"/>
          <w:color w:val="000000"/>
          <w:sz w:val="20"/>
          <w:szCs w:val="20"/>
        </w:rPr>
        <w:t>STS</w:t>
      </w:r>
      <w:r w:rsidRPr="003E335B">
        <w:rPr>
          <w:color w:val="000000"/>
          <w:sz w:val="20"/>
          <w:szCs w:val="20"/>
        </w:rPr>
        <w:t>”</w:t>
      </w:r>
      <w:r w:rsidRPr="003E335B">
        <w:rPr>
          <w:rFonts w:hint="eastAsia"/>
          <w:color w:val="000000"/>
          <w:sz w:val="20"/>
          <w:szCs w:val="20"/>
        </w:rPr>
        <w:t xml:space="preserve">) </w:t>
      </w:r>
      <w:r w:rsidRPr="003E335B">
        <w:rPr>
          <w:color w:val="000000"/>
          <w:sz w:val="20"/>
          <w:szCs w:val="20"/>
        </w:rPr>
        <w:t>(formerly “</w:t>
      </w:r>
      <w:r w:rsidRPr="003E335B">
        <w:rPr>
          <w:rFonts w:asciiTheme="minorHAnsi" w:hAnsiTheme="minorHAnsi" w:cs="Arial"/>
          <w:sz w:val="20"/>
          <w:szCs w:val="20"/>
          <w:lang w:val="en-US"/>
        </w:rPr>
        <w:t xml:space="preserve">3G Multimedia &amp; Platforms”); </w:t>
      </w:r>
    </w:p>
    <w:p w:rsidR="00254A1E" w:rsidRDefault="00AC0291">
      <w:pPr>
        <w:pStyle w:val="BulletedList"/>
        <w:numPr>
          <w:ilvl w:val="1"/>
          <w:numId w:val="47"/>
        </w:numPr>
        <w:spacing w:after="0" w:afterAutospacing="0"/>
        <w:rPr>
          <w:rFonts w:asciiTheme="minorHAnsi" w:hAnsiTheme="minorHAnsi" w:cs="Arial"/>
          <w:sz w:val="20"/>
          <w:szCs w:val="20"/>
          <w:lang w:val="en-US"/>
        </w:rPr>
      </w:pPr>
      <w:r w:rsidRPr="003E335B">
        <w:rPr>
          <w:rFonts w:hint="eastAsia"/>
          <w:color w:val="000000"/>
          <w:sz w:val="20"/>
          <w:szCs w:val="20"/>
        </w:rPr>
        <w:t>Modems (</w:t>
      </w:r>
      <w:r w:rsidRPr="003E335B">
        <w:rPr>
          <w:color w:val="000000"/>
          <w:sz w:val="20"/>
          <w:szCs w:val="20"/>
        </w:rPr>
        <w:t>“</w:t>
      </w:r>
      <w:r w:rsidRPr="003E335B">
        <w:rPr>
          <w:rFonts w:hint="eastAsia"/>
          <w:color w:val="000000"/>
          <w:sz w:val="20"/>
          <w:szCs w:val="20"/>
        </w:rPr>
        <w:t>MOD</w:t>
      </w:r>
      <w:r w:rsidRPr="003E335B">
        <w:rPr>
          <w:color w:val="000000"/>
          <w:sz w:val="20"/>
          <w:szCs w:val="20"/>
        </w:rPr>
        <w:t>”</w:t>
      </w:r>
      <w:r w:rsidRPr="003E335B">
        <w:rPr>
          <w:rFonts w:hint="eastAsia"/>
          <w:color w:val="000000"/>
          <w:sz w:val="20"/>
          <w:szCs w:val="20"/>
        </w:rPr>
        <w:t xml:space="preserve">) </w:t>
      </w:r>
      <w:r w:rsidRPr="003E335B">
        <w:rPr>
          <w:color w:val="000000"/>
          <w:sz w:val="20"/>
          <w:szCs w:val="20"/>
        </w:rPr>
        <w:t>(formerly “</w:t>
      </w:r>
      <w:r w:rsidRPr="003E335B">
        <w:rPr>
          <w:rFonts w:asciiTheme="minorHAnsi" w:hAnsiTheme="minorHAnsi" w:cs="Arial"/>
          <w:sz w:val="20"/>
          <w:szCs w:val="20"/>
          <w:lang w:val="en-US"/>
        </w:rPr>
        <w:t>LTE &amp; 3G Modem Solutions”)</w:t>
      </w:r>
      <w:r w:rsidR="00C257D0">
        <w:rPr>
          <w:rFonts w:asciiTheme="minorHAnsi" w:hAnsiTheme="minorHAnsi" w:cs="Arial"/>
          <w:sz w:val="20"/>
          <w:szCs w:val="20"/>
          <w:lang w:val="en-US"/>
        </w:rPr>
        <w:t>;</w:t>
      </w:r>
    </w:p>
    <w:p w:rsidR="008733F0" w:rsidRDefault="00AC0291">
      <w:pPr>
        <w:pStyle w:val="BulletedList"/>
        <w:tabs>
          <w:tab w:val="clear" w:pos="-1440"/>
        </w:tabs>
        <w:spacing w:after="0" w:afterAutospacing="0"/>
        <w:ind w:left="1080" w:firstLine="0"/>
        <w:rPr>
          <w:rFonts w:asciiTheme="minorHAnsi" w:hAnsiTheme="minorHAnsi" w:cs="Arial"/>
          <w:sz w:val="20"/>
          <w:szCs w:val="20"/>
          <w:lang w:val="en-US"/>
        </w:rPr>
      </w:pPr>
      <w:r w:rsidRPr="00E43BEC">
        <w:rPr>
          <w:rFonts w:asciiTheme="minorHAnsi" w:hAnsiTheme="minorHAnsi" w:cs="Arial"/>
          <w:sz w:val="20"/>
          <w:szCs w:val="20"/>
          <w:lang w:val="en-US"/>
        </w:rPr>
        <w:t>in which since February 3, 2009, we report the portion of sales and operating results of ST-Ericsson JVS as consolidated in our revenue and operating results); and</w:t>
      </w:r>
    </w:p>
    <w:p w:rsidR="002E71AB" w:rsidRPr="003E335B" w:rsidRDefault="00AC0291" w:rsidP="000A1B34">
      <w:pPr>
        <w:pStyle w:val="BulletedList"/>
        <w:numPr>
          <w:ilvl w:val="1"/>
          <w:numId w:val="47"/>
        </w:numPr>
        <w:spacing w:after="0" w:afterAutospacing="0"/>
        <w:rPr>
          <w:rFonts w:asciiTheme="minorHAnsi" w:hAnsiTheme="minorHAnsi" w:cs="Arial"/>
          <w:sz w:val="20"/>
          <w:szCs w:val="20"/>
          <w:lang w:val="en-US"/>
        </w:rPr>
      </w:pPr>
      <w:r w:rsidRPr="003E335B">
        <w:rPr>
          <w:rFonts w:asciiTheme="minorHAnsi" w:hAnsiTheme="minorHAnsi" w:cs="Arial"/>
          <w:sz w:val="20"/>
          <w:szCs w:val="20"/>
          <w:lang w:val="en-US"/>
        </w:rPr>
        <w:t>Other Wireless (in which we report manufacturing margin, R&amp;D revenues and other items related to the wireless business but outside of the ST-Ericsson JVS).</w:t>
      </w:r>
    </w:p>
    <w:p w:rsidR="008733F0" w:rsidRDefault="008733F0">
      <w:pPr>
        <w:spacing w:line="240" w:lineRule="auto"/>
        <w:jc w:val="both"/>
        <w:rPr>
          <w:rFonts w:asciiTheme="minorHAnsi" w:hAnsiTheme="minorHAnsi" w:cs="Arial"/>
          <w:sz w:val="20"/>
          <w:szCs w:val="20"/>
        </w:rPr>
      </w:pPr>
    </w:p>
    <w:p w:rsidR="008733F0" w:rsidRDefault="002E71AB">
      <w:pPr>
        <w:spacing w:line="240" w:lineRule="auto"/>
        <w:jc w:val="both"/>
        <w:rPr>
          <w:rFonts w:asciiTheme="minorHAnsi" w:hAnsiTheme="minorHAnsi" w:cs="Arial"/>
          <w:sz w:val="20"/>
          <w:szCs w:val="20"/>
        </w:rPr>
      </w:pPr>
      <w:r w:rsidRPr="003E335B">
        <w:rPr>
          <w:rFonts w:asciiTheme="minorHAnsi" w:hAnsiTheme="minorHAnsi" w:cs="Arial"/>
          <w:sz w:val="20"/>
          <w:szCs w:val="20"/>
        </w:rPr>
        <w:t xml:space="preserve">In 2011, we restated our results from prior periods for illustrative comparisons of our performance by product segment due to the former Industrial and Multisegment Sector (“IMS”) now being tracked in two separate segments (AMM and PDP). The preparation of segment information based on the current segment structure requires us to make significant estimates, assumptions and judgments in determining the operating income of the segments for the prior reporting periods. The tables set forth </w:t>
      </w:r>
      <w:r w:rsidR="00D05C90" w:rsidRPr="003E335B">
        <w:rPr>
          <w:rFonts w:asciiTheme="minorHAnsi" w:hAnsiTheme="minorHAnsi" w:cs="Arial"/>
          <w:sz w:val="20"/>
          <w:szCs w:val="20"/>
        </w:rPr>
        <w:t xml:space="preserve">in Note 5 of our Unaudited </w:t>
      </w:r>
      <w:r w:rsidR="005E1E77">
        <w:rPr>
          <w:rFonts w:asciiTheme="minorHAnsi" w:hAnsiTheme="minorHAnsi" w:cs="Arial"/>
          <w:sz w:val="20"/>
          <w:szCs w:val="20"/>
        </w:rPr>
        <w:t>Semi-Annual</w:t>
      </w:r>
      <w:r w:rsidR="00D05C90" w:rsidRPr="003E335B">
        <w:rPr>
          <w:rFonts w:asciiTheme="minorHAnsi" w:hAnsiTheme="minorHAnsi" w:cs="Arial"/>
          <w:sz w:val="20"/>
          <w:szCs w:val="20"/>
        </w:rPr>
        <w:t xml:space="preserve"> Financial Statements,</w:t>
      </w:r>
      <w:r w:rsidRPr="003E335B">
        <w:rPr>
          <w:rFonts w:asciiTheme="minorHAnsi" w:hAnsiTheme="minorHAnsi" w:cs="Arial"/>
          <w:sz w:val="20"/>
          <w:szCs w:val="20"/>
        </w:rPr>
        <w:t xml:space="preserve"> also reflect the transfer of the Audio division from ACCI to AMM; accordingly, we have reclassified the prior period’s revenues and operating income results of ACCI and AMM. We believe that the restated 2010 presentation is consistent with that of 2011 and we use these comparatives when managing our company.</w:t>
      </w:r>
    </w:p>
    <w:p w:rsidR="008733F0" w:rsidRDefault="002E71AB">
      <w:pPr>
        <w:spacing w:line="240" w:lineRule="auto"/>
        <w:jc w:val="both"/>
        <w:rPr>
          <w:rFonts w:asciiTheme="minorHAnsi" w:hAnsiTheme="minorHAnsi" w:cs="Arial"/>
          <w:sz w:val="20"/>
          <w:szCs w:val="20"/>
        </w:rPr>
      </w:pPr>
      <w:r w:rsidRPr="003E335B">
        <w:rPr>
          <w:rFonts w:asciiTheme="minorHAnsi" w:hAnsiTheme="minorHAnsi" w:cs="Arial"/>
          <w:sz w:val="20"/>
          <w:szCs w:val="20"/>
        </w:rPr>
        <w:t>Our principal investment and resource allocation decisions in the Semiconductor business area are for expenditures on R&amp;D and capital investments in front-end and back-end manufacturing facilities. These decisions are not made by product segments, but on the basis of the semiconductor business area. All these product segments share common R&amp;D for process technology and manufacturing capacity for most of their products.</w:t>
      </w:r>
    </w:p>
    <w:p w:rsidR="008733F0" w:rsidRDefault="002E71AB">
      <w:pPr>
        <w:spacing w:after="100" w:line="240" w:lineRule="auto"/>
        <w:jc w:val="both"/>
        <w:rPr>
          <w:rFonts w:asciiTheme="minorHAnsi" w:hAnsiTheme="minorHAnsi" w:cs="Arial"/>
          <w:sz w:val="20"/>
          <w:szCs w:val="20"/>
        </w:rPr>
      </w:pPr>
      <w:r w:rsidRPr="003E335B">
        <w:rPr>
          <w:rFonts w:asciiTheme="minorHAnsi" w:hAnsiTheme="minorHAnsi" w:cs="Arial"/>
          <w:sz w:val="20"/>
          <w:szCs w:val="20"/>
        </w:rPr>
        <w:t>In the Subsystems business area, we design, develop, manufacture and market subsystems and modules for the telecommunications, automotive and industrial markets including mobile phone accessories, battery chargers, ISDN power supplies and in-vehicle equipment for electronic toll payment. Based on its immateriality to our business as a whole, the Subsystems segment does not meet the requirements for a reportable segment as defined in the guidance on disclosures about segments of an enterprise and related information.</w:t>
      </w:r>
    </w:p>
    <w:p w:rsidR="008733F0" w:rsidRDefault="00D2777C">
      <w:pPr>
        <w:spacing w:after="100" w:line="240" w:lineRule="auto"/>
        <w:jc w:val="both"/>
        <w:rPr>
          <w:rFonts w:asciiTheme="minorHAnsi" w:eastAsia="Times New Roman" w:hAnsiTheme="minorHAnsi" w:cs="Arial"/>
          <w:b/>
          <w:smallCaps/>
          <w:color w:val="009CDD"/>
          <w:spacing w:val="5"/>
          <w:sz w:val="20"/>
          <w:szCs w:val="20"/>
          <w:lang w:bidi="en-US"/>
        </w:rPr>
      </w:pPr>
      <w:r w:rsidRPr="003E335B">
        <w:rPr>
          <w:rFonts w:asciiTheme="minorHAnsi" w:hAnsiTheme="minorHAnsi" w:cs="Arial"/>
          <w:sz w:val="20"/>
          <w:szCs w:val="20"/>
        </w:rPr>
        <w:t xml:space="preserve">For details about our revenues by segment, please refer to Note 5 of our </w:t>
      </w:r>
      <w:r w:rsidR="00FA4BA1" w:rsidRPr="003E335B">
        <w:rPr>
          <w:rFonts w:asciiTheme="minorHAnsi" w:hAnsiTheme="minorHAnsi" w:cs="Arial"/>
          <w:sz w:val="20"/>
          <w:szCs w:val="20"/>
        </w:rPr>
        <w:t xml:space="preserve">Unaudited </w:t>
      </w:r>
      <w:r w:rsidR="005E1E77">
        <w:rPr>
          <w:rFonts w:asciiTheme="minorHAnsi" w:hAnsiTheme="minorHAnsi" w:cs="Arial"/>
          <w:sz w:val="20"/>
          <w:szCs w:val="20"/>
        </w:rPr>
        <w:t>Semi-Annual</w:t>
      </w:r>
      <w:r w:rsidRPr="003E335B">
        <w:rPr>
          <w:rFonts w:asciiTheme="minorHAnsi" w:hAnsiTheme="minorHAnsi" w:cs="Arial"/>
          <w:sz w:val="20"/>
          <w:szCs w:val="20"/>
        </w:rPr>
        <w:t xml:space="preserve"> Financial Statements for the six months ended Ju</w:t>
      </w:r>
      <w:r w:rsidR="00D05C90" w:rsidRPr="003E335B">
        <w:rPr>
          <w:rFonts w:asciiTheme="minorHAnsi" w:hAnsiTheme="minorHAnsi" w:cs="Arial"/>
          <w:sz w:val="20"/>
          <w:szCs w:val="20"/>
        </w:rPr>
        <w:t>ly 2</w:t>
      </w:r>
      <w:r w:rsidRPr="003E335B">
        <w:rPr>
          <w:rFonts w:asciiTheme="minorHAnsi" w:hAnsiTheme="minorHAnsi" w:cs="Arial"/>
          <w:sz w:val="20"/>
          <w:szCs w:val="20"/>
        </w:rPr>
        <w:t xml:space="preserve">, </w:t>
      </w:r>
      <w:r w:rsidR="00D415D2" w:rsidRPr="003E335B">
        <w:rPr>
          <w:rFonts w:asciiTheme="minorHAnsi" w:hAnsiTheme="minorHAnsi" w:cs="Arial"/>
          <w:sz w:val="20"/>
          <w:szCs w:val="20"/>
        </w:rPr>
        <w:t>201</w:t>
      </w:r>
      <w:r w:rsidR="00D415D2">
        <w:rPr>
          <w:rFonts w:asciiTheme="minorHAnsi" w:hAnsiTheme="minorHAnsi" w:cs="Arial"/>
          <w:sz w:val="20"/>
          <w:szCs w:val="20"/>
        </w:rPr>
        <w:t>1</w:t>
      </w:r>
      <w:r w:rsidRPr="003E335B">
        <w:rPr>
          <w:rFonts w:asciiTheme="minorHAnsi" w:hAnsiTheme="minorHAnsi" w:cs="Arial"/>
          <w:sz w:val="20"/>
          <w:szCs w:val="20"/>
        </w:rPr>
        <w:t>.</w:t>
      </w:r>
    </w:p>
    <w:p w:rsidR="00A50051" w:rsidRDefault="00A50051">
      <w:pPr>
        <w:spacing w:after="100" w:line="240" w:lineRule="auto"/>
        <w:rPr>
          <w:rFonts w:asciiTheme="minorHAnsi" w:eastAsia="Times New Roman" w:hAnsiTheme="minorHAnsi" w:cs="Arial"/>
          <w:b/>
          <w:smallCaps/>
          <w:color w:val="009CDD"/>
          <w:spacing w:val="5"/>
          <w:sz w:val="20"/>
          <w:szCs w:val="20"/>
          <w:lang w:bidi="en-US"/>
        </w:rPr>
      </w:pPr>
      <w:bookmarkStart w:id="12" w:name="_Toc300834218"/>
      <w:r>
        <w:rPr>
          <w:rFonts w:asciiTheme="minorHAnsi" w:hAnsiTheme="minorHAnsi"/>
          <w:sz w:val="20"/>
          <w:szCs w:val="20"/>
        </w:rPr>
        <w:br w:type="page"/>
      </w:r>
    </w:p>
    <w:p w:rsidR="00847BCE" w:rsidRPr="003E335B" w:rsidRDefault="00847BCE" w:rsidP="000D70EC">
      <w:pPr>
        <w:pStyle w:val="Title2"/>
        <w:spacing w:before="0" w:after="100" w:line="240" w:lineRule="auto"/>
        <w:rPr>
          <w:rFonts w:asciiTheme="minorHAnsi" w:hAnsiTheme="minorHAnsi"/>
          <w:sz w:val="20"/>
          <w:szCs w:val="20"/>
        </w:rPr>
      </w:pPr>
      <w:r w:rsidRPr="003E335B">
        <w:rPr>
          <w:rFonts w:asciiTheme="minorHAnsi" w:hAnsiTheme="minorHAnsi"/>
          <w:sz w:val="20"/>
          <w:szCs w:val="20"/>
        </w:rPr>
        <w:lastRenderedPageBreak/>
        <w:t>Liquidity</w:t>
      </w:r>
      <w:bookmarkEnd w:id="12"/>
    </w:p>
    <w:p w:rsidR="008733F0" w:rsidRDefault="00143345">
      <w:pPr>
        <w:autoSpaceDE w:val="0"/>
        <w:autoSpaceDN w:val="0"/>
        <w:adjustRightInd w:val="0"/>
        <w:spacing w:after="100" w:line="240" w:lineRule="auto"/>
        <w:jc w:val="both"/>
        <w:rPr>
          <w:rFonts w:asciiTheme="minorHAnsi" w:hAnsiTheme="minorHAnsi" w:cs="Arial"/>
          <w:sz w:val="20"/>
          <w:szCs w:val="20"/>
        </w:rPr>
      </w:pPr>
      <w:r w:rsidRPr="003E335B">
        <w:rPr>
          <w:rFonts w:asciiTheme="minorHAnsi" w:hAnsiTheme="minorHAnsi" w:cs="Arial"/>
          <w:sz w:val="20"/>
          <w:szCs w:val="20"/>
        </w:rPr>
        <w:t>We maintain a solid financial structure, with a significant cash position and a low debt to equity ratio, which provide</w:t>
      </w:r>
      <w:r w:rsidR="00B15C1B">
        <w:rPr>
          <w:rFonts w:asciiTheme="minorHAnsi" w:hAnsiTheme="minorHAnsi" w:cs="Arial"/>
          <w:sz w:val="20"/>
          <w:szCs w:val="20"/>
        </w:rPr>
        <w:t>s</w:t>
      </w:r>
      <w:r w:rsidRPr="003E335B">
        <w:rPr>
          <w:rFonts w:asciiTheme="minorHAnsi" w:hAnsiTheme="minorHAnsi" w:cs="Arial"/>
          <w:sz w:val="20"/>
          <w:szCs w:val="20"/>
        </w:rPr>
        <w:t xml:space="preserve"> us with adequate financial flexibility. As in the past, our cash generated by operations is our primary source of liquidity. Our cash management policy is to finance our investment needs mainly with net cash generated from operating activities.</w:t>
      </w:r>
    </w:p>
    <w:p w:rsidR="00A50051" w:rsidRDefault="00143345">
      <w:pPr>
        <w:autoSpaceDE w:val="0"/>
        <w:autoSpaceDN w:val="0"/>
        <w:adjustRightInd w:val="0"/>
        <w:spacing w:after="100" w:line="240" w:lineRule="auto"/>
        <w:jc w:val="both"/>
        <w:rPr>
          <w:rFonts w:asciiTheme="minorHAnsi" w:hAnsiTheme="minorHAnsi" w:cs="Arial"/>
          <w:sz w:val="20"/>
          <w:szCs w:val="20"/>
        </w:rPr>
      </w:pPr>
      <w:r w:rsidRPr="003E335B">
        <w:rPr>
          <w:rFonts w:asciiTheme="minorHAnsi" w:hAnsiTheme="minorHAnsi" w:cs="Arial"/>
          <w:sz w:val="20"/>
          <w:szCs w:val="20"/>
        </w:rPr>
        <w:t>During the first half of 201</w:t>
      </w:r>
      <w:r w:rsidR="00063274">
        <w:rPr>
          <w:rFonts w:asciiTheme="minorHAnsi" w:hAnsiTheme="minorHAnsi" w:cs="Arial"/>
          <w:sz w:val="20"/>
          <w:szCs w:val="20"/>
        </w:rPr>
        <w:t>1</w:t>
      </w:r>
      <w:r w:rsidR="004855CE" w:rsidRPr="003E335B">
        <w:rPr>
          <w:rFonts w:asciiTheme="minorHAnsi" w:hAnsiTheme="minorHAnsi" w:cs="Arial"/>
          <w:sz w:val="20"/>
          <w:szCs w:val="20"/>
        </w:rPr>
        <w:t xml:space="preserve">, </w:t>
      </w:r>
      <w:r w:rsidR="004855CE">
        <w:rPr>
          <w:rFonts w:asciiTheme="minorHAnsi" w:hAnsiTheme="minorHAnsi" w:cs="Arial"/>
          <w:sz w:val="20"/>
          <w:szCs w:val="20"/>
        </w:rPr>
        <w:t>the</w:t>
      </w:r>
      <w:r w:rsidR="00063274">
        <w:rPr>
          <w:rFonts w:asciiTheme="minorHAnsi" w:hAnsiTheme="minorHAnsi" w:cs="Arial"/>
          <w:sz w:val="20"/>
          <w:szCs w:val="20"/>
        </w:rPr>
        <w:t xml:space="preserve"> evolution of our cash flow produced a net cash increase of $463 million, generated by net </w:t>
      </w:r>
      <w:r w:rsidR="001C6E69">
        <w:rPr>
          <w:rFonts w:asciiTheme="minorHAnsi" w:hAnsiTheme="minorHAnsi" w:cs="Arial"/>
          <w:sz w:val="20"/>
          <w:szCs w:val="20"/>
        </w:rPr>
        <w:t xml:space="preserve">cash </w:t>
      </w:r>
      <w:r w:rsidR="00063274">
        <w:rPr>
          <w:rFonts w:asciiTheme="minorHAnsi" w:hAnsiTheme="minorHAnsi" w:cs="Arial"/>
          <w:sz w:val="20"/>
          <w:szCs w:val="20"/>
        </w:rPr>
        <w:t xml:space="preserve">from operating activities and the net proceeds from the sale of non-current available-for-sale financial assets, which </w:t>
      </w:r>
      <w:r w:rsidR="001C6E69">
        <w:rPr>
          <w:rFonts w:asciiTheme="minorHAnsi" w:hAnsiTheme="minorHAnsi" w:cs="Arial"/>
          <w:sz w:val="20"/>
          <w:szCs w:val="20"/>
        </w:rPr>
        <w:t xml:space="preserve">were </w:t>
      </w:r>
      <w:r w:rsidR="00063274">
        <w:rPr>
          <w:rFonts w:asciiTheme="minorHAnsi" w:hAnsiTheme="minorHAnsi" w:cs="Arial"/>
          <w:sz w:val="20"/>
          <w:szCs w:val="20"/>
        </w:rPr>
        <w:t xml:space="preserve">partially offset by the payments for purchases of tangible assets and investment </w:t>
      </w:r>
      <w:r w:rsidR="001C6E69">
        <w:rPr>
          <w:rFonts w:asciiTheme="minorHAnsi" w:hAnsiTheme="minorHAnsi" w:cs="Arial"/>
          <w:sz w:val="20"/>
          <w:szCs w:val="20"/>
        </w:rPr>
        <w:t>in development of new products</w:t>
      </w:r>
      <w:r w:rsidR="004855CE">
        <w:rPr>
          <w:rFonts w:asciiTheme="minorHAnsi" w:hAnsiTheme="minorHAnsi" w:cs="Arial"/>
          <w:sz w:val="20"/>
          <w:szCs w:val="20"/>
        </w:rPr>
        <w:t>.</w:t>
      </w:r>
    </w:p>
    <w:p w:rsidR="00143345" w:rsidRPr="003E335B" w:rsidRDefault="00143345" w:rsidP="00A50051">
      <w:pPr>
        <w:autoSpaceDE w:val="0"/>
        <w:autoSpaceDN w:val="0"/>
        <w:adjustRightInd w:val="0"/>
        <w:spacing w:after="100" w:line="240" w:lineRule="auto"/>
        <w:jc w:val="both"/>
        <w:rPr>
          <w:rFonts w:asciiTheme="minorHAnsi" w:hAnsiTheme="minorHAnsi" w:cs="Arial"/>
          <w:sz w:val="20"/>
          <w:szCs w:val="20"/>
        </w:rPr>
      </w:pPr>
      <w:r w:rsidRPr="003E335B">
        <w:rPr>
          <w:rFonts w:asciiTheme="minorHAnsi" w:hAnsiTheme="minorHAnsi" w:cs="Arial"/>
          <w:sz w:val="20"/>
          <w:szCs w:val="20"/>
        </w:rPr>
        <w:t xml:space="preserve">The evolution of our cash flow for each period is as follows: </w:t>
      </w:r>
    </w:p>
    <w:tbl>
      <w:tblPr>
        <w:tblW w:w="10098" w:type="dxa"/>
        <w:tblLayout w:type="fixed"/>
        <w:tblLook w:val="04A0"/>
      </w:tblPr>
      <w:tblGrid>
        <w:gridCol w:w="7578"/>
        <w:gridCol w:w="1260"/>
        <w:gridCol w:w="1260"/>
      </w:tblGrid>
      <w:tr w:rsidR="00143345" w:rsidRPr="003E335B" w:rsidTr="00801700">
        <w:tc>
          <w:tcPr>
            <w:tcW w:w="7578" w:type="dxa"/>
            <w:vAlign w:val="bottom"/>
            <w:hideMark/>
          </w:tcPr>
          <w:p w:rsidR="00143345" w:rsidRPr="003E335B" w:rsidRDefault="00143345" w:rsidP="000D70EC">
            <w:pPr>
              <w:spacing w:after="100" w:line="240" w:lineRule="auto"/>
              <w:jc w:val="center"/>
              <w:rPr>
                <w:rFonts w:asciiTheme="minorHAnsi" w:hAnsiTheme="minorHAnsi" w:cs="Arial"/>
                <w:sz w:val="20"/>
                <w:szCs w:val="20"/>
              </w:rPr>
            </w:pPr>
          </w:p>
        </w:tc>
        <w:tc>
          <w:tcPr>
            <w:tcW w:w="2520" w:type="dxa"/>
            <w:gridSpan w:val="2"/>
            <w:tcBorders>
              <w:bottom w:val="single" w:sz="18" w:space="0" w:color="auto"/>
            </w:tcBorders>
            <w:vAlign w:val="bottom"/>
            <w:hideMark/>
          </w:tcPr>
          <w:p w:rsidR="00143345" w:rsidRPr="003E335B" w:rsidRDefault="00143345"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(unaudited)</w:t>
            </w:r>
          </w:p>
        </w:tc>
      </w:tr>
      <w:tr w:rsidR="00D05C90" w:rsidRPr="003E335B" w:rsidTr="00801700">
        <w:tc>
          <w:tcPr>
            <w:tcW w:w="7578" w:type="dxa"/>
            <w:tcBorders>
              <w:bottom w:val="single" w:sz="18" w:space="0" w:color="auto"/>
            </w:tcBorders>
            <w:vAlign w:val="bottom"/>
          </w:tcPr>
          <w:p w:rsidR="00D05C90" w:rsidRPr="003E335B" w:rsidRDefault="00D05C90"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1260" w:type="dxa"/>
            <w:tcBorders>
              <w:top w:val="single" w:sz="18" w:space="0" w:color="auto"/>
              <w:bottom w:val="single" w:sz="18" w:space="0" w:color="auto"/>
            </w:tcBorders>
            <w:vAlign w:val="bottom"/>
            <w:hideMark/>
          </w:tcPr>
          <w:p w:rsidR="00D05C90" w:rsidRPr="003E335B" w:rsidRDefault="00D05C90"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July 2, 2011</w:t>
            </w:r>
          </w:p>
        </w:tc>
        <w:tc>
          <w:tcPr>
            <w:tcW w:w="1260" w:type="dxa"/>
            <w:tcBorders>
              <w:top w:val="single" w:sz="18" w:space="0" w:color="auto"/>
              <w:bottom w:val="single" w:sz="18" w:space="0" w:color="auto"/>
            </w:tcBorders>
            <w:vAlign w:val="bottom"/>
            <w:hideMark/>
          </w:tcPr>
          <w:p w:rsidR="00D05C90" w:rsidRPr="003E335B" w:rsidRDefault="00D05C90"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June 26, 2010</w:t>
            </w:r>
          </w:p>
        </w:tc>
      </w:tr>
      <w:tr w:rsidR="00D05C90" w:rsidRPr="003E335B" w:rsidTr="00801700">
        <w:tc>
          <w:tcPr>
            <w:tcW w:w="7578" w:type="dxa"/>
            <w:tcBorders>
              <w:top w:val="single" w:sz="18" w:space="0" w:color="auto"/>
            </w:tcBorders>
            <w:hideMark/>
          </w:tcPr>
          <w:p w:rsidR="00D05C90" w:rsidRPr="003E335B" w:rsidRDefault="00D05C90" w:rsidP="004855CE">
            <w:pPr>
              <w:spacing w:after="100" w:line="240" w:lineRule="auto"/>
              <w:rPr>
                <w:rFonts w:asciiTheme="minorHAnsi" w:hAnsiTheme="minorHAnsi" w:cs="Arial"/>
                <w:sz w:val="20"/>
                <w:szCs w:val="20"/>
              </w:rPr>
            </w:pPr>
            <w:r w:rsidRPr="003E335B">
              <w:rPr>
                <w:rFonts w:asciiTheme="minorHAnsi" w:hAnsiTheme="minorHAnsi" w:cs="Arial"/>
                <w:sz w:val="20"/>
                <w:szCs w:val="20"/>
              </w:rPr>
              <w:t>Net cash from  operating activities</w:t>
            </w:r>
          </w:p>
        </w:tc>
        <w:tc>
          <w:tcPr>
            <w:tcW w:w="1260" w:type="dxa"/>
            <w:tcBorders>
              <w:top w:val="single" w:sz="18" w:space="0" w:color="auto"/>
            </w:tcBorders>
            <w:vAlign w:val="center"/>
          </w:tcPr>
          <w:p w:rsidR="00D05C90"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752</w:t>
            </w:r>
          </w:p>
        </w:tc>
        <w:tc>
          <w:tcPr>
            <w:tcW w:w="1260" w:type="dxa"/>
            <w:tcBorders>
              <w:top w:val="single" w:sz="18" w:space="0" w:color="auto"/>
            </w:tcBorders>
            <w:vAlign w:val="center"/>
            <w:hideMark/>
          </w:tcPr>
          <w:p w:rsidR="00D05C90" w:rsidRPr="003E335B" w:rsidRDefault="00D05C90"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1,017</w:t>
            </w:r>
          </w:p>
        </w:tc>
      </w:tr>
      <w:tr w:rsidR="00D05C90" w:rsidRPr="003E335B" w:rsidTr="00801700">
        <w:tc>
          <w:tcPr>
            <w:tcW w:w="7578" w:type="dxa"/>
            <w:shd w:val="clear" w:color="auto" w:fill="B8CCE4" w:themeFill="accent1" w:themeFillTint="66"/>
            <w:hideMark/>
          </w:tcPr>
          <w:p w:rsidR="00D05C90" w:rsidRPr="003E335B" w:rsidRDefault="00D05C90" w:rsidP="004855CE">
            <w:pPr>
              <w:spacing w:after="100" w:line="240" w:lineRule="auto"/>
              <w:rPr>
                <w:rFonts w:asciiTheme="minorHAnsi" w:hAnsiTheme="minorHAnsi" w:cs="Arial"/>
                <w:sz w:val="20"/>
                <w:szCs w:val="20"/>
              </w:rPr>
            </w:pPr>
            <w:r w:rsidRPr="003E335B">
              <w:rPr>
                <w:rFonts w:asciiTheme="minorHAnsi" w:hAnsiTheme="minorHAnsi" w:cs="Arial"/>
                <w:sz w:val="20"/>
                <w:szCs w:val="20"/>
              </w:rPr>
              <w:t>Net cash used in investing activities</w:t>
            </w:r>
          </w:p>
        </w:tc>
        <w:tc>
          <w:tcPr>
            <w:tcW w:w="1260" w:type="dxa"/>
            <w:shd w:val="clear" w:color="auto" w:fill="B8CCE4" w:themeFill="accent1" w:themeFillTint="66"/>
            <w:vAlign w:val="center"/>
          </w:tcPr>
          <w:p w:rsidR="00D05C90"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(189)</w:t>
            </w:r>
          </w:p>
        </w:tc>
        <w:tc>
          <w:tcPr>
            <w:tcW w:w="1260" w:type="dxa"/>
            <w:shd w:val="clear" w:color="auto" w:fill="B8CCE4" w:themeFill="accent1" w:themeFillTint="66"/>
            <w:vAlign w:val="center"/>
            <w:hideMark/>
          </w:tcPr>
          <w:p w:rsidR="00D05C90" w:rsidRPr="003E335B" w:rsidRDefault="00D05C90"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(809)</w:t>
            </w:r>
          </w:p>
        </w:tc>
      </w:tr>
      <w:tr w:rsidR="00D05C90" w:rsidRPr="003E335B" w:rsidTr="00801700">
        <w:tc>
          <w:tcPr>
            <w:tcW w:w="7578" w:type="dxa"/>
            <w:hideMark/>
          </w:tcPr>
          <w:p w:rsidR="00D05C90" w:rsidRPr="003E335B" w:rsidRDefault="00D05C90" w:rsidP="004855CE">
            <w:pPr>
              <w:spacing w:after="100" w:line="240" w:lineRule="auto"/>
              <w:rPr>
                <w:rFonts w:asciiTheme="minorHAnsi" w:hAnsiTheme="minorHAnsi" w:cs="Arial"/>
                <w:sz w:val="20"/>
                <w:szCs w:val="20"/>
              </w:rPr>
            </w:pPr>
            <w:r w:rsidRPr="003E335B">
              <w:rPr>
                <w:rFonts w:asciiTheme="minorHAnsi" w:hAnsiTheme="minorHAnsi" w:cs="Arial"/>
                <w:sz w:val="20"/>
                <w:szCs w:val="20"/>
              </w:rPr>
              <w:t>Net cash used in financing activities</w:t>
            </w:r>
          </w:p>
        </w:tc>
        <w:tc>
          <w:tcPr>
            <w:tcW w:w="1260" w:type="dxa"/>
            <w:vAlign w:val="center"/>
          </w:tcPr>
          <w:p w:rsidR="00D05C90" w:rsidRPr="003E335B" w:rsidRDefault="00F12FDB" w:rsidP="000D70EC">
            <w:pPr>
              <w:spacing w:after="100" w:line="240" w:lineRule="auto"/>
              <w:jc w:val="right"/>
              <w:rPr>
                <w:rFonts w:asciiTheme="minorHAnsi" w:hAnsiTheme="minorHAnsi" w:cs="Arial"/>
                <w:sz w:val="20"/>
                <w:szCs w:val="20"/>
              </w:rPr>
            </w:pPr>
            <w:r>
              <w:rPr>
                <w:rFonts w:asciiTheme="minorHAnsi" w:hAnsiTheme="minorHAnsi" w:cs="Arial"/>
                <w:sz w:val="20"/>
                <w:szCs w:val="20"/>
              </w:rPr>
              <w:t>(112)</w:t>
            </w:r>
          </w:p>
        </w:tc>
        <w:tc>
          <w:tcPr>
            <w:tcW w:w="1260" w:type="dxa"/>
            <w:vAlign w:val="center"/>
            <w:hideMark/>
          </w:tcPr>
          <w:p w:rsidR="00D05C90" w:rsidRPr="003E335B" w:rsidRDefault="00D05C90"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(431)</w:t>
            </w:r>
          </w:p>
        </w:tc>
      </w:tr>
      <w:tr w:rsidR="00D05C90" w:rsidRPr="003E335B" w:rsidTr="00801700">
        <w:tc>
          <w:tcPr>
            <w:tcW w:w="7578" w:type="dxa"/>
            <w:shd w:val="clear" w:color="auto" w:fill="B8CCE4" w:themeFill="accent1" w:themeFillTint="66"/>
            <w:hideMark/>
          </w:tcPr>
          <w:p w:rsidR="00D05C90" w:rsidRPr="003E335B" w:rsidRDefault="00D05C90"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Effect of change in exchange rates</w:t>
            </w:r>
          </w:p>
        </w:tc>
        <w:tc>
          <w:tcPr>
            <w:tcW w:w="1260" w:type="dxa"/>
            <w:tcBorders>
              <w:bottom w:val="single" w:sz="18" w:space="0" w:color="auto"/>
            </w:tcBorders>
            <w:shd w:val="clear" w:color="auto" w:fill="B8CCE4" w:themeFill="accent1" w:themeFillTint="66"/>
            <w:vAlign w:val="center"/>
          </w:tcPr>
          <w:p w:rsidR="00D05C90" w:rsidRPr="003E335B" w:rsidRDefault="00F12FDB" w:rsidP="000D70EC">
            <w:pPr>
              <w:spacing w:after="100" w:line="240" w:lineRule="auto"/>
              <w:jc w:val="right"/>
              <w:rPr>
                <w:rFonts w:asciiTheme="minorHAnsi" w:hAnsiTheme="minorHAnsi" w:cs="Arial"/>
                <w:sz w:val="20"/>
                <w:szCs w:val="20"/>
              </w:rPr>
            </w:pPr>
            <w:r>
              <w:rPr>
                <w:rFonts w:asciiTheme="minorHAnsi" w:hAnsiTheme="minorHAnsi" w:cs="Arial"/>
                <w:sz w:val="20"/>
                <w:szCs w:val="20"/>
              </w:rPr>
              <w:t>12</w:t>
            </w:r>
          </w:p>
        </w:tc>
        <w:tc>
          <w:tcPr>
            <w:tcW w:w="1260" w:type="dxa"/>
            <w:tcBorders>
              <w:bottom w:val="single" w:sz="18" w:space="0" w:color="auto"/>
            </w:tcBorders>
            <w:shd w:val="clear" w:color="auto" w:fill="B8CCE4" w:themeFill="accent1" w:themeFillTint="66"/>
            <w:vAlign w:val="center"/>
            <w:hideMark/>
          </w:tcPr>
          <w:p w:rsidR="00D05C90" w:rsidRPr="003E335B" w:rsidRDefault="00D05C90"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(97)</w:t>
            </w:r>
          </w:p>
        </w:tc>
      </w:tr>
      <w:tr w:rsidR="00D05C90" w:rsidRPr="003E335B" w:rsidTr="00801700">
        <w:tc>
          <w:tcPr>
            <w:tcW w:w="7578" w:type="dxa"/>
            <w:tcBorders>
              <w:bottom w:val="single" w:sz="18" w:space="0" w:color="auto"/>
            </w:tcBorders>
            <w:hideMark/>
          </w:tcPr>
          <w:p w:rsidR="00D05C90" w:rsidRPr="003E335B" w:rsidRDefault="00D05C90"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Net cash increase (decrease)</w:t>
            </w:r>
          </w:p>
        </w:tc>
        <w:tc>
          <w:tcPr>
            <w:tcW w:w="1260" w:type="dxa"/>
            <w:tcBorders>
              <w:top w:val="single" w:sz="18" w:space="0" w:color="auto"/>
              <w:bottom w:val="single" w:sz="18" w:space="0" w:color="auto"/>
            </w:tcBorders>
            <w:vAlign w:val="center"/>
          </w:tcPr>
          <w:p w:rsidR="00D05C90" w:rsidRPr="003E335B" w:rsidRDefault="00F12FDB"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463</w:t>
            </w:r>
          </w:p>
        </w:tc>
        <w:tc>
          <w:tcPr>
            <w:tcW w:w="1260" w:type="dxa"/>
            <w:tcBorders>
              <w:top w:val="single" w:sz="18" w:space="0" w:color="auto"/>
              <w:bottom w:val="single" w:sz="18" w:space="0" w:color="auto"/>
            </w:tcBorders>
            <w:vAlign w:val="center"/>
          </w:tcPr>
          <w:p w:rsidR="00D05C90" w:rsidRPr="003E335B" w:rsidRDefault="00D05C90"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(320)</w:t>
            </w:r>
          </w:p>
        </w:tc>
      </w:tr>
    </w:tbl>
    <w:p w:rsidR="00143345" w:rsidRPr="003E335B" w:rsidRDefault="00143345" w:rsidP="000D70EC">
      <w:pPr>
        <w:autoSpaceDE w:val="0"/>
        <w:autoSpaceDN w:val="0"/>
        <w:adjustRightInd w:val="0"/>
        <w:spacing w:after="100" w:line="240" w:lineRule="auto"/>
        <w:rPr>
          <w:rFonts w:asciiTheme="minorHAnsi" w:hAnsiTheme="minorHAnsi"/>
          <w:sz w:val="20"/>
          <w:szCs w:val="20"/>
        </w:rPr>
      </w:pPr>
    </w:p>
    <w:p w:rsidR="008D71C0" w:rsidRPr="003E335B" w:rsidRDefault="008733F0" w:rsidP="000D70EC">
      <w:pPr>
        <w:autoSpaceDE w:val="0"/>
        <w:autoSpaceDN w:val="0"/>
        <w:adjustRightInd w:val="0"/>
        <w:spacing w:after="100" w:line="240" w:lineRule="auto"/>
        <w:rPr>
          <w:rFonts w:asciiTheme="minorHAnsi" w:hAnsiTheme="minorHAnsi" w:cs="Arial"/>
          <w:b/>
          <w:sz w:val="20"/>
          <w:szCs w:val="20"/>
        </w:rPr>
      </w:pPr>
      <w:r w:rsidRPr="003E335B">
        <w:rPr>
          <w:rFonts w:asciiTheme="minorHAnsi" w:hAnsiTheme="minorHAnsi" w:cs="Arial"/>
          <w:b/>
          <w:i/>
          <w:sz w:val="20"/>
          <w:szCs w:val="20"/>
        </w:rPr>
        <w:t>Net cash from operating activities</w:t>
      </w:r>
      <w:r w:rsidRPr="003E335B">
        <w:rPr>
          <w:rFonts w:asciiTheme="minorHAnsi" w:hAnsiTheme="minorHAnsi" w:cs="Arial"/>
          <w:b/>
          <w:sz w:val="20"/>
          <w:szCs w:val="20"/>
        </w:rPr>
        <w:t xml:space="preserve"> </w:t>
      </w:r>
    </w:p>
    <w:p w:rsidR="008733F0" w:rsidRDefault="00603240">
      <w:pPr>
        <w:autoSpaceDE w:val="0"/>
        <w:autoSpaceDN w:val="0"/>
        <w:adjustRightInd w:val="0"/>
        <w:spacing w:after="100" w:line="240" w:lineRule="auto"/>
        <w:jc w:val="both"/>
        <w:rPr>
          <w:rFonts w:asciiTheme="minorHAnsi" w:hAnsiTheme="minorHAnsi" w:cs="Arial"/>
          <w:sz w:val="20"/>
          <w:szCs w:val="20"/>
        </w:rPr>
      </w:pPr>
      <w:r w:rsidRPr="003E335B">
        <w:rPr>
          <w:rFonts w:asciiTheme="minorHAnsi" w:hAnsiTheme="minorHAnsi" w:cs="Arial"/>
          <w:sz w:val="20"/>
          <w:szCs w:val="20"/>
        </w:rPr>
        <w:t xml:space="preserve">Net cash from operating activities is (i) </w:t>
      </w:r>
      <w:r w:rsidR="008F5F08" w:rsidRPr="003E335B">
        <w:rPr>
          <w:rFonts w:asciiTheme="minorHAnsi" w:hAnsiTheme="minorHAnsi" w:cs="Arial"/>
          <w:sz w:val="20"/>
          <w:szCs w:val="20"/>
        </w:rPr>
        <w:t xml:space="preserve">the </w:t>
      </w:r>
      <w:r w:rsidRPr="003E335B">
        <w:rPr>
          <w:rFonts w:asciiTheme="minorHAnsi" w:hAnsiTheme="minorHAnsi" w:cs="Arial"/>
          <w:sz w:val="20"/>
          <w:szCs w:val="20"/>
        </w:rPr>
        <w:t xml:space="preserve">net result adjusted for certain non-cash items and (ii) changes in assets and liabilities. </w:t>
      </w:r>
      <w:r w:rsidR="00143345" w:rsidRPr="003E335B">
        <w:rPr>
          <w:rFonts w:asciiTheme="minorHAnsi" w:hAnsiTheme="minorHAnsi" w:cs="Arial"/>
          <w:sz w:val="20"/>
          <w:szCs w:val="20"/>
        </w:rPr>
        <w:t>The net cash from operating activities in the first half of 201</w:t>
      </w:r>
      <w:r w:rsidR="00063274">
        <w:rPr>
          <w:rFonts w:asciiTheme="minorHAnsi" w:hAnsiTheme="minorHAnsi" w:cs="Arial"/>
          <w:sz w:val="20"/>
          <w:szCs w:val="20"/>
        </w:rPr>
        <w:t>1 was $752 million decreasing compared to the prior-year period. The deterioration in net cash from operating activities in the first half of 2011 was mainly due to a change in assets and liabilities which used cash in 2011</w:t>
      </w:r>
      <w:r w:rsidR="006B1024">
        <w:rPr>
          <w:rFonts w:asciiTheme="minorHAnsi" w:hAnsiTheme="minorHAnsi" w:cs="Arial"/>
          <w:sz w:val="20"/>
          <w:szCs w:val="20"/>
        </w:rPr>
        <w:t xml:space="preserve"> </w:t>
      </w:r>
      <w:r w:rsidR="00063274">
        <w:rPr>
          <w:rFonts w:asciiTheme="minorHAnsi" w:hAnsiTheme="minorHAnsi" w:cs="Arial"/>
          <w:sz w:val="20"/>
          <w:szCs w:val="20"/>
        </w:rPr>
        <w:t>while they generated cash in 2010</w:t>
      </w:r>
      <w:r w:rsidR="0058410C">
        <w:rPr>
          <w:rFonts w:asciiTheme="minorHAnsi" w:hAnsiTheme="minorHAnsi" w:cs="Arial"/>
          <w:sz w:val="20"/>
          <w:szCs w:val="20"/>
        </w:rPr>
        <w:t>,</w:t>
      </w:r>
      <w:r w:rsidR="006B1024">
        <w:rPr>
          <w:rFonts w:asciiTheme="minorHAnsi" w:hAnsiTheme="minorHAnsi" w:cs="Arial"/>
          <w:sz w:val="20"/>
          <w:szCs w:val="20"/>
        </w:rPr>
        <w:t xml:space="preserve"> and</w:t>
      </w:r>
      <w:r w:rsidR="0058410C">
        <w:rPr>
          <w:rFonts w:asciiTheme="minorHAnsi" w:hAnsiTheme="minorHAnsi" w:cs="Arial"/>
          <w:sz w:val="20"/>
          <w:szCs w:val="20"/>
        </w:rPr>
        <w:t xml:space="preserve"> net result adjusted for certain non-cash items improved</w:t>
      </w:r>
      <w:r w:rsidR="00063274">
        <w:rPr>
          <w:rFonts w:asciiTheme="minorHAnsi" w:hAnsiTheme="minorHAnsi" w:cs="Arial"/>
          <w:sz w:val="20"/>
          <w:szCs w:val="20"/>
        </w:rPr>
        <w:t xml:space="preserve"> as follows:</w:t>
      </w:r>
    </w:p>
    <w:p w:rsidR="009A298E" w:rsidRPr="003E335B" w:rsidRDefault="009A298E" w:rsidP="000A1B34">
      <w:pPr>
        <w:pStyle w:val="ListParagraph"/>
        <w:numPr>
          <w:ilvl w:val="0"/>
          <w:numId w:val="40"/>
        </w:numPr>
        <w:autoSpaceDE w:val="0"/>
        <w:autoSpaceDN w:val="0"/>
        <w:adjustRightInd w:val="0"/>
        <w:spacing w:after="100" w:line="240" w:lineRule="auto"/>
        <w:rPr>
          <w:rFonts w:cs="Arial"/>
        </w:rPr>
      </w:pPr>
      <w:r w:rsidRPr="003E335B">
        <w:rPr>
          <w:rFonts w:cs="Arial"/>
        </w:rPr>
        <w:t>Net result adjusted for non cash items generated $</w:t>
      </w:r>
      <w:r w:rsidR="00D415D2">
        <w:rPr>
          <w:rFonts w:cs="Arial"/>
        </w:rPr>
        <w:t>890</w:t>
      </w:r>
      <w:r w:rsidR="00D415D2" w:rsidRPr="003E335B">
        <w:rPr>
          <w:rFonts w:cs="Arial"/>
        </w:rPr>
        <w:t xml:space="preserve"> </w:t>
      </w:r>
      <w:r w:rsidRPr="003E335B">
        <w:rPr>
          <w:rFonts w:cs="Arial"/>
        </w:rPr>
        <w:t>million of cash in the first half of 201</w:t>
      </w:r>
      <w:r w:rsidR="00557431" w:rsidRPr="003E335B">
        <w:rPr>
          <w:rFonts w:cs="Arial"/>
        </w:rPr>
        <w:t>1</w:t>
      </w:r>
      <w:r w:rsidRPr="003E335B">
        <w:rPr>
          <w:rFonts w:cs="Arial"/>
        </w:rPr>
        <w:t xml:space="preserve"> compared to $</w:t>
      </w:r>
      <w:r w:rsidR="00557431" w:rsidRPr="003E335B">
        <w:rPr>
          <w:rFonts w:cs="Arial"/>
        </w:rPr>
        <w:t>7</w:t>
      </w:r>
      <w:r w:rsidR="00063274">
        <w:rPr>
          <w:rFonts w:cs="Arial"/>
        </w:rPr>
        <w:t>94</w:t>
      </w:r>
      <w:r w:rsidRPr="003E335B">
        <w:rPr>
          <w:rFonts w:cs="Arial"/>
        </w:rPr>
        <w:t xml:space="preserve"> million in the prior year period.</w:t>
      </w:r>
    </w:p>
    <w:p w:rsidR="009A298E" w:rsidRPr="003E335B" w:rsidRDefault="009A298E" w:rsidP="000A1B34">
      <w:pPr>
        <w:pStyle w:val="ListParagraph"/>
        <w:numPr>
          <w:ilvl w:val="0"/>
          <w:numId w:val="40"/>
        </w:numPr>
        <w:autoSpaceDE w:val="0"/>
        <w:autoSpaceDN w:val="0"/>
        <w:adjustRightInd w:val="0"/>
        <w:spacing w:after="100" w:line="240" w:lineRule="auto"/>
        <w:rPr>
          <w:rFonts w:cs="Arial"/>
        </w:rPr>
      </w:pPr>
      <w:r w:rsidRPr="003E335B">
        <w:rPr>
          <w:rFonts w:cs="Arial"/>
        </w:rPr>
        <w:t xml:space="preserve">Changes in assets and liabilities </w:t>
      </w:r>
      <w:r w:rsidR="00063274">
        <w:rPr>
          <w:rFonts w:cs="Arial"/>
        </w:rPr>
        <w:t>used cash for</w:t>
      </w:r>
      <w:r w:rsidRPr="003E335B">
        <w:rPr>
          <w:rFonts w:cs="Arial"/>
        </w:rPr>
        <w:t xml:space="preserve"> $</w:t>
      </w:r>
      <w:r w:rsidR="002B329B">
        <w:rPr>
          <w:rFonts w:cs="Arial"/>
        </w:rPr>
        <w:t>13</w:t>
      </w:r>
      <w:r w:rsidR="00D415D2">
        <w:rPr>
          <w:rFonts w:cs="Arial"/>
        </w:rPr>
        <w:t>8</w:t>
      </w:r>
      <w:r w:rsidRPr="003E335B">
        <w:rPr>
          <w:rFonts w:cs="Arial"/>
        </w:rPr>
        <w:t xml:space="preserve"> million in the first half of 201</w:t>
      </w:r>
      <w:r w:rsidR="00557431" w:rsidRPr="003E335B">
        <w:rPr>
          <w:rFonts w:cs="Arial"/>
        </w:rPr>
        <w:t>1</w:t>
      </w:r>
      <w:r w:rsidR="002B329B">
        <w:rPr>
          <w:rFonts w:cs="Arial"/>
        </w:rPr>
        <w:t xml:space="preserve"> compared to $223 million cash generated in the prior year period. While in the first half of 2011 negative changes were mainly due to the cash used to build inventory in an amount of $199 million, </w:t>
      </w:r>
      <w:r w:rsidR="004855CE">
        <w:rPr>
          <w:rFonts w:cs="Arial"/>
        </w:rPr>
        <w:t xml:space="preserve">in </w:t>
      </w:r>
      <w:r w:rsidR="002B329B">
        <w:rPr>
          <w:rFonts w:cs="Arial"/>
        </w:rPr>
        <w:t>the first half of 2010 the main item contributing to the favorable change was trade payables associated with ramp up of our activities. Furthermore the first half of 2011 also included a favorable net cash impact of $80 million, deriving from the sales with no recourse, of trade and other receivables, mainly done by ST-Ericsson, while the same impact in 2010 was $67 million.</w:t>
      </w:r>
    </w:p>
    <w:p w:rsidR="00A50051" w:rsidRDefault="00A50051">
      <w:pPr>
        <w:spacing w:after="100" w:line="240" w:lineRule="auto"/>
        <w:rPr>
          <w:rFonts w:asciiTheme="minorHAnsi" w:hAnsiTheme="minorHAnsi" w:cs="Arial"/>
          <w:b/>
          <w:i/>
          <w:sz w:val="20"/>
          <w:szCs w:val="20"/>
        </w:rPr>
      </w:pPr>
      <w:r>
        <w:rPr>
          <w:rFonts w:asciiTheme="minorHAnsi" w:hAnsiTheme="minorHAnsi" w:cs="Arial"/>
          <w:b/>
          <w:i/>
          <w:sz w:val="20"/>
          <w:szCs w:val="20"/>
        </w:rPr>
        <w:br w:type="page"/>
      </w:r>
    </w:p>
    <w:p w:rsidR="008733F0" w:rsidRDefault="00143345">
      <w:pPr>
        <w:autoSpaceDE w:val="0"/>
        <w:autoSpaceDN w:val="0"/>
        <w:adjustRightInd w:val="0"/>
        <w:spacing w:after="100" w:line="240" w:lineRule="auto"/>
        <w:jc w:val="both"/>
        <w:rPr>
          <w:rFonts w:asciiTheme="minorHAnsi" w:hAnsiTheme="minorHAnsi" w:cs="Arial"/>
          <w:b/>
          <w:sz w:val="20"/>
          <w:szCs w:val="20"/>
        </w:rPr>
      </w:pPr>
      <w:r w:rsidRPr="003E335B">
        <w:rPr>
          <w:rFonts w:asciiTheme="minorHAnsi" w:hAnsiTheme="minorHAnsi" w:cs="Arial"/>
          <w:b/>
          <w:i/>
          <w:sz w:val="20"/>
          <w:szCs w:val="20"/>
        </w:rPr>
        <w:lastRenderedPageBreak/>
        <w:t xml:space="preserve">Net cash </w:t>
      </w:r>
      <w:r w:rsidR="004855CE">
        <w:rPr>
          <w:rFonts w:asciiTheme="minorHAnsi" w:hAnsiTheme="minorHAnsi" w:cs="Arial"/>
          <w:b/>
          <w:i/>
          <w:sz w:val="20"/>
          <w:szCs w:val="20"/>
        </w:rPr>
        <w:t>used in</w:t>
      </w:r>
      <w:r w:rsidRPr="003E335B">
        <w:rPr>
          <w:rFonts w:asciiTheme="minorHAnsi" w:hAnsiTheme="minorHAnsi" w:cs="Arial"/>
          <w:b/>
          <w:i/>
          <w:sz w:val="20"/>
          <w:szCs w:val="20"/>
        </w:rPr>
        <w:t xml:space="preserve"> investing activities</w:t>
      </w:r>
      <w:r w:rsidRPr="003E335B">
        <w:rPr>
          <w:rFonts w:asciiTheme="minorHAnsi" w:hAnsiTheme="minorHAnsi" w:cs="Arial"/>
          <w:b/>
          <w:sz w:val="20"/>
          <w:szCs w:val="20"/>
        </w:rPr>
        <w:t xml:space="preserve">. </w:t>
      </w:r>
    </w:p>
    <w:p w:rsidR="008733F0" w:rsidRDefault="00143345">
      <w:pPr>
        <w:autoSpaceDE w:val="0"/>
        <w:autoSpaceDN w:val="0"/>
        <w:adjustRightInd w:val="0"/>
        <w:spacing w:after="100" w:line="240" w:lineRule="auto"/>
        <w:jc w:val="both"/>
        <w:rPr>
          <w:rFonts w:asciiTheme="minorHAnsi" w:hAnsiTheme="minorHAnsi" w:cs="Arial"/>
          <w:sz w:val="20"/>
          <w:szCs w:val="20"/>
        </w:rPr>
      </w:pPr>
      <w:r w:rsidRPr="003E335B">
        <w:rPr>
          <w:rFonts w:asciiTheme="minorHAnsi" w:hAnsiTheme="minorHAnsi" w:cs="Arial"/>
          <w:sz w:val="20"/>
          <w:szCs w:val="20"/>
        </w:rPr>
        <w:t xml:space="preserve">Investing activities generated </w:t>
      </w:r>
      <w:r w:rsidR="008F5F08" w:rsidRPr="003E335B">
        <w:rPr>
          <w:rFonts w:asciiTheme="minorHAnsi" w:hAnsiTheme="minorHAnsi" w:cs="Arial"/>
          <w:sz w:val="20"/>
          <w:szCs w:val="20"/>
        </w:rPr>
        <w:t xml:space="preserve">a </w:t>
      </w:r>
      <w:r w:rsidRPr="003E335B">
        <w:rPr>
          <w:rFonts w:asciiTheme="minorHAnsi" w:hAnsiTheme="minorHAnsi" w:cs="Arial"/>
          <w:sz w:val="20"/>
          <w:szCs w:val="20"/>
        </w:rPr>
        <w:t>cash outflow of $</w:t>
      </w:r>
      <w:r w:rsidR="008D75A1">
        <w:rPr>
          <w:rFonts w:cs="Arial"/>
          <w:sz w:val="20"/>
          <w:szCs w:val="20"/>
        </w:rPr>
        <w:t>189</w:t>
      </w:r>
      <w:r w:rsidRPr="003E335B">
        <w:rPr>
          <w:rFonts w:asciiTheme="minorHAnsi" w:hAnsiTheme="minorHAnsi" w:cs="Arial"/>
          <w:sz w:val="20"/>
          <w:szCs w:val="20"/>
        </w:rPr>
        <w:t xml:space="preserve"> million in the first half of 201</w:t>
      </w:r>
      <w:r w:rsidR="00557431" w:rsidRPr="003E335B">
        <w:rPr>
          <w:rFonts w:asciiTheme="minorHAnsi" w:hAnsiTheme="minorHAnsi" w:cs="Arial"/>
          <w:sz w:val="20"/>
          <w:szCs w:val="20"/>
        </w:rPr>
        <w:t>1</w:t>
      </w:r>
      <w:r w:rsidR="008D75A1">
        <w:rPr>
          <w:rFonts w:asciiTheme="minorHAnsi" w:hAnsiTheme="minorHAnsi" w:cs="Arial"/>
          <w:sz w:val="20"/>
          <w:szCs w:val="20"/>
        </w:rPr>
        <w:t>. This cash outflow was</w:t>
      </w:r>
      <w:r w:rsidRPr="003E335B">
        <w:rPr>
          <w:rFonts w:asciiTheme="minorHAnsi" w:hAnsiTheme="minorHAnsi" w:cs="Arial"/>
          <w:sz w:val="20"/>
          <w:szCs w:val="20"/>
        </w:rPr>
        <w:t xml:space="preserve"> </w:t>
      </w:r>
      <w:r w:rsidR="0058410C">
        <w:rPr>
          <w:rFonts w:asciiTheme="minorHAnsi" w:hAnsiTheme="minorHAnsi" w:cs="Arial"/>
          <w:sz w:val="20"/>
          <w:szCs w:val="20"/>
        </w:rPr>
        <w:t xml:space="preserve">mainly </w:t>
      </w:r>
      <w:r w:rsidRPr="003E335B">
        <w:rPr>
          <w:rFonts w:asciiTheme="minorHAnsi" w:hAnsiTheme="minorHAnsi" w:cs="Arial"/>
          <w:sz w:val="20"/>
          <w:szCs w:val="20"/>
        </w:rPr>
        <w:t>associated with $</w:t>
      </w:r>
      <w:r w:rsidR="008D75A1">
        <w:rPr>
          <w:rFonts w:cs="Arial"/>
          <w:sz w:val="20"/>
          <w:szCs w:val="20"/>
        </w:rPr>
        <w:t>798</w:t>
      </w:r>
      <w:r w:rsidRPr="003E335B">
        <w:rPr>
          <w:rFonts w:asciiTheme="minorHAnsi" w:hAnsiTheme="minorHAnsi" w:cs="Arial"/>
          <w:sz w:val="20"/>
          <w:szCs w:val="20"/>
        </w:rPr>
        <w:t> million of payments for tangible assets</w:t>
      </w:r>
      <w:r w:rsidR="008D75A1">
        <w:rPr>
          <w:rFonts w:asciiTheme="minorHAnsi" w:hAnsiTheme="minorHAnsi" w:cs="Arial"/>
          <w:sz w:val="20"/>
          <w:szCs w:val="20"/>
        </w:rPr>
        <w:t xml:space="preserve"> and</w:t>
      </w:r>
      <w:r w:rsidR="00557431" w:rsidRPr="003E335B">
        <w:rPr>
          <w:rFonts w:asciiTheme="minorHAnsi" w:hAnsiTheme="minorHAnsi" w:cs="Arial"/>
          <w:sz w:val="20"/>
          <w:szCs w:val="20"/>
        </w:rPr>
        <w:t xml:space="preserve"> </w:t>
      </w:r>
      <w:r w:rsidRPr="003E335B">
        <w:rPr>
          <w:rFonts w:asciiTheme="minorHAnsi" w:hAnsiTheme="minorHAnsi" w:cs="Arial"/>
          <w:sz w:val="20"/>
          <w:szCs w:val="20"/>
        </w:rPr>
        <w:t>a $</w:t>
      </w:r>
      <w:r w:rsidR="008D75A1">
        <w:rPr>
          <w:rFonts w:cs="Arial"/>
          <w:sz w:val="20"/>
          <w:szCs w:val="20"/>
        </w:rPr>
        <w:t>33</w:t>
      </w:r>
      <w:r w:rsidR="00C807AA">
        <w:rPr>
          <w:rFonts w:cs="Arial"/>
          <w:sz w:val="20"/>
          <w:szCs w:val="20"/>
        </w:rPr>
        <w:t>3</w:t>
      </w:r>
      <w:r w:rsidRPr="003E335B">
        <w:rPr>
          <w:rFonts w:asciiTheme="minorHAnsi" w:hAnsiTheme="minorHAnsi" w:cs="Arial"/>
          <w:sz w:val="20"/>
          <w:szCs w:val="20"/>
        </w:rPr>
        <w:t xml:space="preserve"> million investment in intangible and financial assets</w:t>
      </w:r>
      <w:r w:rsidR="008D75A1">
        <w:rPr>
          <w:rFonts w:asciiTheme="minorHAnsi" w:hAnsiTheme="minorHAnsi" w:cs="Arial"/>
          <w:sz w:val="20"/>
          <w:szCs w:val="20"/>
        </w:rPr>
        <w:t xml:space="preserve"> that were partially offset by net proceeds on current and non-current available-for-sale financial assets (including </w:t>
      </w:r>
      <w:r w:rsidR="001C6E69">
        <w:rPr>
          <w:rFonts w:asciiTheme="minorHAnsi" w:hAnsiTheme="minorHAnsi" w:cs="Arial"/>
          <w:sz w:val="20"/>
          <w:szCs w:val="20"/>
        </w:rPr>
        <w:t>shares</w:t>
      </w:r>
      <w:r w:rsidR="008D75A1">
        <w:rPr>
          <w:rFonts w:asciiTheme="minorHAnsi" w:hAnsiTheme="minorHAnsi" w:cs="Arial"/>
          <w:sz w:val="20"/>
          <w:szCs w:val="20"/>
        </w:rPr>
        <w:t xml:space="preserve"> received on investment divestiture). </w:t>
      </w:r>
      <w:r w:rsidRPr="003E335B">
        <w:rPr>
          <w:rFonts w:asciiTheme="minorHAnsi" w:hAnsiTheme="minorHAnsi" w:cs="Arial"/>
          <w:sz w:val="20"/>
          <w:szCs w:val="20"/>
        </w:rPr>
        <w:t>Payments for the purchase of tangible assets registered a significant increase from the $</w:t>
      </w:r>
      <w:r w:rsidR="008D75A1">
        <w:rPr>
          <w:rFonts w:cs="Arial"/>
          <w:sz w:val="20"/>
          <w:szCs w:val="20"/>
        </w:rPr>
        <w:t>313</w:t>
      </w:r>
      <w:r w:rsidRPr="003E335B">
        <w:rPr>
          <w:rFonts w:asciiTheme="minorHAnsi" w:hAnsiTheme="minorHAnsi" w:cs="Arial"/>
          <w:sz w:val="20"/>
          <w:szCs w:val="20"/>
        </w:rPr>
        <w:t xml:space="preserve"> million registered in the prior year period as we </w:t>
      </w:r>
      <w:r w:rsidR="008D75A1">
        <w:rPr>
          <w:rFonts w:asciiTheme="minorHAnsi" w:hAnsiTheme="minorHAnsi" w:cs="Arial"/>
          <w:sz w:val="20"/>
          <w:szCs w:val="20"/>
        </w:rPr>
        <w:t>almost completed the planned</w:t>
      </w:r>
      <w:r w:rsidRPr="003E335B">
        <w:rPr>
          <w:rFonts w:asciiTheme="minorHAnsi" w:hAnsiTheme="minorHAnsi" w:cs="Arial"/>
          <w:sz w:val="20"/>
          <w:szCs w:val="20"/>
        </w:rPr>
        <w:t xml:space="preserve"> upgrad</w:t>
      </w:r>
      <w:r w:rsidR="008D75A1">
        <w:rPr>
          <w:rFonts w:asciiTheme="minorHAnsi" w:hAnsiTheme="minorHAnsi" w:cs="Arial"/>
          <w:sz w:val="20"/>
          <w:szCs w:val="20"/>
        </w:rPr>
        <w:t>ing of</w:t>
      </w:r>
      <w:r w:rsidRPr="003E335B">
        <w:rPr>
          <w:rFonts w:asciiTheme="minorHAnsi" w:hAnsiTheme="minorHAnsi" w:cs="Arial"/>
          <w:sz w:val="20"/>
          <w:szCs w:val="20"/>
        </w:rPr>
        <w:t xml:space="preserve"> our production capacity in line with the strong increase in demand for our products. </w:t>
      </w:r>
      <w:r w:rsidR="009A298E" w:rsidRPr="003E335B">
        <w:rPr>
          <w:rFonts w:asciiTheme="minorHAnsi" w:hAnsiTheme="minorHAnsi" w:cs="Arial"/>
          <w:sz w:val="20"/>
          <w:szCs w:val="20"/>
        </w:rPr>
        <w:t>Investing activit</w:t>
      </w:r>
      <w:r w:rsidR="00557431" w:rsidRPr="003E335B">
        <w:rPr>
          <w:rFonts w:asciiTheme="minorHAnsi" w:hAnsiTheme="minorHAnsi" w:cs="Arial"/>
          <w:sz w:val="20"/>
          <w:szCs w:val="20"/>
        </w:rPr>
        <w:t>ies</w:t>
      </w:r>
      <w:r w:rsidR="009A298E" w:rsidRPr="003E335B">
        <w:rPr>
          <w:rFonts w:asciiTheme="minorHAnsi" w:hAnsiTheme="minorHAnsi" w:cs="Arial"/>
          <w:sz w:val="20"/>
          <w:szCs w:val="20"/>
        </w:rPr>
        <w:t xml:space="preserve"> generated </w:t>
      </w:r>
      <w:r w:rsidR="00557431" w:rsidRPr="003E335B">
        <w:rPr>
          <w:rFonts w:asciiTheme="minorHAnsi" w:hAnsiTheme="minorHAnsi" w:cs="Arial"/>
          <w:sz w:val="20"/>
          <w:szCs w:val="20"/>
        </w:rPr>
        <w:t>a</w:t>
      </w:r>
      <w:r w:rsidR="009A298E" w:rsidRPr="003E335B">
        <w:rPr>
          <w:rFonts w:asciiTheme="minorHAnsi" w:hAnsiTheme="minorHAnsi" w:cs="Arial"/>
          <w:sz w:val="20"/>
          <w:szCs w:val="20"/>
        </w:rPr>
        <w:t xml:space="preserve"> cash </w:t>
      </w:r>
      <w:r w:rsidR="00557431" w:rsidRPr="003E335B">
        <w:rPr>
          <w:rFonts w:asciiTheme="minorHAnsi" w:hAnsiTheme="minorHAnsi" w:cs="Arial"/>
          <w:sz w:val="20"/>
          <w:szCs w:val="20"/>
        </w:rPr>
        <w:t>outflow of $809 million in the first half of 2010</w:t>
      </w:r>
      <w:r w:rsidRPr="003E335B">
        <w:rPr>
          <w:rFonts w:asciiTheme="minorHAnsi" w:hAnsiTheme="minorHAnsi" w:cs="Arial"/>
          <w:sz w:val="20"/>
          <w:szCs w:val="20"/>
        </w:rPr>
        <w:t>.</w:t>
      </w:r>
    </w:p>
    <w:p w:rsidR="008733F0" w:rsidRDefault="008733F0">
      <w:pPr>
        <w:autoSpaceDE w:val="0"/>
        <w:autoSpaceDN w:val="0"/>
        <w:adjustRightInd w:val="0"/>
        <w:spacing w:after="100" w:line="240" w:lineRule="auto"/>
        <w:jc w:val="both"/>
        <w:rPr>
          <w:rFonts w:asciiTheme="minorHAnsi" w:hAnsiTheme="minorHAnsi" w:cs="Arial"/>
          <w:b/>
          <w:sz w:val="20"/>
          <w:szCs w:val="20"/>
        </w:rPr>
      </w:pPr>
      <w:r w:rsidRPr="003E335B">
        <w:rPr>
          <w:rFonts w:asciiTheme="minorHAnsi" w:hAnsiTheme="minorHAnsi" w:cs="Arial"/>
          <w:b/>
          <w:i/>
          <w:sz w:val="20"/>
          <w:szCs w:val="20"/>
        </w:rPr>
        <w:t>Net cash from (used in) financing activities</w:t>
      </w:r>
      <w:r w:rsidRPr="003E335B">
        <w:rPr>
          <w:rFonts w:asciiTheme="minorHAnsi" w:hAnsiTheme="minorHAnsi" w:cs="Arial"/>
          <w:b/>
          <w:sz w:val="20"/>
          <w:szCs w:val="20"/>
        </w:rPr>
        <w:t xml:space="preserve"> </w:t>
      </w:r>
    </w:p>
    <w:p w:rsidR="008733F0" w:rsidRDefault="00143345" w:rsidP="00A50051">
      <w:pPr>
        <w:autoSpaceDE w:val="0"/>
        <w:autoSpaceDN w:val="0"/>
        <w:adjustRightInd w:val="0"/>
        <w:spacing w:after="100" w:line="240" w:lineRule="auto"/>
        <w:jc w:val="both"/>
        <w:rPr>
          <w:rFonts w:asciiTheme="minorHAnsi" w:hAnsiTheme="minorHAnsi" w:cs="Arial"/>
          <w:b/>
          <w:i/>
          <w:sz w:val="20"/>
          <w:szCs w:val="20"/>
        </w:rPr>
      </w:pPr>
      <w:r w:rsidRPr="003E335B">
        <w:rPr>
          <w:rFonts w:asciiTheme="minorHAnsi" w:hAnsiTheme="minorHAnsi" w:cs="Arial"/>
          <w:sz w:val="20"/>
          <w:szCs w:val="20"/>
        </w:rPr>
        <w:t>Net cash used in financing activities was $</w:t>
      </w:r>
      <w:r w:rsidR="008D75A1">
        <w:rPr>
          <w:rFonts w:cs="Arial"/>
          <w:sz w:val="20"/>
          <w:szCs w:val="20"/>
        </w:rPr>
        <w:t>112</w:t>
      </w:r>
      <w:r w:rsidRPr="003E335B">
        <w:rPr>
          <w:rFonts w:asciiTheme="minorHAnsi" w:hAnsiTheme="minorHAnsi" w:cs="Arial"/>
          <w:sz w:val="20"/>
          <w:szCs w:val="20"/>
        </w:rPr>
        <w:t> million in the first half of 201</w:t>
      </w:r>
      <w:r w:rsidR="00F731AC" w:rsidRPr="003E335B">
        <w:rPr>
          <w:rFonts w:asciiTheme="minorHAnsi" w:hAnsiTheme="minorHAnsi" w:cs="Arial"/>
          <w:sz w:val="20"/>
          <w:szCs w:val="20"/>
        </w:rPr>
        <w:t>1</w:t>
      </w:r>
      <w:r w:rsidRPr="003E335B">
        <w:rPr>
          <w:rFonts w:asciiTheme="minorHAnsi" w:hAnsiTheme="minorHAnsi" w:cs="Arial"/>
          <w:sz w:val="20"/>
          <w:szCs w:val="20"/>
        </w:rPr>
        <w:t xml:space="preserve"> compared to the $</w:t>
      </w:r>
      <w:r w:rsidR="00F731AC" w:rsidRPr="003E335B">
        <w:rPr>
          <w:rFonts w:asciiTheme="minorHAnsi" w:hAnsiTheme="minorHAnsi" w:cs="Arial"/>
          <w:sz w:val="20"/>
          <w:szCs w:val="20"/>
        </w:rPr>
        <w:t>431</w:t>
      </w:r>
      <w:r w:rsidRPr="003E335B">
        <w:rPr>
          <w:rFonts w:asciiTheme="minorHAnsi" w:hAnsiTheme="minorHAnsi" w:cs="Arial"/>
          <w:sz w:val="20"/>
          <w:szCs w:val="20"/>
        </w:rPr>
        <w:t> million used in the first half of 20</w:t>
      </w:r>
      <w:r w:rsidR="00F731AC" w:rsidRPr="003E335B">
        <w:rPr>
          <w:rFonts w:asciiTheme="minorHAnsi" w:hAnsiTheme="minorHAnsi" w:cs="Arial"/>
          <w:sz w:val="20"/>
          <w:szCs w:val="20"/>
        </w:rPr>
        <w:t>10</w:t>
      </w:r>
      <w:r w:rsidR="008D75A1">
        <w:rPr>
          <w:rFonts w:asciiTheme="minorHAnsi" w:hAnsiTheme="minorHAnsi" w:cs="Arial"/>
          <w:sz w:val="20"/>
          <w:szCs w:val="20"/>
        </w:rPr>
        <w:t xml:space="preserve"> mainly due to the lower amounts used to repurchase parts of our outstanding bonds. </w:t>
      </w:r>
      <w:r w:rsidRPr="003E335B">
        <w:rPr>
          <w:rFonts w:asciiTheme="minorHAnsi" w:hAnsiTheme="minorHAnsi" w:cs="Arial"/>
          <w:sz w:val="20"/>
          <w:szCs w:val="20"/>
        </w:rPr>
        <w:t>Moreover</w:t>
      </w:r>
      <w:r w:rsidR="00C35AD9" w:rsidRPr="003E335B">
        <w:rPr>
          <w:rFonts w:asciiTheme="minorHAnsi" w:hAnsiTheme="minorHAnsi" w:cs="Arial"/>
          <w:sz w:val="20"/>
          <w:szCs w:val="20"/>
        </w:rPr>
        <w:t>, the first half of 201</w:t>
      </w:r>
      <w:r w:rsidR="00ED585E">
        <w:rPr>
          <w:rFonts w:asciiTheme="minorHAnsi" w:hAnsiTheme="minorHAnsi" w:cs="Arial"/>
          <w:sz w:val="20"/>
          <w:szCs w:val="20"/>
        </w:rPr>
        <w:t>1</w:t>
      </w:r>
      <w:r w:rsidR="00C35AD9" w:rsidRPr="003E335B">
        <w:rPr>
          <w:rFonts w:asciiTheme="minorHAnsi" w:hAnsiTheme="minorHAnsi" w:cs="Arial"/>
          <w:sz w:val="20"/>
          <w:szCs w:val="20"/>
        </w:rPr>
        <w:t xml:space="preserve"> </w:t>
      </w:r>
      <w:r w:rsidRPr="003E335B">
        <w:rPr>
          <w:rFonts w:asciiTheme="minorHAnsi" w:hAnsiTheme="minorHAnsi" w:cs="Arial"/>
          <w:sz w:val="20"/>
          <w:szCs w:val="20"/>
        </w:rPr>
        <w:t>included $</w:t>
      </w:r>
      <w:r w:rsidR="008D75A1">
        <w:rPr>
          <w:rFonts w:cs="Arial"/>
          <w:sz w:val="20"/>
          <w:szCs w:val="20"/>
        </w:rPr>
        <w:t>151</w:t>
      </w:r>
      <w:r w:rsidRPr="003E335B">
        <w:rPr>
          <w:rFonts w:asciiTheme="minorHAnsi" w:hAnsiTheme="minorHAnsi" w:cs="Arial"/>
          <w:sz w:val="20"/>
          <w:szCs w:val="20"/>
        </w:rPr>
        <w:t xml:space="preserve"> million as dividends paid to shareholders and </w:t>
      </w:r>
      <w:r w:rsidR="008D75A1">
        <w:rPr>
          <w:rFonts w:asciiTheme="minorHAnsi" w:hAnsiTheme="minorHAnsi" w:cs="Arial"/>
          <w:sz w:val="20"/>
          <w:szCs w:val="20"/>
        </w:rPr>
        <w:t>$158 million as proceeds from interest-bearing loans and borrowings.</w:t>
      </w:r>
    </w:p>
    <w:p w:rsidR="008733F0" w:rsidRDefault="008D71C0">
      <w:pPr>
        <w:autoSpaceDE w:val="0"/>
        <w:autoSpaceDN w:val="0"/>
        <w:adjustRightInd w:val="0"/>
        <w:spacing w:after="100" w:line="240" w:lineRule="auto"/>
        <w:jc w:val="both"/>
        <w:rPr>
          <w:rFonts w:asciiTheme="minorHAnsi" w:hAnsiTheme="minorHAnsi" w:cs="Arial"/>
          <w:b/>
          <w:i/>
          <w:sz w:val="20"/>
          <w:szCs w:val="20"/>
        </w:rPr>
      </w:pPr>
      <w:r w:rsidRPr="003E335B">
        <w:rPr>
          <w:rFonts w:asciiTheme="minorHAnsi" w:hAnsiTheme="minorHAnsi" w:cs="Arial"/>
          <w:b/>
          <w:i/>
          <w:sz w:val="20"/>
          <w:szCs w:val="20"/>
        </w:rPr>
        <w:t xml:space="preserve">Financial </w:t>
      </w:r>
      <w:r w:rsidR="008D75A1">
        <w:rPr>
          <w:rFonts w:asciiTheme="minorHAnsi" w:hAnsiTheme="minorHAnsi" w:cs="Arial"/>
          <w:b/>
          <w:i/>
          <w:sz w:val="20"/>
          <w:szCs w:val="20"/>
        </w:rPr>
        <w:t>resources</w:t>
      </w:r>
      <w:r w:rsidR="007D6161">
        <w:rPr>
          <w:rFonts w:asciiTheme="minorHAnsi" w:hAnsiTheme="minorHAnsi" w:cs="Arial"/>
          <w:b/>
          <w:i/>
          <w:sz w:val="20"/>
          <w:szCs w:val="20"/>
        </w:rPr>
        <w:t xml:space="preserve"> and financial debt</w:t>
      </w:r>
    </w:p>
    <w:p w:rsidR="008733F0" w:rsidRDefault="000D3DFA">
      <w:pPr>
        <w:autoSpaceDE w:val="0"/>
        <w:autoSpaceDN w:val="0"/>
        <w:adjustRightInd w:val="0"/>
        <w:spacing w:line="240" w:lineRule="auto"/>
        <w:jc w:val="both"/>
        <w:rPr>
          <w:rFonts w:asciiTheme="minorHAnsi" w:hAnsiTheme="minorHAnsi" w:cs="Arial"/>
          <w:sz w:val="20"/>
          <w:szCs w:val="20"/>
        </w:rPr>
      </w:pPr>
      <w:r w:rsidRPr="003E335B">
        <w:rPr>
          <w:rFonts w:asciiTheme="minorHAnsi" w:hAnsiTheme="minorHAnsi" w:cs="Arial"/>
          <w:sz w:val="20"/>
          <w:szCs w:val="20"/>
        </w:rPr>
        <w:t>As at Ju</w:t>
      </w:r>
      <w:r w:rsidR="008D75A1">
        <w:rPr>
          <w:rFonts w:asciiTheme="minorHAnsi" w:hAnsiTheme="minorHAnsi" w:cs="Arial"/>
          <w:sz w:val="20"/>
          <w:szCs w:val="20"/>
        </w:rPr>
        <w:t>ly</w:t>
      </w:r>
      <w:r w:rsidRPr="003E335B">
        <w:rPr>
          <w:rFonts w:asciiTheme="minorHAnsi" w:hAnsiTheme="minorHAnsi" w:cs="Arial"/>
          <w:sz w:val="20"/>
          <w:szCs w:val="20"/>
        </w:rPr>
        <w:t xml:space="preserve"> 2, 201</w:t>
      </w:r>
      <w:r w:rsidR="008D75A1">
        <w:rPr>
          <w:rFonts w:asciiTheme="minorHAnsi" w:hAnsiTheme="minorHAnsi" w:cs="Arial"/>
          <w:sz w:val="20"/>
          <w:szCs w:val="20"/>
        </w:rPr>
        <w:t>1</w:t>
      </w:r>
      <w:r w:rsidRPr="003E335B">
        <w:rPr>
          <w:rFonts w:asciiTheme="minorHAnsi" w:hAnsiTheme="minorHAnsi" w:cs="Arial"/>
          <w:sz w:val="20"/>
          <w:szCs w:val="20"/>
        </w:rPr>
        <w:t>, our total finan</w:t>
      </w:r>
      <w:r w:rsidR="003A03F3">
        <w:rPr>
          <w:rFonts w:asciiTheme="minorHAnsi" w:hAnsiTheme="minorHAnsi" w:cs="Arial"/>
          <w:sz w:val="20"/>
          <w:szCs w:val="20"/>
        </w:rPr>
        <w:t>cial resources amounted to $2,9</w:t>
      </w:r>
      <w:r w:rsidR="00C500D7">
        <w:rPr>
          <w:rFonts w:asciiTheme="minorHAnsi" w:hAnsiTheme="minorHAnsi" w:cs="Arial"/>
          <w:sz w:val="20"/>
          <w:szCs w:val="20"/>
        </w:rPr>
        <w:t>40</w:t>
      </w:r>
      <w:r w:rsidRPr="003E335B">
        <w:rPr>
          <w:rFonts w:asciiTheme="minorHAnsi" w:hAnsiTheme="minorHAnsi" w:cs="Arial"/>
          <w:sz w:val="20"/>
          <w:szCs w:val="20"/>
        </w:rPr>
        <w:t xml:space="preserve"> million and </w:t>
      </w:r>
      <w:r w:rsidR="00C35AD9" w:rsidRPr="003E335B">
        <w:rPr>
          <w:rFonts w:asciiTheme="minorHAnsi" w:hAnsiTheme="minorHAnsi" w:cs="Arial"/>
          <w:sz w:val="20"/>
          <w:szCs w:val="20"/>
        </w:rPr>
        <w:t xml:space="preserve">were </w:t>
      </w:r>
      <w:r w:rsidRPr="003E335B">
        <w:rPr>
          <w:rFonts w:asciiTheme="minorHAnsi" w:hAnsiTheme="minorHAnsi" w:cs="Arial"/>
          <w:sz w:val="20"/>
          <w:szCs w:val="20"/>
        </w:rPr>
        <w:t>comprised mainly of:</w:t>
      </w:r>
    </w:p>
    <w:p w:rsidR="00923FB4" w:rsidRPr="00923FB4" w:rsidRDefault="000D3DFA" w:rsidP="000A1B34">
      <w:pPr>
        <w:pStyle w:val="ListParagraph"/>
        <w:numPr>
          <w:ilvl w:val="0"/>
          <w:numId w:val="41"/>
        </w:numPr>
        <w:autoSpaceDE w:val="0"/>
        <w:autoSpaceDN w:val="0"/>
        <w:adjustRightInd w:val="0"/>
        <w:spacing w:line="240" w:lineRule="auto"/>
        <w:rPr>
          <w:rFonts w:cs="Arial"/>
        </w:rPr>
      </w:pPr>
      <w:r w:rsidRPr="003E335B">
        <w:rPr>
          <w:rFonts w:cs="Arial"/>
        </w:rPr>
        <w:t xml:space="preserve">Cash and cash equivalents </w:t>
      </w:r>
      <w:r w:rsidR="00141D3A" w:rsidRPr="003E335B">
        <w:rPr>
          <w:rFonts w:cs="Arial"/>
        </w:rPr>
        <w:t>for</w:t>
      </w:r>
      <w:r w:rsidRPr="003E335B">
        <w:rPr>
          <w:rFonts w:cs="Arial"/>
        </w:rPr>
        <w:t xml:space="preserve"> $</w:t>
      </w:r>
      <w:r w:rsidR="003A03F3">
        <w:rPr>
          <w:rFonts w:cs="Arial"/>
        </w:rPr>
        <w:t>2,355</w:t>
      </w:r>
      <w:r w:rsidRPr="003E335B">
        <w:rPr>
          <w:rFonts w:cs="Arial"/>
        </w:rPr>
        <w:t xml:space="preserve"> million</w:t>
      </w:r>
      <w:r w:rsidRPr="008D75A1">
        <w:rPr>
          <w:rFonts w:cs="Arial"/>
        </w:rPr>
        <w:t>.</w:t>
      </w:r>
    </w:p>
    <w:p w:rsidR="000D3DFA" w:rsidRPr="003E335B" w:rsidRDefault="000D3DFA" w:rsidP="000A1B34">
      <w:pPr>
        <w:pStyle w:val="ListParagraph"/>
        <w:numPr>
          <w:ilvl w:val="0"/>
          <w:numId w:val="41"/>
        </w:numPr>
        <w:autoSpaceDE w:val="0"/>
        <w:autoSpaceDN w:val="0"/>
        <w:adjustRightInd w:val="0"/>
        <w:spacing w:line="240" w:lineRule="auto"/>
        <w:rPr>
          <w:rFonts w:cs="Arial"/>
        </w:rPr>
      </w:pPr>
      <w:r w:rsidRPr="003E335B">
        <w:rPr>
          <w:rFonts w:cs="Arial"/>
        </w:rPr>
        <w:t>Restricted cash of $</w:t>
      </w:r>
      <w:r w:rsidR="008D75A1">
        <w:rPr>
          <w:rFonts w:cs="Arial"/>
        </w:rPr>
        <w:t>8</w:t>
      </w:r>
      <w:r w:rsidRPr="003E335B">
        <w:rPr>
          <w:rFonts w:cs="Arial"/>
        </w:rPr>
        <w:t xml:space="preserve"> million</w:t>
      </w:r>
      <w:r w:rsidR="00923FB4">
        <w:rPr>
          <w:rFonts w:cs="Arial"/>
        </w:rPr>
        <w:t xml:space="preserve"> (included in other current financial assets in the consolidated statement of financial position</w:t>
      </w:r>
      <w:r w:rsidR="005E1E77">
        <w:rPr>
          <w:rFonts w:cs="Arial"/>
        </w:rPr>
        <w:t>, as disclosed in Note 10</w:t>
      </w:r>
      <w:r w:rsidR="00923FB4">
        <w:rPr>
          <w:rFonts w:cs="Arial"/>
        </w:rPr>
        <w:t>)</w:t>
      </w:r>
      <w:r w:rsidRPr="003E335B">
        <w:rPr>
          <w:rFonts w:cs="Arial"/>
        </w:rPr>
        <w:t xml:space="preserve"> </w:t>
      </w:r>
      <w:r w:rsidR="00A76588">
        <w:rPr>
          <w:rFonts w:cs="Arial"/>
        </w:rPr>
        <w:t>is cash in an escrow account out of which $5 million are related to the disposal of the Numonyx investment and $3 million are related to the sale of our Phoenix plant.</w:t>
      </w:r>
      <w:r w:rsidRPr="003E335B">
        <w:rPr>
          <w:rFonts w:cs="Arial"/>
        </w:rPr>
        <w:t xml:space="preserve"> </w:t>
      </w:r>
    </w:p>
    <w:p w:rsidR="000D3DFA" w:rsidRPr="003E335B" w:rsidRDefault="000D3DFA" w:rsidP="000A1B34">
      <w:pPr>
        <w:pStyle w:val="ListParagraph"/>
        <w:numPr>
          <w:ilvl w:val="0"/>
          <w:numId w:val="41"/>
        </w:numPr>
        <w:autoSpaceDE w:val="0"/>
        <w:autoSpaceDN w:val="0"/>
        <w:adjustRightInd w:val="0"/>
        <w:spacing w:line="240" w:lineRule="auto"/>
        <w:rPr>
          <w:rFonts w:cs="Arial"/>
        </w:rPr>
      </w:pPr>
      <w:r w:rsidRPr="003E335B">
        <w:rPr>
          <w:rFonts w:cs="Arial"/>
        </w:rPr>
        <w:t>Short-term deposits of $</w:t>
      </w:r>
      <w:r w:rsidR="00A76588">
        <w:rPr>
          <w:rFonts w:cs="Arial"/>
        </w:rPr>
        <w:t>151</w:t>
      </w:r>
      <w:r w:rsidRPr="003E335B">
        <w:rPr>
          <w:rFonts w:cs="Arial"/>
        </w:rPr>
        <w:t xml:space="preserve"> million</w:t>
      </w:r>
      <w:r w:rsidR="00923FB4">
        <w:rPr>
          <w:rFonts w:cs="Arial"/>
        </w:rPr>
        <w:t xml:space="preserve"> (included in other current financial assets in the consolidated statement of financial position</w:t>
      </w:r>
      <w:r w:rsidR="005E1E77" w:rsidRPr="005E1E77">
        <w:rPr>
          <w:rFonts w:cs="Arial"/>
        </w:rPr>
        <w:t xml:space="preserve"> </w:t>
      </w:r>
      <w:r w:rsidR="005E1E77">
        <w:rPr>
          <w:rFonts w:cs="Arial"/>
        </w:rPr>
        <w:t>as disclosed in Note 10</w:t>
      </w:r>
      <w:r w:rsidR="00923FB4">
        <w:rPr>
          <w:rFonts w:cs="Arial"/>
        </w:rPr>
        <w:t>)</w:t>
      </w:r>
      <w:r w:rsidR="00A948C1">
        <w:rPr>
          <w:rFonts w:cs="Arial"/>
        </w:rPr>
        <w:t>, out of which $150 million</w:t>
      </w:r>
      <w:r w:rsidRPr="003E335B">
        <w:rPr>
          <w:rFonts w:cs="Arial"/>
        </w:rPr>
        <w:t xml:space="preserve"> represent a 12-month certificate of deposit, which </w:t>
      </w:r>
      <w:r w:rsidR="00F857DE">
        <w:rPr>
          <w:rFonts w:cs="Arial"/>
        </w:rPr>
        <w:t>is</w:t>
      </w:r>
      <w:r w:rsidRPr="003E335B">
        <w:rPr>
          <w:rFonts w:cs="Arial"/>
        </w:rPr>
        <w:t xml:space="preserve"> readily </w:t>
      </w:r>
      <w:r w:rsidR="00F857DE" w:rsidRPr="003E335B">
        <w:rPr>
          <w:rFonts w:cs="Arial"/>
        </w:rPr>
        <w:t>convert</w:t>
      </w:r>
      <w:r w:rsidR="00F857DE">
        <w:rPr>
          <w:rFonts w:cs="Arial"/>
        </w:rPr>
        <w:t>ible</w:t>
      </w:r>
      <w:r w:rsidR="00F857DE" w:rsidRPr="003E335B">
        <w:rPr>
          <w:rFonts w:cs="Arial"/>
        </w:rPr>
        <w:t xml:space="preserve"> </w:t>
      </w:r>
      <w:r w:rsidRPr="003E335B">
        <w:rPr>
          <w:rFonts w:cs="Arial"/>
        </w:rPr>
        <w:t>in cash.</w:t>
      </w:r>
    </w:p>
    <w:p w:rsidR="00254A1E" w:rsidRDefault="000D3DFA">
      <w:pPr>
        <w:pStyle w:val="ListParagraph"/>
        <w:numPr>
          <w:ilvl w:val="0"/>
          <w:numId w:val="41"/>
        </w:numPr>
        <w:autoSpaceDE w:val="0"/>
        <w:autoSpaceDN w:val="0"/>
        <w:adjustRightInd w:val="0"/>
        <w:spacing w:line="240" w:lineRule="auto"/>
        <w:rPr>
          <w:rFonts w:cs="Arial"/>
        </w:rPr>
      </w:pPr>
      <w:r w:rsidRPr="003E335B">
        <w:rPr>
          <w:rFonts w:cs="Arial"/>
        </w:rPr>
        <w:t>Current available-for-sale quoted debt instruments</w:t>
      </w:r>
      <w:r w:rsidR="003A03F3">
        <w:rPr>
          <w:rFonts w:cs="Arial"/>
        </w:rPr>
        <w:t xml:space="preserve"> of $4</w:t>
      </w:r>
      <w:r w:rsidR="00C500D7">
        <w:rPr>
          <w:rFonts w:cs="Arial"/>
        </w:rPr>
        <w:t>26</w:t>
      </w:r>
      <w:r w:rsidR="003A03F3">
        <w:rPr>
          <w:rFonts w:cs="Arial"/>
        </w:rPr>
        <w:t xml:space="preserve"> million</w:t>
      </w:r>
      <w:r w:rsidR="00923FB4">
        <w:rPr>
          <w:rFonts w:cs="Arial"/>
        </w:rPr>
        <w:t xml:space="preserve"> (included in other current financial assets in the consolidated statement of financial position</w:t>
      </w:r>
      <w:r w:rsidR="005E1E77" w:rsidRPr="005E1E77">
        <w:rPr>
          <w:rFonts w:cs="Arial"/>
        </w:rPr>
        <w:t xml:space="preserve"> </w:t>
      </w:r>
      <w:r w:rsidR="005E1E77">
        <w:rPr>
          <w:rFonts w:cs="Arial"/>
        </w:rPr>
        <w:t>as disclosed in Note 10</w:t>
      </w:r>
      <w:r w:rsidR="00923FB4">
        <w:rPr>
          <w:rFonts w:cs="Arial"/>
        </w:rPr>
        <w:t>)</w:t>
      </w:r>
      <w:r w:rsidR="00141D3A" w:rsidRPr="003E335B">
        <w:rPr>
          <w:rFonts w:cs="Arial"/>
        </w:rPr>
        <w:t>,</w:t>
      </w:r>
      <w:r w:rsidRPr="003E335B">
        <w:rPr>
          <w:rFonts w:cs="Arial"/>
        </w:rPr>
        <w:t xml:space="preserve"> composed of $</w:t>
      </w:r>
      <w:r w:rsidR="007D6161">
        <w:rPr>
          <w:rFonts w:cs="Arial"/>
        </w:rPr>
        <w:t>133</w:t>
      </w:r>
      <w:r w:rsidRPr="003E335B">
        <w:rPr>
          <w:rFonts w:cs="Arial"/>
        </w:rPr>
        <w:t> million invested in Aa</w:t>
      </w:r>
      <w:r w:rsidR="007D6161">
        <w:rPr>
          <w:rFonts w:cs="Arial"/>
        </w:rPr>
        <w:t>2</w:t>
      </w:r>
      <w:r w:rsidRPr="003E335B">
        <w:rPr>
          <w:rFonts w:cs="Arial"/>
        </w:rPr>
        <w:t xml:space="preserve"> </w:t>
      </w:r>
      <w:r w:rsidR="007D6161">
        <w:rPr>
          <w:rFonts w:cs="Arial"/>
        </w:rPr>
        <w:t>Italian Treasury Bills and $293 million invested in senior debt securities (out of which $264 million at a floating rate and $29 million at a fixed rate) issued by primary financial institutions with an average rating of Aa3/A+ from Moody’s and S&amp;P</w:t>
      </w:r>
      <w:r w:rsidRPr="003E335B">
        <w:rPr>
          <w:rFonts w:cs="Arial"/>
        </w:rPr>
        <w:t>. See Note </w:t>
      </w:r>
      <w:r w:rsidR="00C807AA">
        <w:rPr>
          <w:rFonts w:cs="Arial"/>
        </w:rPr>
        <w:t>10</w:t>
      </w:r>
      <w:r w:rsidRPr="003E335B">
        <w:rPr>
          <w:rFonts w:cs="Arial"/>
        </w:rPr>
        <w:t xml:space="preserve"> to our Unaudited </w:t>
      </w:r>
      <w:r w:rsidR="005E1E77">
        <w:rPr>
          <w:rFonts w:cs="Arial"/>
        </w:rPr>
        <w:t>Semi-Annual</w:t>
      </w:r>
      <w:r w:rsidRPr="003E335B">
        <w:rPr>
          <w:rFonts w:cs="Arial"/>
        </w:rPr>
        <w:t xml:space="preserve"> Financial Statements. </w:t>
      </w:r>
    </w:p>
    <w:p w:rsidR="00254A1E" w:rsidRDefault="00254A1E">
      <w:pPr>
        <w:pStyle w:val="ListParagraph"/>
        <w:autoSpaceDE w:val="0"/>
        <w:autoSpaceDN w:val="0"/>
        <w:adjustRightInd w:val="0"/>
        <w:spacing w:line="240" w:lineRule="auto"/>
        <w:rPr>
          <w:rFonts w:cs="Arial"/>
        </w:rPr>
      </w:pPr>
    </w:p>
    <w:p w:rsidR="008733F0" w:rsidRDefault="00143345">
      <w:pPr>
        <w:autoSpaceDE w:val="0"/>
        <w:autoSpaceDN w:val="0"/>
        <w:adjustRightInd w:val="0"/>
        <w:spacing w:after="100" w:line="240" w:lineRule="auto"/>
        <w:jc w:val="both"/>
        <w:rPr>
          <w:rFonts w:asciiTheme="minorHAnsi" w:hAnsiTheme="minorHAnsi" w:cs="Arial"/>
          <w:sz w:val="20"/>
          <w:szCs w:val="20"/>
        </w:rPr>
      </w:pPr>
      <w:r w:rsidRPr="003E335B">
        <w:rPr>
          <w:rFonts w:asciiTheme="minorHAnsi" w:hAnsiTheme="minorHAnsi" w:cs="Arial"/>
          <w:sz w:val="20"/>
          <w:szCs w:val="20"/>
        </w:rPr>
        <w:t>At Ju</w:t>
      </w:r>
      <w:r w:rsidR="003A03F3">
        <w:rPr>
          <w:rFonts w:asciiTheme="minorHAnsi" w:hAnsiTheme="minorHAnsi" w:cs="Arial"/>
          <w:sz w:val="20"/>
          <w:szCs w:val="20"/>
        </w:rPr>
        <w:t>ly 2</w:t>
      </w:r>
      <w:r w:rsidR="00923FB4">
        <w:rPr>
          <w:rFonts w:asciiTheme="minorHAnsi" w:hAnsiTheme="minorHAnsi" w:cs="Arial"/>
          <w:sz w:val="20"/>
          <w:szCs w:val="20"/>
        </w:rPr>
        <w:t>, 2011</w:t>
      </w:r>
      <w:r w:rsidRPr="003E335B">
        <w:rPr>
          <w:rFonts w:asciiTheme="minorHAnsi" w:hAnsiTheme="minorHAnsi" w:cs="Arial"/>
          <w:sz w:val="20"/>
          <w:szCs w:val="20"/>
        </w:rPr>
        <w:t>, the aggregate amoun</w:t>
      </w:r>
      <w:r w:rsidR="00D47A91" w:rsidRPr="003E335B">
        <w:rPr>
          <w:rFonts w:asciiTheme="minorHAnsi" w:hAnsiTheme="minorHAnsi" w:cs="Arial"/>
          <w:sz w:val="20"/>
          <w:szCs w:val="20"/>
        </w:rPr>
        <w:t>t of our interest bearing loans and borrowings</w:t>
      </w:r>
      <w:r w:rsidRPr="003E335B">
        <w:rPr>
          <w:rFonts w:asciiTheme="minorHAnsi" w:hAnsiTheme="minorHAnsi" w:cs="Arial"/>
          <w:sz w:val="20"/>
          <w:szCs w:val="20"/>
        </w:rPr>
        <w:t>, including the current portion, was $</w:t>
      </w:r>
      <w:r w:rsidR="00704628" w:rsidRPr="003E335B">
        <w:rPr>
          <w:rFonts w:asciiTheme="minorHAnsi" w:hAnsiTheme="minorHAnsi" w:cs="Arial"/>
          <w:sz w:val="20"/>
          <w:szCs w:val="20"/>
        </w:rPr>
        <w:t>1,</w:t>
      </w:r>
      <w:r w:rsidR="00D829CE">
        <w:rPr>
          <w:rFonts w:asciiTheme="minorHAnsi" w:hAnsiTheme="minorHAnsi" w:cs="Arial"/>
          <w:sz w:val="20"/>
          <w:szCs w:val="20"/>
        </w:rPr>
        <w:t>848</w:t>
      </w:r>
      <w:r w:rsidR="00D829CE" w:rsidRPr="003E335B">
        <w:rPr>
          <w:rFonts w:asciiTheme="minorHAnsi" w:hAnsiTheme="minorHAnsi" w:cs="Arial"/>
          <w:sz w:val="20"/>
          <w:szCs w:val="20"/>
        </w:rPr>
        <w:t> </w:t>
      </w:r>
      <w:r w:rsidRPr="003E335B">
        <w:rPr>
          <w:rFonts w:asciiTheme="minorHAnsi" w:hAnsiTheme="minorHAnsi" w:cs="Arial"/>
          <w:sz w:val="20"/>
          <w:szCs w:val="20"/>
        </w:rPr>
        <w:t>million, which included</w:t>
      </w:r>
      <w:r w:rsidR="00D47A91" w:rsidRPr="003E335B">
        <w:rPr>
          <w:rFonts w:asciiTheme="minorHAnsi" w:hAnsiTheme="minorHAnsi" w:cs="Arial"/>
          <w:sz w:val="20"/>
          <w:szCs w:val="20"/>
        </w:rPr>
        <w:t>:</w:t>
      </w:r>
    </w:p>
    <w:p w:rsidR="00D47A91" w:rsidRPr="003E335B" w:rsidRDefault="00143345" w:rsidP="000A1B34">
      <w:pPr>
        <w:pStyle w:val="ListParagraph"/>
        <w:numPr>
          <w:ilvl w:val="0"/>
          <w:numId w:val="39"/>
        </w:numPr>
        <w:autoSpaceDE w:val="0"/>
        <w:autoSpaceDN w:val="0"/>
        <w:adjustRightInd w:val="0"/>
        <w:spacing w:after="100" w:line="240" w:lineRule="auto"/>
        <w:rPr>
          <w:rFonts w:cs="Arial"/>
        </w:rPr>
      </w:pPr>
      <w:r w:rsidRPr="003E335B">
        <w:rPr>
          <w:rFonts w:cs="Arial"/>
        </w:rPr>
        <w:t>$</w:t>
      </w:r>
      <w:r w:rsidR="007D6161">
        <w:rPr>
          <w:rFonts w:cs="Arial"/>
        </w:rPr>
        <w:t>41</w:t>
      </w:r>
      <w:r w:rsidR="00E07CC9">
        <w:rPr>
          <w:rFonts w:cs="Arial"/>
        </w:rPr>
        <w:t>5</w:t>
      </w:r>
      <w:r w:rsidRPr="003E335B">
        <w:rPr>
          <w:rFonts w:cs="Arial"/>
        </w:rPr>
        <w:t> million of our 2016 Convertible Bonds</w:t>
      </w:r>
      <w:r w:rsidR="00D47A91" w:rsidRPr="003E335B">
        <w:rPr>
          <w:rFonts w:cs="Arial"/>
        </w:rPr>
        <w:t xml:space="preserve"> for which the holders may exercise a put option in February 201</w:t>
      </w:r>
      <w:r w:rsidR="00923FB4">
        <w:rPr>
          <w:rFonts w:cs="Arial"/>
        </w:rPr>
        <w:t>2</w:t>
      </w:r>
    </w:p>
    <w:p w:rsidR="00D47A91" w:rsidRPr="003E335B" w:rsidRDefault="007D6161" w:rsidP="000A1B34">
      <w:pPr>
        <w:pStyle w:val="ListParagraph"/>
        <w:numPr>
          <w:ilvl w:val="0"/>
          <w:numId w:val="39"/>
        </w:numPr>
        <w:autoSpaceDE w:val="0"/>
        <w:autoSpaceDN w:val="0"/>
        <w:adjustRightInd w:val="0"/>
        <w:spacing w:after="100" w:line="240" w:lineRule="auto"/>
        <w:rPr>
          <w:rFonts w:cs="Arial"/>
        </w:rPr>
      </w:pPr>
      <w:r>
        <w:rPr>
          <w:rFonts w:cs="Arial"/>
        </w:rPr>
        <w:t>$585</w:t>
      </w:r>
      <w:r w:rsidR="00D47A91" w:rsidRPr="003E335B">
        <w:rPr>
          <w:rFonts w:cs="Arial"/>
        </w:rPr>
        <w:t xml:space="preserve"> million of our 2013 Senior Bonds (corresponding to €500 million at issuance), </w:t>
      </w:r>
    </w:p>
    <w:p w:rsidR="00D47A91" w:rsidRDefault="006E3F45" w:rsidP="000A1B34">
      <w:pPr>
        <w:pStyle w:val="ListParagraph"/>
        <w:numPr>
          <w:ilvl w:val="0"/>
          <w:numId w:val="39"/>
        </w:numPr>
        <w:autoSpaceDE w:val="0"/>
        <w:autoSpaceDN w:val="0"/>
        <w:adjustRightInd w:val="0"/>
        <w:spacing w:after="100" w:line="240" w:lineRule="auto"/>
        <w:rPr>
          <w:rFonts w:cs="Arial"/>
        </w:rPr>
      </w:pPr>
      <w:r>
        <w:rPr>
          <w:rFonts w:cs="Arial"/>
        </w:rPr>
        <w:t>$549</w:t>
      </w:r>
      <w:r w:rsidR="00D47A91" w:rsidRPr="003E335B">
        <w:rPr>
          <w:rFonts w:cs="Arial"/>
        </w:rPr>
        <w:t xml:space="preserve"> million in European Investment Bank loans (the “EIB Loans”), </w:t>
      </w:r>
    </w:p>
    <w:p w:rsidR="00254A1E" w:rsidRDefault="006E3F45">
      <w:pPr>
        <w:pStyle w:val="ListParagraph"/>
        <w:numPr>
          <w:ilvl w:val="0"/>
          <w:numId w:val="39"/>
        </w:numPr>
        <w:autoSpaceDE w:val="0"/>
        <w:autoSpaceDN w:val="0"/>
        <w:adjustRightInd w:val="0"/>
        <w:spacing w:after="100" w:line="240" w:lineRule="auto"/>
        <w:rPr>
          <w:rFonts w:cs="Arial"/>
        </w:rPr>
      </w:pPr>
      <w:r>
        <w:rPr>
          <w:rFonts w:cs="Arial"/>
        </w:rPr>
        <w:t>$</w:t>
      </w:r>
      <w:r w:rsidR="00DD3CEA">
        <w:rPr>
          <w:rFonts w:cs="Arial"/>
        </w:rPr>
        <w:t xml:space="preserve">223 </w:t>
      </w:r>
      <w:r>
        <w:rPr>
          <w:rFonts w:cs="Arial"/>
        </w:rPr>
        <w:t>million of short term borrowings related to ST-Ericsson</w:t>
      </w:r>
    </w:p>
    <w:p w:rsidR="00254A1E" w:rsidRDefault="006E3F45">
      <w:pPr>
        <w:pStyle w:val="ListParagraph"/>
        <w:numPr>
          <w:ilvl w:val="0"/>
          <w:numId w:val="39"/>
        </w:numPr>
        <w:autoSpaceDE w:val="0"/>
        <w:autoSpaceDN w:val="0"/>
        <w:adjustRightInd w:val="0"/>
        <w:spacing w:after="100" w:line="240" w:lineRule="auto"/>
        <w:rPr>
          <w:rFonts w:cs="Arial"/>
        </w:rPr>
      </w:pPr>
      <w:r>
        <w:rPr>
          <w:rFonts w:cs="Arial"/>
        </w:rPr>
        <w:t>$13</w:t>
      </w:r>
      <w:r w:rsidR="00D47A91" w:rsidRPr="003E335B">
        <w:rPr>
          <w:rFonts w:cs="Arial"/>
        </w:rPr>
        <w:t> million in loans from other funding programs, and</w:t>
      </w:r>
    </w:p>
    <w:p w:rsidR="00254A1E" w:rsidRDefault="006E3F45">
      <w:pPr>
        <w:pStyle w:val="ListParagraph"/>
        <w:numPr>
          <w:ilvl w:val="0"/>
          <w:numId w:val="39"/>
        </w:numPr>
        <w:autoSpaceDE w:val="0"/>
        <w:autoSpaceDN w:val="0"/>
        <w:adjustRightInd w:val="0"/>
        <w:spacing w:after="100" w:line="240" w:lineRule="auto"/>
        <w:rPr>
          <w:rFonts w:cs="Arial"/>
        </w:rPr>
      </w:pPr>
      <w:r>
        <w:rPr>
          <w:rFonts w:cs="Arial"/>
        </w:rPr>
        <w:t>$</w:t>
      </w:r>
      <w:r w:rsidR="00DD3CEA">
        <w:rPr>
          <w:rFonts w:cs="Arial"/>
        </w:rPr>
        <w:t>63</w:t>
      </w:r>
      <w:r w:rsidR="00DD3CEA" w:rsidRPr="003E335B">
        <w:rPr>
          <w:rFonts w:cs="Arial"/>
        </w:rPr>
        <w:t> </w:t>
      </w:r>
      <w:r w:rsidR="00D47A91" w:rsidRPr="003E335B">
        <w:rPr>
          <w:rFonts w:cs="Arial"/>
        </w:rPr>
        <w:t xml:space="preserve">million of capital leases. </w:t>
      </w:r>
    </w:p>
    <w:p w:rsidR="00A50051" w:rsidRDefault="00A50051">
      <w:pPr>
        <w:spacing w:after="100" w:line="240" w:lineRule="auto"/>
        <w:rPr>
          <w:rFonts w:asciiTheme="minorHAnsi" w:hAnsiTheme="minorHAnsi" w:cs="Arial"/>
          <w:sz w:val="20"/>
          <w:szCs w:val="20"/>
        </w:rPr>
      </w:pPr>
      <w:r>
        <w:rPr>
          <w:rFonts w:asciiTheme="minorHAnsi" w:hAnsiTheme="minorHAnsi" w:cs="Arial"/>
        </w:rPr>
        <w:br w:type="page"/>
      </w:r>
    </w:p>
    <w:p w:rsidR="00254A1E" w:rsidRDefault="006E3F45">
      <w:pPr>
        <w:pStyle w:val="BlockTextJ"/>
        <w:rPr>
          <w:rFonts w:asciiTheme="minorHAnsi" w:eastAsia="Calibri" w:hAnsiTheme="minorHAnsi" w:cs="Arial"/>
          <w:lang w:bidi="ar-SA"/>
        </w:rPr>
      </w:pPr>
      <w:r w:rsidRPr="00300743">
        <w:rPr>
          <w:rFonts w:asciiTheme="minorHAnsi" w:eastAsia="Calibri" w:hAnsiTheme="minorHAnsi" w:cs="Arial"/>
          <w:lang w:bidi="ar-SA"/>
        </w:rPr>
        <w:lastRenderedPageBreak/>
        <w:t xml:space="preserve">The EIB Loans represent two committed credit facilities as part of R&amp;D funding programs.  The first, for R&amp;D in France, was drawn in U.S. dollars, between December 2006 and February 2008, for a total amount of $341 million, of which $117 million had been paid back as at July 2, 2011.  The second for R&amp;D projects in Italy, was drawn in U.S. dollars, between August and October 2008, for a total amount of $380 million, out of which $54 million had been paid back as of July 2, 2011. </w:t>
      </w:r>
    </w:p>
    <w:p w:rsidR="00254A1E" w:rsidRDefault="006E3F45">
      <w:pPr>
        <w:pStyle w:val="BlockTextJ"/>
        <w:rPr>
          <w:rFonts w:asciiTheme="minorHAnsi" w:eastAsia="Calibri" w:hAnsiTheme="minorHAnsi" w:cs="Arial"/>
          <w:lang w:bidi="ar-SA"/>
        </w:rPr>
      </w:pPr>
      <w:r w:rsidRPr="00300743">
        <w:rPr>
          <w:rFonts w:asciiTheme="minorHAnsi" w:eastAsia="Calibri" w:hAnsiTheme="minorHAnsi" w:cs="Arial"/>
          <w:lang w:bidi="ar-SA"/>
        </w:rPr>
        <w:t>Additionally, we had unutilized committed medium term credit facilities with core relationship banks of about $500 million.  At July 2, 2011, the amounts available under the short-term lines of credit were not reduced by any borrowing.  On September 27, 2010, we signed with the European Investment Bank a new €350 million loan to support our industrial and R&amp;D programs, which is currently undrawn.</w:t>
      </w:r>
    </w:p>
    <w:p w:rsidR="008733F0" w:rsidRDefault="00055A05">
      <w:pPr>
        <w:autoSpaceDE w:val="0"/>
        <w:autoSpaceDN w:val="0"/>
        <w:adjustRightInd w:val="0"/>
        <w:spacing w:after="100" w:line="240" w:lineRule="auto"/>
        <w:jc w:val="both"/>
        <w:rPr>
          <w:rFonts w:cs="Arial"/>
        </w:rPr>
      </w:pPr>
      <w:r w:rsidRPr="00055A05">
        <w:rPr>
          <w:rFonts w:asciiTheme="minorHAnsi" w:hAnsiTheme="minorHAnsi" w:cs="Arial"/>
          <w:sz w:val="20"/>
          <w:szCs w:val="20"/>
        </w:rPr>
        <w:t>In 2010 we granted, together with Ericsson, a $200 million committed facility to ST-Ericsson, extended to $500 million in April 2011, of which $445 million ($222.5 million for each parent) was utilized as of July 2, 2011.  We and Ericsson intend to extend the committed facility to fund ST-Ericsson. Our Supervisory Board has approved an extension up to an overall amount of $800 million, out of which $400 million will be funded by us.  Withdrawals on the facility are subject to approval by the parent companies at ST-Ericsson’s Board of Directors.</w:t>
      </w:r>
    </w:p>
    <w:p w:rsidR="001372D6" w:rsidRDefault="001372D6">
      <w:pPr>
        <w:spacing w:after="100" w:line="240" w:lineRule="auto"/>
        <w:rPr>
          <w:rFonts w:asciiTheme="minorHAnsi" w:eastAsia="Times New Roman" w:hAnsiTheme="minorHAnsi" w:cs="Arial"/>
          <w:b/>
          <w:smallCaps/>
          <w:color w:val="009CDD"/>
          <w:spacing w:val="5"/>
          <w:sz w:val="20"/>
          <w:szCs w:val="20"/>
          <w:lang w:bidi="en-US"/>
        </w:rPr>
      </w:pPr>
    </w:p>
    <w:p w:rsidR="00847BCE" w:rsidRPr="003E335B" w:rsidRDefault="00847BCE" w:rsidP="000D70EC">
      <w:pPr>
        <w:pStyle w:val="Title2"/>
        <w:spacing w:before="0" w:after="100" w:line="240" w:lineRule="auto"/>
        <w:rPr>
          <w:rFonts w:asciiTheme="minorHAnsi" w:hAnsiTheme="minorHAnsi"/>
          <w:sz w:val="20"/>
          <w:szCs w:val="20"/>
        </w:rPr>
      </w:pPr>
      <w:bookmarkStart w:id="13" w:name="_Toc300834219"/>
      <w:r w:rsidRPr="003E335B">
        <w:rPr>
          <w:rFonts w:asciiTheme="minorHAnsi" w:hAnsiTheme="minorHAnsi"/>
          <w:sz w:val="20"/>
          <w:szCs w:val="20"/>
        </w:rPr>
        <w:t xml:space="preserve">Business </w:t>
      </w:r>
      <w:r w:rsidR="003A03F3">
        <w:rPr>
          <w:rFonts w:asciiTheme="minorHAnsi" w:hAnsiTheme="minorHAnsi"/>
          <w:sz w:val="20"/>
          <w:szCs w:val="20"/>
        </w:rPr>
        <w:t xml:space="preserve">and financial </w:t>
      </w:r>
      <w:r w:rsidRPr="003E335B">
        <w:rPr>
          <w:rFonts w:asciiTheme="minorHAnsi" w:hAnsiTheme="minorHAnsi"/>
          <w:sz w:val="20"/>
          <w:szCs w:val="20"/>
        </w:rPr>
        <w:t>outlook</w:t>
      </w:r>
      <w:bookmarkEnd w:id="13"/>
    </w:p>
    <w:p w:rsidR="008733F0" w:rsidRDefault="003A03F3">
      <w:pPr>
        <w:pStyle w:val="BlockTextJ"/>
        <w:spacing w:after="100"/>
        <w:rPr>
          <w:rFonts w:asciiTheme="minorHAnsi" w:eastAsia="Calibri" w:hAnsiTheme="minorHAnsi" w:cs="Arial"/>
          <w:lang w:bidi="ar-SA"/>
        </w:rPr>
      </w:pPr>
      <w:r w:rsidRPr="003A03F3">
        <w:rPr>
          <w:rFonts w:asciiTheme="minorHAnsi" w:eastAsia="Calibri" w:hAnsiTheme="minorHAnsi" w:cs="Arial"/>
          <w:lang w:bidi="ar-SA"/>
        </w:rPr>
        <w:t xml:space="preserve">Entering the </w:t>
      </w:r>
      <w:r>
        <w:rPr>
          <w:rFonts w:asciiTheme="minorHAnsi" w:eastAsia="Calibri" w:hAnsiTheme="minorHAnsi" w:cs="Arial"/>
          <w:lang w:bidi="ar-SA"/>
        </w:rPr>
        <w:t>second half of 2011</w:t>
      </w:r>
      <w:r w:rsidRPr="003A03F3">
        <w:rPr>
          <w:rFonts w:asciiTheme="minorHAnsi" w:eastAsia="Calibri" w:hAnsiTheme="minorHAnsi" w:cs="Arial"/>
          <w:lang w:bidi="ar-SA"/>
        </w:rPr>
        <w:t>, we have moved quickly to lower production levels at certain fabs primarily due to the significant reduction in the demand outlook from a major customer compared to previous expectations.</w:t>
      </w:r>
    </w:p>
    <w:p w:rsidR="008733F0" w:rsidRDefault="003A03F3">
      <w:pPr>
        <w:pStyle w:val="BlockTextJ"/>
        <w:spacing w:after="100"/>
        <w:rPr>
          <w:rFonts w:asciiTheme="minorHAnsi" w:eastAsia="Calibri" w:hAnsiTheme="minorHAnsi" w:cs="Arial"/>
          <w:lang w:bidi="ar-SA"/>
        </w:rPr>
      </w:pPr>
      <w:r w:rsidRPr="003A03F3">
        <w:rPr>
          <w:rFonts w:asciiTheme="minorHAnsi" w:eastAsia="Calibri" w:hAnsiTheme="minorHAnsi" w:cs="Arial"/>
          <w:lang w:bidi="ar-SA"/>
        </w:rPr>
        <w:t xml:space="preserve">Overall, we are anticipating net revenues in the third quarter to evolve sequentially in the range of -5% to +2%. </w:t>
      </w:r>
    </w:p>
    <w:p w:rsidR="008733F0" w:rsidRDefault="003A03F3">
      <w:pPr>
        <w:pStyle w:val="BlockTextJ"/>
        <w:spacing w:after="100"/>
        <w:rPr>
          <w:rFonts w:asciiTheme="minorHAnsi" w:eastAsia="Calibri" w:hAnsiTheme="minorHAnsi" w:cs="Arial"/>
          <w:lang w:bidi="ar-SA"/>
        </w:rPr>
      </w:pPr>
      <w:r w:rsidRPr="003A03F3">
        <w:rPr>
          <w:rFonts w:asciiTheme="minorHAnsi" w:eastAsia="Calibri" w:hAnsiTheme="minorHAnsi" w:cs="Arial"/>
          <w:lang w:bidi="ar-SA"/>
        </w:rPr>
        <w:t>Our financial</w:t>
      </w:r>
      <w:r>
        <w:rPr>
          <w:rFonts w:asciiTheme="minorHAnsi" w:eastAsia="Calibri" w:hAnsiTheme="minorHAnsi" w:cs="Arial"/>
          <w:lang w:bidi="ar-SA"/>
        </w:rPr>
        <w:t xml:space="preserve"> resources </w:t>
      </w:r>
      <w:r w:rsidR="00ED585E">
        <w:rPr>
          <w:rFonts w:asciiTheme="minorHAnsi" w:eastAsia="Calibri" w:hAnsiTheme="minorHAnsi" w:cs="Arial"/>
          <w:lang w:bidi="ar-SA"/>
        </w:rPr>
        <w:t>net</w:t>
      </w:r>
      <w:r>
        <w:rPr>
          <w:rFonts w:asciiTheme="minorHAnsi" w:eastAsia="Calibri" w:hAnsiTheme="minorHAnsi" w:cs="Arial"/>
          <w:lang w:bidi="ar-SA"/>
        </w:rPr>
        <w:t xml:space="preserve"> of financial debt of</w:t>
      </w:r>
      <w:r w:rsidRPr="003A03F3">
        <w:rPr>
          <w:rFonts w:asciiTheme="minorHAnsi" w:eastAsia="Calibri" w:hAnsiTheme="minorHAnsi" w:cs="Arial"/>
          <w:lang w:bidi="ar-SA"/>
        </w:rPr>
        <w:t xml:space="preserve"> approximately $1.1 billion </w:t>
      </w:r>
      <w:r>
        <w:rPr>
          <w:rFonts w:asciiTheme="minorHAnsi" w:eastAsia="Calibri" w:hAnsiTheme="minorHAnsi" w:cs="Arial"/>
          <w:lang w:bidi="ar-SA"/>
        </w:rPr>
        <w:t xml:space="preserve">as </w:t>
      </w:r>
      <w:r w:rsidRPr="003A03F3">
        <w:rPr>
          <w:rFonts w:asciiTheme="minorHAnsi" w:eastAsia="Calibri" w:hAnsiTheme="minorHAnsi" w:cs="Arial"/>
          <w:lang w:bidi="ar-SA"/>
        </w:rPr>
        <w:t xml:space="preserve">at </w:t>
      </w:r>
      <w:r>
        <w:rPr>
          <w:rFonts w:asciiTheme="minorHAnsi" w:eastAsia="Calibri" w:hAnsiTheme="minorHAnsi" w:cs="Arial"/>
          <w:lang w:bidi="ar-SA"/>
        </w:rPr>
        <w:t>July 2, 2011</w:t>
      </w:r>
      <w:r w:rsidR="001372D6">
        <w:rPr>
          <w:rFonts w:asciiTheme="minorHAnsi" w:eastAsia="Calibri" w:hAnsiTheme="minorHAnsi" w:cs="Arial"/>
          <w:lang w:bidi="ar-SA"/>
        </w:rPr>
        <w:t>, continue</w:t>
      </w:r>
      <w:r w:rsidR="00ED585E">
        <w:rPr>
          <w:rFonts w:asciiTheme="minorHAnsi" w:eastAsia="Calibri" w:hAnsiTheme="minorHAnsi" w:cs="Arial"/>
          <w:lang w:bidi="ar-SA"/>
        </w:rPr>
        <w:t xml:space="preserve"> to be solid</w:t>
      </w:r>
      <w:r w:rsidRPr="003A03F3">
        <w:rPr>
          <w:rFonts w:asciiTheme="minorHAnsi" w:eastAsia="Calibri" w:hAnsiTheme="minorHAnsi" w:cs="Arial"/>
          <w:lang w:bidi="ar-SA"/>
        </w:rPr>
        <w:t>. In addition, we expect our capital expenditures in the second half to decline significantly as we have largely completed the selected capacity additions for the year. We continue to strengthen our product portfolio and remain committed to support, as well as diversify, our customer base in order to improve our performance.</w:t>
      </w:r>
    </w:p>
    <w:p w:rsidR="008733F0" w:rsidRDefault="00055A05">
      <w:pPr>
        <w:pStyle w:val="BlockTextJ"/>
        <w:spacing w:after="100"/>
        <w:rPr>
          <w:rFonts w:asciiTheme="minorHAnsi" w:eastAsia="Calibri" w:hAnsiTheme="minorHAnsi" w:cs="Arial"/>
          <w:lang w:bidi="ar-SA"/>
        </w:rPr>
      </w:pPr>
      <w:r w:rsidRPr="00055A05">
        <w:rPr>
          <w:rFonts w:asciiTheme="minorHAnsi" w:eastAsia="Calibri" w:hAnsiTheme="minorHAnsi" w:cs="Arial"/>
          <w:lang w:bidi="ar-SA"/>
        </w:rPr>
        <w:t>The increase in demand that we ha</w:t>
      </w:r>
      <w:r w:rsidR="00ED585E">
        <w:rPr>
          <w:rFonts w:asciiTheme="minorHAnsi" w:eastAsia="Calibri" w:hAnsiTheme="minorHAnsi" w:cs="Arial"/>
          <w:lang w:bidi="ar-SA"/>
        </w:rPr>
        <w:t>d</w:t>
      </w:r>
      <w:r w:rsidRPr="00055A05">
        <w:rPr>
          <w:rFonts w:asciiTheme="minorHAnsi" w:eastAsia="Calibri" w:hAnsiTheme="minorHAnsi" w:cs="Arial"/>
          <w:lang w:bidi="ar-SA"/>
        </w:rPr>
        <w:t xml:space="preserve"> been facing require</w:t>
      </w:r>
      <w:r w:rsidR="00ED585E">
        <w:rPr>
          <w:rFonts w:asciiTheme="minorHAnsi" w:eastAsia="Calibri" w:hAnsiTheme="minorHAnsi" w:cs="Arial"/>
          <w:lang w:bidi="ar-SA"/>
        </w:rPr>
        <w:t>d</w:t>
      </w:r>
      <w:r w:rsidRPr="00055A05">
        <w:rPr>
          <w:rFonts w:asciiTheme="minorHAnsi" w:eastAsia="Calibri" w:hAnsiTheme="minorHAnsi" w:cs="Arial"/>
          <w:lang w:bidi="ar-SA"/>
        </w:rPr>
        <w:t xml:space="preserve"> the acceleration of our capex spending in order to adapt our supply capability to this increasing level of demand</w:t>
      </w:r>
      <w:r w:rsidR="00C257D0">
        <w:rPr>
          <w:rFonts w:asciiTheme="minorHAnsi" w:eastAsia="Calibri" w:hAnsiTheme="minorHAnsi" w:cs="Arial"/>
          <w:lang w:bidi="ar-SA"/>
        </w:rPr>
        <w:t>, particularly for MEMS and Automotive applications as well as to support the ramp-up of ST-Ericsson’s new products</w:t>
      </w:r>
      <w:r w:rsidRPr="00055A05">
        <w:rPr>
          <w:rFonts w:asciiTheme="minorHAnsi" w:eastAsia="Calibri" w:hAnsiTheme="minorHAnsi" w:cs="Arial"/>
          <w:lang w:bidi="ar-SA"/>
        </w:rPr>
        <w:t xml:space="preserve">.  In order to support our innovative product portfolio and </w:t>
      </w:r>
      <w:r w:rsidR="00ED585E">
        <w:rPr>
          <w:rFonts w:asciiTheme="minorHAnsi" w:eastAsia="Calibri" w:hAnsiTheme="minorHAnsi" w:cs="Arial"/>
          <w:lang w:bidi="ar-SA"/>
        </w:rPr>
        <w:t>based on expected</w:t>
      </w:r>
      <w:r w:rsidRPr="00055A05">
        <w:rPr>
          <w:rFonts w:asciiTheme="minorHAnsi" w:eastAsia="Calibri" w:hAnsiTheme="minorHAnsi" w:cs="Arial"/>
          <w:lang w:bidi="ar-SA"/>
        </w:rPr>
        <w:t xml:space="preserve"> revenue growth, we expect to invest approximately $1.1 billion to $1.5 billion in 2011, of which the largest part ($798 million) was purchased in the first half of 2011.  The most significant of our 2011 capital expenditure projects were and are expected to be:  (a) for the front-end facilities:  (i) capacity increase on proprietary technologies in our 200-mm fabs in Italy (MEMS, Advanced BCDs and PMOS) to support ramping demand; (ii) in our 300-mm fab in Crolles, mix evolution to support the production ramp-up of the most advanced technologies (45nm) within the 3,200 wafers per week, and activities to prepare the next step to 4,500 wafers per week, planned within the framework of our Crolles Nano 2012 program, together with the completion of the 32nm/28nm R&amp;D capability investment; (iii) the upgrade and partial conversion to 150-mm of our 125-mm fab in Ang-Mo-Kio (Singapore) and the preparation for the conversion to 200-mm of our 150-mm fab already existing in the same plant; (iv) selective programs of mix evolution in our 200-mm fabs, mainly in the fabs of Crolles and Rousset; and (v) quality, safety, security and maintenance in both 150-mm and 200-mm front end fabs; (b) for the back-end facilities, capital expenditures will mainly be dedicated to:  (i) capacity growth on strategic package families, mainly in the areas of MEMS and Automotive, to sustain market demand; (ii) further consolidation of our presence in China (Longgang and Shenzhen), in Muar (Malaysia) and in Calamba (Philippines); (iii) modernization of package lines (copper bonding vs. gold bonding); and (iv) specific investments in the </w:t>
      </w:r>
      <w:r w:rsidRPr="00055A05">
        <w:rPr>
          <w:rFonts w:asciiTheme="minorHAnsi" w:eastAsia="Calibri" w:hAnsiTheme="minorHAnsi" w:cs="Arial"/>
          <w:lang w:bidi="ar-SA"/>
        </w:rPr>
        <w:lastRenderedPageBreak/>
        <w:t>areas of quality, environment and energy saving; and (c) an overall capacity increase in final testing and wafers probing (EWS) for all product lines.</w:t>
      </w:r>
    </w:p>
    <w:p w:rsidR="008733F0" w:rsidRDefault="00055A05">
      <w:pPr>
        <w:autoSpaceDE w:val="0"/>
        <w:autoSpaceDN w:val="0"/>
        <w:adjustRightInd w:val="0"/>
        <w:spacing w:line="240" w:lineRule="auto"/>
        <w:jc w:val="both"/>
        <w:rPr>
          <w:rFonts w:asciiTheme="minorHAnsi" w:hAnsiTheme="minorHAnsi" w:cs="Arial"/>
          <w:sz w:val="20"/>
          <w:szCs w:val="20"/>
        </w:rPr>
      </w:pPr>
      <w:r w:rsidRPr="00055A05">
        <w:rPr>
          <w:rFonts w:asciiTheme="minorHAnsi" w:hAnsiTheme="minorHAnsi" w:cs="Arial"/>
          <w:sz w:val="20"/>
          <w:szCs w:val="20"/>
        </w:rPr>
        <w:t>We will continue to monitor our level of capital spending by taking into consideration factors such as trends in the semiconductor industry, capacity utilization and announced additions.  We expect to have significant capital requirements in the coming years and in addition we intend to continue to devote a substantial portion of our net revenues to R&amp;D and to continue to support ST-Ericsson towards its expected recovery.  We plan to fund our capital requirements from cash provided by operating activities, available funds and available support from third parties, and may have recourse to borrowings under available credit lines and, to the extent necessary or attractive based on market conditions prevailing at the time, the issuing of debt, convertible bonds or additional equity securities.  A substantial deterioration of our economic results and consequently of our profitability could generate a deterioration of the cash generated by our operating activities.  Therefore, there can be no assurance that, in future periods, we will generate the same level of cash as in the previous years to fund our capital expenditures plans for expending/upgrading our production facilities, our working capital requirements, our R&amp;D and industrialization costs.</w:t>
      </w:r>
    </w:p>
    <w:p w:rsidR="00055A05" w:rsidRPr="00055A05" w:rsidRDefault="00055A05" w:rsidP="000A1B34">
      <w:pPr>
        <w:pStyle w:val="BlockTextJ"/>
        <w:rPr>
          <w:rFonts w:asciiTheme="minorHAnsi" w:eastAsia="Calibri" w:hAnsiTheme="minorHAnsi" w:cs="Arial"/>
          <w:lang w:bidi="ar-SA"/>
        </w:rPr>
      </w:pPr>
      <w:r w:rsidRPr="00055A05">
        <w:rPr>
          <w:rFonts w:asciiTheme="minorHAnsi" w:eastAsia="Calibri" w:hAnsiTheme="minorHAnsi" w:cs="Arial"/>
          <w:lang w:bidi="ar-SA"/>
        </w:rPr>
        <w:t>On February 23, 2011, holders were able to call for the redemption of our outstanding 2016 Convertible Bonds, which occurred for 41,123 bonds, for an amount of $44 million.  The residual amount outstanding after the exercise was 449,047 bonds, which can be exercised on February 23, 2012 for an amount of $491 million.  Furthermore, there could be possible financial needs for temporary bridge short-term financing by the parent companies of the ST</w:t>
      </w:r>
      <w:r w:rsidRPr="00055A05">
        <w:rPr>
          <w:rFonts w:asciiTheme="minorHAnsi" w:eastAsia="Calibri" w:hAnsiTheme="minorHAnsi" w:cs="Arial"/>
          <w:lang w:bidi="ar-SA"/>
        </w:rPr>
        <w:noBreakHyphen/>
        <w:t>Ericsson joint venture.</w:t>
      </w:r>
    </w:p>
    <w:p w:rsidR="008733F0" w:rsidRDefault="00055A05">
      <w:pPr>
        <w:autoSpaceDE w:val="0"/>
        <w:autoSpaceDN w:val="0"/>
        <w:adjustRightInd w:val="0"/>
        <w:spacing w:line="240" w:lineRule="auto"/>
        <w:jc w:val="both"/>
        <w:rPr>
          <w:rFonts w:asciiTheme="minorHAnsi" w:hAnsiTheme="minorHAnsi" w:cs="Arial"/>
          <w:sz w:val="20"/>
          <w:szCs w:val="20"/>
        </w:rPr>
      </w:pPr>
      <w:r w:rsidRPr="00055A05">
        <w:rPr>
          <w:rFonts w:asciiTheme="minorHAnsi" w:hAnsiTheme="minorHAnsi" w:cs="Arial"/>
          <w:sz w:val="20"/>
          <w:szCs w:val="20"/>
        </w:rPr>
        <w:t>We believe that we have the financial resources needed to meet our business requirements for the next 12 months, including capital expenditures for our manufacturing activities, working capital requirements, dividend payments and the repayment of our debts in line with their maturity dates.  We may use some of our available cash to repurchase a portion of our outstanding debt securities, including possibly our 2016 Convertible Bonds and 2013 Senior Bonds, should market conditions permit.</w:t>
      </w:r>
    </w:p>
    <w:p w:rsidR="008733F0" w:rsidRDefault="003A03F3">
      <w:pPr>
        <w:spacing w:after="100" w:line="240" w:lineRule="auto"/>
        <w:jc w:val="both"/>
        <w:rPr>
          <w:rFonts w:asciiTheme="minorHAnsi" w:hAnsiTheme="minorHAnsi" w:cs="Arial"/>
          <w:i/>
          <w:sz w:val="20"/>
          <w:szCs w:val="20"/>
        </w:rPr>
      </w:pPr>
      <w:r w:rsidRPr="003A03F3">
        <w:rPr>
          <w:rFonts w:asciiTheme="minorHAnsi" w:hAnsiTheme="minorHAnsi" w:cs="Arial"/>
          <w:i/>
          <w:sz w:val="20"/>
          <w:szCs w:val="20"/>
        </w:rPr>
        <w:t>This Outlook is based on an assumed effective currency exchange rate of approximately $1.41 = €1.00 for the 2011 third quarter and includes the impact of existing hedging contracts.  The third quarter will close on October 1, 2011</w:t>
      </w:r>
      <w:r>
        <w:rPr>
          <w:rFonts w:asciiTheme="minorHAnsi" w:hAnsiTheme="minorHAnsi" w:cs="Arial"/>
          <w:i/>
          <w:sz w:val="20"/>
          <w:szCs w:val="20"/>
        </w:rPr>
        <w:t>.</w:t>
      </w:r>
    </w:p>
    <w:p w:rsidR="008733F0" w:rsidRDefault="00847BCE">
      <w:pPr>
        <w:spacing w:after="100" w:line="240" w:lineRule="auto"/>
        <w:jc w:val="both"/>
        <w:rPr>
          <w:rFonts w:asciiTheme="minorHAnsi" w:hAnsiTheme="minorHAnsi" w:cs="Arial"/>
          <w:i/>
          <w:sz w:val="20"/>
          <w:szCs w:val="20"/>
        </w:rPr>
      </w:pPr>
      <w:r w:rsidRPr="003E335B">
        <w:rPr>
          <w:rFonts w:asciiTheme="minorHAnsi" w:hAnsiTheme="minorHAnsi" w:cs="Arial"/>
          <w:i/>
          <w:sz w:val="20"/>
          <w:szCs w:val="20"/>
        </w:rPr>
        <w:t>These are forward-looking statements that are subject to known and unknown risks and uncertainties that could cause actual results to differ materially; in particular, refer to those known risks and uncertainties described in “</w:t>
      </w:r>
      <w:r w:rsidR="00AA37D4" w:rsidRPr="003E335B">
        <w:rPr>
          <w:rFonts w:asciiTheme="minorHAnsi" w:hAnsiTheme="minorHAnsi" w:cs="Arial"/>
          <w:i/>
          <w:sz w:val="20"/>
          <w:szCs w:val="20"/>
        </w:rPr>
        <w:t>Business risk information</w:t>
      </w:r>
      <w:r w:rsidRPr="003E335B">
        <w:rPr>
          <w:rFonts w:asciiTheme="minorHAnsi" w:hAnsiTheme="minorHAnsi" w:cs="Arial"/>
          <w:i/>
          <w:sz w:val="20"/>
          <w:szCs w:val="20"/>
        </w:rPr>
        <w:t xml:space="preserve">” herein and </w:t>
      </w:r>
      <w:r w:rsidR="00AA37D4" w:rsidRPr="003E335B">
        <w:rPr>
          <w:rFonts w:asciiTheme="minorHAnsi" w:hAnsiTheme="minorHAnsi" w:cs="Arial"/>
          <w:i/>
          <w:sz w:val="20"/>
          <w:szCs w:val="20"/>
        </w:rPr>
        <w:t>the Risk Management and Internal Control section of the Report of the Managing Board included in our 20</w:t>
      </w:r>
      <w:r w:rsidR="00923FB4">
        <w:rPr>
          <w:rFonts w:asciiTheme="minorHAnsi" w:hAnsiTheme="minorHAnsi" w:cs="Arial"/>
          <w:i/>
          <w:sz w:val="20"/>
          <w:szCs w:val="20"/>
        </w:rPr>
        <w:t>10</w:t>
      </w:r>
      <w:r w:rsidR="00AA37D4" w:rsidRPr="003E335B">
        <w:rPr>
          <w:rFonts w:asciiTheme="minorHAnsi" w:hAnsiTheme="minorHAnsi" w:cs="Arial"/>
          <w:i/>
          <w:sz w:val="20"/>
          <w:szCs w:val="20"/>
        </w:rPr>
        <w:t xml:space="preserve"> Annual Report</w:t>
      </w:r>
      <w:r w:rsidRPr="003E335B">
        <w:rPr>
          <w:rFonts w:asciiTheme="minorHAnsi" w:hAnsiTheme="minorHAnsi" w:cs="Arial"/>
          <w:i/>
          <w:sz w:val="20"/>
          <w:szCs w:val="20"/>
        </w:rPr>
        <w:t>.</w:t>
      </w:r>
    </w:p>
    <w:p w:rsidR="00847BCE" w:rsidRPr="003E335B" w:rsidRDefault="00847BCE" w:rsidP="000D70EC">
      <w:pPr>
        <w:pStyle w:val="Title2"/>
        <w:spacing w:before="0" w:after="100" w:line="240" w:lineRule="auto"/>
        <w:rPr>
          <w:rFonts w:asciiTheme="minorHAnsi" w:hAnsiTheme="minorHAnsi"/>
          <w:sz w:val="20"/>
          <w:szCs w:val="20"/>
        </w:rPr>
      </w:pPr>
      <w:bookmarkStart w:id="14" w:name="_Toc300834220"/>
      <w:r w:rsidRPr="003E335B">
        <w:rPr>
          <w:rFonts w:asciiTheme="minorHAnsi" w:hAnsiTheme="minorHAnsi"/>
          <w:sz w:val="20"/>
          <w:szCs w:val="20"/>
        </w:rPr>
        <w:t>Other developments</w:t>
      </w:r>
      <w:bookmarkEnd w:id="14"/>
    </w:p>
    <w:p w:rsidR="008733F0" w:rsidRDefault="00056FB5">
      <w:pPr>
        <w:spacing w:line="240" w:lineRule="auto"/>
        <w:jc w:val="both"/>
        <w:rPr>
          <w:rFonts w:asciiTheme="minorHAnsi" w:hAnsiTheme="minorHAnsi" w:cs="Arial"/>
          <w:sz w:val="20"/>
          <w:szCs w:val="20"/>
        </w:rPr>
      </w:pPr>
      <w:r w:rsidRPr="003E335B">
        <w:rPr>
          <w:rFonts w:asciiTheme="minorHAnsi" w:hAnsiTheme="minorHAnsi" w:cs="Arial"/>
          <w:sz w:val="20"/>
          <w:szCs w:val="20"/>
        </w:rPr>
        <w:t>On March 15, 2011 we announced new appointments to our executive mana</w:t>
      </w:r>
      <w:r w:rsidR="00923FB4">
        <w:rPr>
          <w:rFonts w:asciiTheme="minorHAnsi" w:hAnsiTheme="minorHAnsi" w:cs="Arial"/>
          <w:sz w:val="20"/>
          <w:szCs w:val="20"/>
        </w:rPr>
        <w:t xml:space="preserve">gement team. Fabio Gualandris </w:t>
      </w:r>
      <w:r w:rsidRPr="003E335B">
        <w:rPr>
          <w:rFonts w:asciiTheme="minorHAnsi" w:hAnsiTheme="minorHAnsi" w:cs="Arial"/>
          <w:sz w:val="20"/>
          <w:szCs w:val="20"/>
        </w:rPr>
        <w:t>joined us as Corporate Vice President, Director Product Quality Excellence, reporting directly to our Chief Executive Officer Carlo Bozotti. Gualandris took the position previously held by Georges Auguste, who has been appointed Executive Vice President, Packaging &amp; Test Manufacturing (PTM), reporting to Didier Lamouche, our Chief Operating Officer. Claudia Levo joined us to take up the position of Corporate Vice President, Communication, reporting to Carlo Ferro, our Chief Financial Officer. In addition to the new appointments, we also announced a dedicated organization to investigate new areas of potential strategic interest for our Company, including possible investments in start-up companies that develop emerging technologies, products and services related to our business goals. Loic Lietar, Executive Vice President, New Ventures, will manage this new activity. Philippe Lambinet has taken responsibility for the strategic functions formerly managed by Loic Lietar, including Strategic Planning and Corporate Business Development. Philippe Lambinet will manage these activities in addition to his current role as Senior Executive Vice President and General Manager Home Entertainment &amp; Displays Group, a position he has held since 2007.</w:t>
      </w:r>
    </w:p>
    <w:p w:rsidR="008733F0" w:rsidRDefault="00923FB4">
      <w:pPr>
        <w:spacing w:line="240" w:lineRule="auto"/>
        <w:jc w:val="both"/>
        <w:rPr>
          <w:rFonts w:asciiTheme="minorHAnsi" w:hAnsiTheme="minorHAnsi" w:cs="Arial"/>
          <w:sz w:val="20"/>
          <w:szCs w:val="20"/>
        </w:rPr>
      </w:pPr>
      <w:r>
        <w:rPr>
          <w:rFonts w:asciiTheme="minorHAnsi" w:hAnsiTheme="minorHAnsi" w:cs="Arial"/>
          <w:sz w:val="20"/>
          <w:szCs w:val="20"/>
        </w:rPr>
        <w:lastRenderedPageBreak/>
        <w:t xml:space="preserve">On March 30, 2011, </w:t>
      </w:r>
      <w:r w:rsidR="00056FB5" w:rsidRPr="003E335B">
        <w:rPr>
          <w:rFonts w:asciiTheme="minorHAnsi" w:hAnsiTheme="minorHAnsi" w:cs="Arial"/>
          <w:sz w:val="20"/>
          <w:szCs w:val="20"/>
        </w:rPr>
        <w:t>Fond Stratégique d’Investissement (FSI) announced that it had completed the acquisition of Areva’s indirect interest in our Company, with an indirect stake of 10.9% in our Company. FSI thus substitutes and succeeds Areva as a party to the shareholders’ agreement relating to ST Holding NV. In addition, FSI and the Italian Ministry of Economy and Finance have agreed in principle to extend the balance period provided for in the shareholders’ agreement, from March 17, 2011 to December 31, 2011.</w:t>
      </w:r>
    </w:p>
    <w:p w:rsidR="008733F0" w:rsidRDefault="00056FB5">
      <w:pPr>
        <w:spacing w:line="240" w:lineRule="auto"/>
        <w:jc w:val="both"/>
        <w:rPr>
          <w:rFonts w:asciiTheme="minorHAnsi" w:hAnsiTheme="minorHAnsi" w:cs="Arial"/>
          <w:sz w:val="20"/>
          <w:szCs w:val="20"/>
        </w:rPr>
      </w:pPr>
      <w:r w:rsidRPr="003E335B">
        <w:rPr>
          <w:rFonts w:asciiTheme="minorHAnsi" w:hAnsiTheme="minorHAnsi" w:cs="Arial"/>
          <w:sz w:val="20"/>
          <w:szCs w:val="20"/>
        </w:rPr>
        <w:t>Our Annual General Meeting of Shareholders was held on May 3, 2011 in Amsterdam and the following decisions were approved by our shareholders:</w:t>
      </w:r>
    </w:p>
    <w:p w:rsidR="002E71AB" w:rsidRPr="003E335B" w:rsidRDefault="00056FB5" w:rsidP="000A1B34">
      <w:pPr>
        <w:pStyle w:val="ListParagraph"/>
        <w:numPr>
          <w:ilvl w:val="0"/>
          <w:numId w:val="46"/>
        </w:numPr>
        <w:spacing w:line="240" w:lineRule="auto"/>
        <w:rPr>
          <w:rFonts w:cs="Arial"/>
        </w:rPr>
      </w:pPr>
      <w:r w:rsidRPr="003E335B">
        <w:rPr>
          <w:rFonts w:cs="Arial"/>
        </w:rPr>
        <w:t>The reappointment of Mr. Carlo Bozotti as the sole member of the Managing Board and our President and Chief Executive Officer for a three-year term expiring at the 2014 Annual General Meeting;</w:t>
      </w:r>
    </w:p>
    <w:p w:rsidR="002E71AB" w:rsidRPr="003E335B" w:rsidRDefault="00056FB5" w:rsidP="000A1B34">
      <w:pPr>
        <w:pStyle w:val="ListParagraph"/>
        <w:numPr>
          <w:ilvl w:val="0"/>
          <w:numId w:val="46"/>
        </w:numPr>
        <w:spacing w:line="240" w:lineRule="auto"/>
        <w:rPr>
          <w:rFonts w:cs="Arial"/>
        </w:rPr>
      </w:pPr>
      <w:r w:rsidRPr="003E335B">
        <w:rPr>
          <w:rFonts w:cs="Arial"/>
        </w:rPr>
        <w:t>The reappointment for a three-year term, expiring at the 2014 Annual General Meeting, for the following members of the Supervisory Board:  Mr. Didier Lombard, Mr. Bruno Steve and Mr. Tom de Waard;</w:t>
      </w:r>
    </w:p>
    <w:p w:rsidR="002E71AB" w:rsidRPr="003E335B" w:rsidRDefault="00056FB5" w:rsidP="000A1B34">
      <w:pPr>
        <w:pStyle w:val="ListParagraph"/>
        <w:numPr>
          <w:ilvl w:val="0"/>
          <w:numId w:val="46"/>
        </w:numPr>
        <w:spacing w:line="240" w:lineRule="auto"/>
        <w:rPr>
          <w:rFonts w:cs="Arial"/>
        </w:rPr>
      </w:pPr>
      <w:r w:rsidRPr="003E335B">
        <w:rPr>
          <w:rFonts w:cs="Arial"/>
        </w:rPr>
        <w:t>The appointment of Messrs. Jean d’Arthuys, Jean-Georges Malcor and Alessandro Rivera as new members of the Supervisory Board for a three-year term, expiring at the 2014 Annual General Meeting, in replacement of Messrs. Gerald Arbola and Antonino Turicchi, whose mandates have expired at the 2011 Annual General Meeting, and of Mr. Didier Lamouche, who resigned in October 2010;</w:t>
      </w:r>
    </w:p>
    <w:p w:rsidR="00254A1E" w:rsidRDefault="00056FB5">
      <w:pPr>
        <w:pStyle w:val="ListParagraph"/>
        <w:numPr>
          <w:ilvl w:val="0"/>
          <w:numId w:val="46"/>
        </w:numPr>
        <w:spacing w:line="240" w:lineRule="auto"/>
        <w:rPr>
          <w:rFonts w:cs="Arial"/>
        </w:rPr>
      </w:pPr>
      <w:r w:rsidRPr="003E335B">
        <w:rPr>
          <w:rFonts w:cs="Arial"/>
        </w:rPr>
        <w:t>The approval of our 2010 accounts reported in accordance with International Financial Reporting Standards, as adopted in the European Union (IFRS);</w:t>
      </w:r>
    </w:p>
    <w:p w:rsidR="00254A1E" w:rsidRDefault="00056FB5">
      <w:pPr>
        <w:pStyle w:val="ListParagraph"/>
        <w:numPr>
          <w:ilvl w:val="0"/>
          <w:numId w:val="46"/>
        </w:numPr>
        <w:spacing w:line="240" w:lineRule="auto"/>
        <w:rPr>
          <w:rFonts w:cs="Arial"/>
        </w:rPr>
      </w:pPr>
      <w:r w:rsidRPr="003E335B">
        <w:rPr>
          <w:rFonts w:cs="Arial"/>
        </w:rPr>
        <w:t>The distribution of a cash dividend of US$0.40 per share, to be paid in four equal quarterly installments in May, August and December 2011 and February 2012 to shareholders of record in the month of each quarterly payment;</w:t>
      </w:r>
    </w:p>
    <w:p w:rsidR="00254A1E" w:rsidRDefault="00056FB5">
      <w:pPr>
        <w:pStyle w:val="ListParagraph"/>
        <w:numPr>
          <w:ilvl w:val="0"/>
          <w:numId w:val="46"/>
        </w:numPr>
        <w:spacing w:line="240" w:lineRule="auto"/>
        <w:rPr>
          <w:rFonts w:cs="Arial"/>
        </w:rPr>
      </w:pPr>
      <w:r w:rsidRPr="003E335B">
        <w:rPr>
          <w:rFonts w:cs="Arial"/>
        </w:rPr>
        <w:t xml:space="preserve">The reappointment of PricewaterhouseCoopers Accountants N.V. as our external auditors for a three-year term effective as of our 2011 Annual General Meeting to expire at the end of </w:t>
      </w:r>
      <w:r w:rsidR="002E71AB" w:rsidRPr="003E335B">
        <w:rPr>
          <w:rFonts w:cs="Arial"/>
        </w:rPr>
        <w:t>our 2014 Annual General Meeting;</w:t>
      </w:r>
    </w:p>
    <w:p w:rsidR="008733F0" w:rsidRDefault="00056FB5">
      <w:pPr>
        <w:spacing w:line="240" w:lineRule="auto"/>
        <w:jc w:val="both"/>
        <w:rPr>
          <w:rFonts w:asciiTheme="minorHAnsi" w:hAnsiTheme="minorHAnsi" w:cs="Arial"/>
          <w:sz w:val="20"/>
          <w:szCs w:val="20"/>
        </w:rPr>
      </w:pPr>
      <w:r w:rsidRPr="000B001B">
        <w:rPr>
          <w:rFonts w:asciiTheme="minorHAnsi" w:hAnsiTheme="minorHAnsi" w:cs="Arial"/>
          <w:sz w:val="20"/>
          <w:szCs w:val="20"/>
        </w:rPr>
        <w:t>Following the Annual General Meeting, the Supervisory Board appointed Mr. Didier Lombard as the Chairman of the Supervisory Board and Mr. Bruno Steve as the Vice-chairman, respectively, for a 3-year term ending in 2014.</w:t>
      </w:r>
    </w:p>
    <w:p w:rsidR="008733F0" w:rsidRDefault="000B001B">
      <w:pPr>
        <w:jc w:val="both"/>
        <w:rPr>
          <w:rFonts w:asciiTheme="minorHAnsi" w:hAnsiTheme="minorHAnsi" w:cs="Arial"/>
          <w:sz w:val="20"/>
          <w:szCs w:val="20"/>
        </w:rPr>
      </w:pPr>
      <w:r w:rsidRPr="000B001B">
        <w:rPr>
          <w:rFonts w:asciiTheme="minorHAnsi" w:hAnsiTheme="minorHAnsi" w:cs="Arial"/>
          <w:sz w:val="20"/>
          <w:szCs w:val="20"/>
        </w:rPr>
        <w:t>On May 31, 2011, we announced the publication of our 2010 Sustainability Report. The report provides comprehensive information about our sustainability strategy, policies and performance during 2010 and describes how we incorporate sustainability into our business practices to create value for all of our stakeholders. Key commitments and achievements include a record safety performance that puts us among the worldwide leaders in this field and a commitment to have 100% of our products eco-designed by 2015.</w:t>
      </w:r>
    </w:p>
    <w:p w:rsidR="008733F0" w:rsidRDefault="002E71AB">
      <w:pPr>
        <w:jc w:val="both"/>
        <w:rPr>
          <w:rFonts w:asciiTheme="minorHAnsi" w:hAnsiTheme="minorHAnsi" w:cs="Arial"/>
          <w:sz w:val="20"/>
          <w:szCs w:val="20"/>
        </w:rPr>
      </w:pPr>
      <w:r w:rsidRPr="000B001B">
        <w:rPr>
          <w:rFonts w:asciiTheme="minorHAnsi" w:hAnsiTheme="minorHAnsi" w:cs="Arial"/>
          <w:sz w:val="20"/>
          <w:szCs w:val="20"/>
        </w:rPr>
        <w:t>On June 9, 2011, we received the cash payment of $356.8 million from Credit Suisse as the full and final payment for the settlement of all outstanding litigation concerning auction rate securities. This amount fully covers all losses and costs associated with the litigation. We booked a pre-tax profit of approximately $329 million in the income statement of the first half of 2011 as a result of the transaction</w:t>
      </w:r>
      <w:r w:rsidR="000B001B">
        <w:rPr>
          <w:rFonts w:asciiTheme="minorHAnsi" w:hAnsiTheme="minorHAnsi" w:cs="Arial"/>
          <w:sz w:val="20"/>
          <w:szCs w:val="20"/>
        </w:rPr>
        <w:t>.</w:t>
      </w:r>
    </w:p>
    <w:p w:rsidR="008733F0" w:rsidRDefault="00D275B1">
      <w:pPr>
        <w:jc w:val="both"/>
        <w:rPr>
          <w:rFonts w:asciiTheme="minorHAnsi" w:hAnsiTheme="minorHAnsi" w:cs="Arial"/>
          <w:sz w:val="20"/>
          <w:szCs w:val="20"/>
        </w:rPr>
      </w:pPr>
      <w:r w:rsidRPr="000B001B">
        <w:rPr>
          <w:rFonts w:asciiTheme="minorHAnsi" w:hAnsiTheme="minorHAnsi" w:cs="Arial"/>
          <w:sz w:val="20"/>
          <w:szCs w:val="20"/>
        </w:rPr>
        <w:t>On July 8, 2011, the photovoltaic panels factory run by 3 Sun, the jointly controlled entity between Enel Green Power, Sharp and us, was inaugurated in Catania.</w:t>
      </w:r>
    </w:p>
    <w:p w:rsidR="00DB7754" w:rsidRPr="003E335B" w:rsidRDefault="00DB7754" w:rsidP="000D70EC">
      <w:pPr>
        <w:pStyle w:val="Title2"/>
        <w:spacing w:line="240" w:lineRule="auto"/>
        <w:rPr>
          <w:rFonts w:asciiTheme="minorHAnsi" w:hAnsiTheme="minorHAnsi"/>
          <w:sz w:val="20"/>
          <w:szCs w:val="20"/>
        </w:rPr>
      </w:pPr>
      <w:bookmarkStart w:id="15" w:name="_Toc300834221"/>
      <w:r w:rsidRPr="003E335B">
        <w:rPr>
          <w:rFonts w:asciiTheme="minorHAnsi" w:hAnsiTheme="minorHAnsi"/>
          <w:sz w:val="20"/>
          <w:szCs w:val="20"/>
        </w:rPr>
        <w:t>Related party transactions</w:t>
      </w:r>
      <w:bookmarkEnd w:id="15"/>
      <w:r w:rsidRPr="003E335B">
        <w:rPr>
          <w:rFonts w:asciiTheme="minorHAnsi" w:hAnsiTheme="minorHAnsi"/>
          <w:sz w:val="20"/>
          <w:szCs w:val="20"/>
        </w:rPr>
        <w:t xml:space="preserve"> </w:t>
      </w:r>
    </w:p>
    <w:p w:rsidR="0014656A" w:rsidRDefault="00DB7754" w:rsidP="000D70EC">
      <w:pPr>
        <w:spacing w:line="240" w:lineRule="auto"/>
        <w:rPr>
          <w:rFonts w:asciiTheme="minorHAnsi" w:hAnsiTheme="minorHAnsi" w:cs="Arial"/>
          <w:sz w:val="20"/>
          <w:szCs w:val="20"/>
        </w:rPr>
      </w:pPr>
      <w:r w:rsidRPr="003E335B">
        <w:rPr>
          <w:rFonts w:asciiTheme="minorHAnsi" w:hAnsiTheme="minorHAnsi" w:cs="Arial"/>
          <w:sz w:val="20"/>
          <w:szCs w:val="20"/>
        </w:rPr>
        <w:t xml:space="preserve">Please refer to Note </w:t>
      </w:r>
      <w:r w:rsidR="000B001B">
        <w:rPr>
          <w:rFonts w:asciiTheme="minorHAnsi" w:hAnsiTheme="minorHAnsi" w:cs="Arial"/>
          <w:sz w:val="20"/>
          <w:szCs w:val="20"/>
        </w:rPr>
        <w:t>21</w:t>
      </w:r>
      <w:r w:rsidRPr="003E335B">
        <w:rPr>
          <w:rFonts w:asciiTheme="minorHAnsi" w:hAnsiTheme="minorHAnsi" w:cs="Arial"/>
          <w:sz w:val="20"/>
          <w:szCs w:val="20"/>
        </w:rPr>
        <w:t xml:space="preserve"> of the Unaudited </w:t>
      </w:r>
      <w:r w:rsidR="005E1E77">
        <w:rPr>
          <w:rFonts w:asciiTheme="minorHAnsi" w:hAnsiTheme="minorHAnsi" w:cs="Arial"/>
          <w:sz w:val="20"/>
          <w:szCs w:val="20"/>
        </w:rPr>
        <w:t>Semi-Annual</w:t>
      </w:r>
      <w:r w:rsidRPr="003E335B">
        <w:rPr>
          <w:rFonts w:asciiTheme="minorHAnsi" w:hAnsiTheme="minorHAnsi" w:cs="Arial"/>
          <w:sz w:val="20"/>
          <w:szCs w:val="20"/>
        </w:rPr>
        <w:t xml:space="preserve"> Financial Statements.</w:t>
      </w:r>
    </w:p>
    <w:p w:rsidR="000B001B" w:rsidRDefault="000B001B">
      <w:pPr>
        <w:spacing w:after="100" w:line="240" w:lineRule="auto"/>
        <w:rPr>
          <w:rFonts w:asciiTheme="minorHAnsi" w:eastAsia="Times New Roman" w:hAnsiTheme="minorHAnsi" w:cs="Arial"/>
          <w:b/>
          <w:smallCaps/>
          <w:color w:val="009CDD"/>
          <w:spacing w:val="5"/>
          <w:sz w:val="20"/>
          <w:szCs w:val="20"/>
          <w:lang w:bidi="en-US"/>
        </w:rPr>
      </w:pPr>
    </w:p>
    <w:p w:rsidR="000B001B" w:rsidRPr="000B001B" w:rsidRDefault="000B001B" w:rsidP="000B001B">
      <w:pPr>
        <w:pStyle w:val="Title2"/>
        <w:spacing w:line="240" w:lineRule="auto"/>
        <w:rPr>
          <w:rFonts w:asciiTheme="minorHAnsi" w:hAnsiTheme="minorHAnsi"/>
          <w:sz w:val="20"/>
          <w:szCs w:val="20"/>
        </w:rPr>
      </w:pPr>
      <w:bookmarkStart w:id="16" w:name="_Toc300834222"/>
      <w:r w:rsidRPr="000B001B">
        <w:rPr>
          <w:rFonts w:asciiTheme="minorHAnsi" w:hAnsiTheme="minorHAnsi"/>
          <w:sz w:val="20"/>
          <w:szCs w:val="20"/>
        </w:rPr>
        <w:lastRenderedPageBreak/>
        <w:t>Financial risk management</w:t>
      </w:r>
      <w:bookmarkEnd w:id="16"/>
    </w:p>
    <w:p w:rsidR="000B001B" w:rsidRPr="000B001B" w:rsidRDefault="000B001B" w:rsidP="000B001B">
      <w:pPr>
        <w:jc w:val="both"/>
        <w:rPr>
          <w:rFonts w:asciiTheme="minorHAnsi" w:hAnsiTheme="minorHAnsi" w:cs="Arial"/>
          <w:sz w:val="20"/>
          <w:szCs w:val="20"/>
        </w:rPr>
      </w:pPr>
      <w:r w:rsidRPr="000B001B">
        <w:rPr>
          <w:rFonts w:asciiTheme="minorHAnsi" w:hAnsiTheme="minorHAnsi" w:cs="Arial"/>
          <w:sz w:val="20"/>
          <w:szCs w:val="20"/>
        </w:rPr>
        <w:t xml:space="preserve">The Group is exposed to changes in financial market conditions in the normal course of business due to its operations in different foreign currencies and its ongoing investing and financing activities. The Group’s activities expose it to a variety of financial risks: market risk (including currency risk, fair value interest rate risk, cash flow interest rate risk and price risk), credit risk and liquidity risk. The Group’s overall risk management program focuses on the unpredictability of financial markets and seeks to minimize potential adverse effects on the Group’s financial performance. The Group uses derivative financial instruments to hedge certain risk exposures. See note </w:t>
      </w:r>
      <w:r>
        <w:rPr>
          <w:rFonts w:asciiTheme="minorHAnsi" w:hAnsiTheme="minorHAnsi" w:cs="Arial"/>
          <w:sz w:val="20"/>
          <w:szCs w:val="20"/>
        </w:rPr>
        <w:t>10</w:t>
      </w:r>
      <w:r w:rsidRPr="000B001B">
        <w:rPr>
          <w:rFonts w:asciiTheme="minorHAnsi" w:hAnsiTheme="minorHAnsi" w:cs="Arial"/>
          <w:sz w:val="20"/>
          <w:szCs w:val="20"/>
        </w:rPr>
        <w:t xml:space="preserve"> of the </w:t>
      </w:r>
      <w:r w:rsidR="005E1E77">
        <w:rPr>
          <w:rFonts w:asciiTheme="minorHAnsi" w:hAnsiTheme="minorHAnsi" w:cs="Arial"/>
          <w:sz w:val="20"/>
          <w:szCs w:val="20"/>
        </w:rPr>
        <w:t>Semi-Annual</w:t>
      </w:r>
      <w:r w:rsidRPr="000B001B">
        <w:rPr>
          <w:rFonts w:asciiTheme="minorHAnsi" w:hAnsiTheme="minorHAnsi" w:cs="Arial"/>
          <w:sz w:val="20"/>
          <w:szCs w:val="20"/>
        </w:rPr>
        <w:t xml:space="preserve"> Financial Statements for further information</w:t>
      </w:r>
      <w:r w:rsidR="00F857DE">
        <w:rPr>
          <w:rFonts w:asciiTheme="minorHAnsi" w:hAnsiTheme="minorHAnsi" w:cs="Arial"/>
          <w:sz w:val="20"/>
          <w:szCs w:val="20"/>
        </w:rPr>
        <w:t>.</w:t>
      </w:r>
    </w:p>
    <w:p w:rsidR="000B001B" w:rsidRPr="000B001B" w:rsidRDefault="000B001B" w:rsidP="000B001B">
      <w:pPr>
        <w:jc w:val="both"/>
        <w:rPr>
          <w:rFonts w:asciiTheme="minorHAnsi" w:hAnsiTheme="minorHAnsi" w:cs="Arial"/>
          <w:sz w:val="20"/>
          <w:szCs w:val="20"/>
        </w:rPr>
      </w:pPr>
      <w:r w:rsidRPr="000B001B">
        <w:rPr>
          <w:rFonts w:asciiTheme="minorHAnsi" w:hAnsiTheme="minorHAnsi" w:cs="Arial"/>
          <w:sz w:val="20"/>
          <w:szCs w:val="20"/>
        </w:rPr>
        <w:t xml:space="preserve">Risk management is carried out by a central treasury department (Corporate Treasury) reporting to the Chief Financial Officer. Simultaneously, a Treasury Committee, chaired by the CFO, steers treasury activities and ensures compliance with corporate policies approved by the Supervisory Board. Treasury activities are thus regulated by the Group’s policies, which define procedures, objectives and controls. The policies focus on the management of financial risk in terms of exposure to market risk, credit risk and liquidity risk. Treasury controls are subject to internal audits. Most treasury activities are centralized, with any local treasury activities subject to oversight from head treasury office. Corporate Treasury identifies, evaluates and hedges financial risks in close cooperation with the Group’s operating units. It provides written principles for overall risk management, as well as written policies covering specific areas, such as foreign exchange risk, interest rate risk, </w:t>
      </w:r>
      <w:proofErr w:type="gramStart"/>
      <w:r w:rsidRPr="000B001B">
        <w:rPr>
          <w:rFonts w:asciiTheme="minorHAnsi" w:hAnsiTheme="minorHAnsi" w:cs="Arial"/>
          <w:sz w:val="20"/>
          <w:szCs w:val="20"/>
        </w:rPr>
        <w:t>credit</w:t>
      </w:r>
      <w:proofErr w:type="gramEnd"/>
      <w:r w:rsidRPr="000B001B">
        <w:rPr>
          <w:rFonts w:asciiTheme="minorHAnsi" w:hAnsiTheme="minorHAnsi" w:cs="Arial"/>
          <w:sz w:val="20"/>
          <w:szCs w:val="20"/>
        </w:rPr>
        <w:t xml:space="preserve"> risk, use of derivative financial instruments and non-derivative financial instruments, and investment of excess liquidity. The majority of cash and cash equivalent is held in U.S. dollars and Euro and is placed with financial institutions rated at least a single “A” long term rating from two of the major rating agencies, meaning at least A3 from Moody’s Investor Service and A- from Standard &amp; Poor’s and Fitch Ratings. Marginal amounts are held in other currencies. Foreign currency operations and hedging transactions are performed only to hedge exposures deriving from industrial and commercial activities.</w:t>
      </w:r>
    </w:p>
    <w:p w:rsidR="000B001B" w:rsidRPr="000B001B" w:rsidRDefault="000B001B" w:rsidP="000B001B">
      <w:pPr>
        <w:rPr>
          <w:rFonts w:asciiTheme="minorHAnsi" w:hAnsiTheme="minorHAnsi" w:cs="Arial"/>
          <w:b/>
          <w:i/>
          <w:sz w:val="20"/>
          <w:szCs w:val="20"/>
        </w:rPr>
      </w:pPr>
      <w:r w:rsidRPr="000B001B">
        <w:rPr>
          <w:rFonts w:asciiTheme="minorHAnsi" w:hAnsiTheme="minorHAnsi" w:cs="Arial"/>
          <w:b/>
          <w:i/>
          <w:sz w:val="20"/>
          <w:szCs w:val="20"/>
        </w:rPr>
        <w:t>Foreign exchange risk</w:t>
      </w:r>
    </w:p>
    <w:p w:rsidR="000B001B" w:rsidRPr="000B001B" w:rsidRDefault="000B001B" w:rsidP="000B001B">
      <w:pPr>
        <w:jc w:val="both"/>
        <w:rPr>
          <w:rFonts w:asciiTheme="minorHAnsi" w:hAnsiTheme="minorHAnsi" w:cs="Arial"/>
          <w:sz w:val="20"/>
          <w:szCs w:val="20"/>
        </w:rPr>
      </w:pPr>
      <w:r w:rsidRPr="000B001B">
        <w:rPr>
          <w:rFonts w:asciiTheme="minorHAnsi" w:hAnsiTheme="minorHAnsi" w:cs="Arial"/>
          <w:sz w:val="20"/>
          <w:szCs w:val="20"/>
        </w:rPr>
        <w:t>The Group conducts its business on a global basis in various major international currencies. As a result, the Group is exposed to adverse movements in foreign currency exchange rates, primarily with respect to the Euro and the Swedish-Krona. Foreign exchange risk mainly arises from future commercial transactions and recognized assets and liabilities at the Group’s subsidiaries.</w:t>
      </w:r>
    </w:p>
    <w:p w:rsidR="000B001B" w:rsidRPr="000B001B" w:rsidRDefault="000B001B" w:rsidP="000B001B">
      <w:pPr>
        <w:rPr>
          <w:rFonts w:asciiTheme="minorHAnsi" w:hAnsiTheme="minorHAnsi" w:cs="Arial"/>
          <w:b/>
          <w:i/>
          <w:sz w:val="20"/>
          <w:szCs w:val="20"/>
        </w:rPr>
      </w:pPr>
      <w:r w:rsidRPr="000B001B">
        <w:rPr>
          <w:rFonts w:asciiTheme="minorHAnsi" w:hAnsiTheme="minorHAnsi" w:cs="Arial"/>
          <w:b/>
          <w:i/>
          <w:sz w:val="20"/>
          <w:szCs w:val="20"/>
        </w:rPr>
        <w:t>Cash flow and fair value interest rate risk</w:t>
      </w:r>
    </w:p>
    <w:p w:rsidR="000B001B" w:rsidRPr="000B001B" w:rsidRDefault="000B001B" w:rsidP="000B001B">
      <w:pPr>
        <w:jc w:val="both"/>
        <w:rPr>
          <w:rFonts w:asciiTheme="minorHAnsi" w:hAnsiTheme="minorHAnsi" w:cs="Arial"/>
          <w:sz w:val="20"/>
          <w:szCs w:val="20"/>
        </w:rPr>
      </w:pPr>
      <w:r w:rsidRPr="000B001B">
        <w:rPr>
          <w:rFonts w:asciiTheme="minorHAnsi" w:hAnsiTheme="minorHAnsi" w:cs="Arial"/>
          <w:sz w:val="20"/>
          <w:szCs w:val="20"/>
        </w:rPr>
        <w:t>The Group’s interest rate risk arises from long-term borrowings. Borrowings issued at variable rates expose the Group to cash flow interest rate risk. Borrowings issued at fixed rates expose the Group to fair value interest rate risk.</w:t>
      </w:r>
    </w:p>
    <w:p w:rsidR="000B001B" w:rsidRPr="000B001B" w:rsidRDefault="000B001B" w:rsidP="000B001B">
      <w:pPr>
        <w:rPr>
          <w:rFonts w:asciiTheme="minorHAnsi" w:hAnsiTheme="minorHAnsi" w:cs="Arial"/>
          <w:b/>
          <w:i/>
          <w:sz w:val="20"/>
          <w:szCs w:val="20"/>
        </w:rPr>
      </w:pPr>
      <w:r w:rsidRPr="000B001B">
        <w:rPr>
          <w:rFonts w:asciiTheme="minorHAnsi" w:hAnsiTheme="minorHAnsi" w:cs="Arial"/>
          <w:b/>
          <w:i/>
          <w:sz w:val="20"/>
          <w:szCs w:val="20"/>
        </w:rPr>
        <w:t>Credit risk</w:t>
      </w:r>
    </w:p>
    <w:p w:rsidR="000B001B" w:rsidRPr="000B001B" w:rsidRDefault="000B001B" w:rsidP="000B001B">
      <w:pPr>
        <w:jc w:val="both"/>
        <w:rPr>
          <w:rFonts w:asciiTheme="minorHAnsi" w:hAnsiTheme="minorHAnsi" w:cs="Arial"/>
          <w:sz w:val="20"/>
          <w:szCs w:val="20"/>
        </w:rPr>
      </w:pPr>
      <w:r w:rsidRPr="000B001B">
        <w:rPr>
          <w:rFonts w:asciiTheme="minorHAnsi" w:hAnsiTheme="minorHAnsi" w:cs="Arial"/>
          <w:sz w:val="20"/>
          <w:szCs w:val="20"/>
        </w:rPr>
        <w:t>Credit risk is the risk that counterparty will not meet its obligations under a financial instrument or customer contract leading to a financial loss. The Group is exposed to credit risk from its operating activities (primarily for trade receivables and loan notes) and from its financing activities, including deposits with banks and financial institutions, foreign exchange transactions and other financial instruments.</w:t>
      </w:r>
    </w:p>
    <w:p w:rsidR="000B001B" w:rsidRPr="000B001B" w:rsidRDefault="000B001B" w:rsidP="000B001B">
      <w:pPr>
        <w:rPr>
          <w:rFonts w:asciiTheme="minorHAnsi" w:hAnsiTheme="minorHAnsi" w:cs="Arial"/>
          <w:b/>
          <w:i/>
          <w:sz w:val="20"/>
          <w:szCs w:val="20"/>
        </w:rPr>
      </w:pPr>
      <w:r w:rsidRPr="000B001B">
        <w:rPr>
          <w:rFonts w:asciiTheme="minorHAnsi" w:hAnsiTheme="minorHAnsi" w:cs="Arial"/>
          <w:b/>
          <w:i/>
          <w:sz w:val="20"/>
          <w:szCs w:val="20"/>
        </w:rPr>
        <w:lastRenderedPageBreak/>
        <w:t>Liquidity risk</w:t>
      </w:r>
    </w:p>
    <w:p w:rsidR="000B001B" w:rsidRDefault="000B001B" w:rsidP="000B001B">
      <w:pPr>
        <w:jc w:val="both"/>
        <w:rPr>
          <w:sz w:val="20"/>
          <w:szCs w:val="20"/>
        </w:rPr>
      </w:pPr>
      <w:r w:rsidRPr="000B001B">
        <w:rPr>
          <w:rFonts w:asciiTheme="minorHAnsi" w:hAnsiTheme="minorHAnsi" w:cs="Arial"/>
          <w:sz w:val="20"/>
          <w:szCs w:val="20"/>
        </w:rPr>
        <w:t>Prudent liquidity risk management includes maintaining sufficient cash and cash equivalents, short-term deposits and marketable securities, the availability of funding from committed credit facilities and the ability to close out market positions. The Group’s objective is to maintain a significant cash position and a low debt to equity ratio, which ensure adequate financial flexibility. Liquidity management policy is to finance the Group’s investments with net cash provided from operating activities.</w:t>
      </w:r>
    </w:p>
    <w:p w:rsidR="000B001B" w:rsidRPr="003E335B" w:rsidRDefault="000B001B" w:rsidP="000D70EC">
      <w:pPr>
        <w:spacing w:line="240" w:lineRule="auto"/>
        <w:rPr>
          <w:rFonts w:asciiTheme="minorHAnsi" w:hAnsiTheme="minorHAnsi" w:cs="Arial"/>
          <w:sz w:val="20"/>
          <w:szCs w:val="20"/>
        </w:rPr>
      </w:pPr>
    </w:p>
    <w:p w:rsidR="00E101FC" w:rsidRPr="003E335B" w:rsidRDefault="00847BCE" w:rsidP="000D70EC">
      <w:pPr>
        <w:pStyle w:val="Title2"/>
        <w:spacing w:before="0" w:after="100" w:line="240" w:lineRule="auto"/>
        <w:rPr>
          <w:rFonts w:asciiTheme="minorHAnsi" w:hAnsiTheme="minorHAnsi"/>
          <w:sz w:val="20"/>
          <w:szCs w:val="20"/>
        </w:rPr>
      </w:pPr>
      <w:bookmarkStart w:id="17" w:name="_Toc300834223"/>
      <w:r w:rsidRPr="003E335B">
        <w:rPr>
          <w:rFonts w:asciiTheme="minorHAnsi" w:hAnsiTheme="minorHAnsi"/>
          <w:sz w:val="20"/>
          <w:szCs w:val="20"/>
        </w:rPr>
        <w:t>Business risk information</w:t>
      </w:r>
      <w:bookmarkEnd w:id="17"/>
    </w:p>
    <w:p w:rsidR="008733F0" w:rsidRDefault="00890467">
      <w:pPr>
        <w:pStyle w:val="STText"/>
        <w:suppressAutoHyphens/>
        <w:spacing w:after="100" w:line="240" w:lineRule="auto"/>
        <w:ind w:left="0"/>
        <w:rPr>
          <w:rFonts w:asciiTheme="minorHAnsi" w:eastAsia="Calibri" w:hAnsiTheme="minorHAnsi" w:cs="Arial"/>
          <w:color w:val="auto"/>
          <w:lang w:bidi="ar-SA"/>
        </w:rPr>
      </w:pPr>
      <w:r w:rsidRPr="003E335B">
        <w:rPr>
          <w:rFonts w:asciiTheme="minorHAnsi" w:eastAsia="Calibri" w:hAnsiTheme="minorHAnsi" w:cs="Arial"/>
          <w:color w:val="auto"/>
          <w:lang w:bidi="ar-SA"/>
        </w:rPr>
        <w:t>Some of the statements contained in this report that are not historical facts are statements of future expectations that are based on management’s current views and assumptions, and are conditioned upon and also involve known and unknown risks and uncertainties that could cause actual results, performance or events to differ materially from those in such statements due to among factors:</w:t>
      </w:r>
    </w:p>
    <w:p w:rsidR="008733F0" w:rsidRDefault="00475F58">
      <w:pPr>
        <w:pStyle w:val="ListParagraph"/>
        <w:numPr>
          <w:ilvl w:val="0"/>
          <w:numId w:val="51"/>
        </w:numPr>
        <w:autoSpaceDE w:val="0"/>
        <w:autoSpaceDN w:val="0"/>
        <w:adjustRightInd w:val="0"/>
        <w:spacing w:after="0" w:afterAutospacing="0" w:line="240" w:lineRule="auto"/>
        <w:rPr>
          <w:color w:val="000000"/>
        </w:rPr>
      </w:pPr>
      <w:r w:rsidRPr="00085A08">
        <w:rPr>
          <w:color w:val="000000"/>
        </w:rPr>
        <w:t>changes in demand in the key application markets and from key customers served by our products, including demand for products where we have achieved design wins and/or demand for applications where we are targeting growth, all of which make it extremely difficult to accurately forecast and plan our future business activities;</w:t>
      </w:r>
    </w:p>
    <w:p w:rsidR="008733F0" w:rsidRDefault="00475F58">
      <w:pPr>
        <w:pStyle w:val="ListParagraph"/>
        <w:numPr>
          <w:ilvl w:val="0"/>
          <w:numId w:val="51"/>
        </w:numPr>
        <w:autoSpaceDE w:val="0"/>
        <w:autoSpaceDN w:val="0"/>
        <w:adjustRightInd w:val="0"/>
        <w:spacing w:after="0" w:afterAutospacing="0" w:line="240" w:lineRule="auto"/>
        <w:rPr>
          <w:color w:val="000000"/>
        </w:rPr>
      </w:pPr>
      <w:r w:rsidRPr="00085A08">
        <w:rPr>
          <w:color w:val="000000"/>
        </w:rPr>
        <w:t>in periods of reduced demand or visibility on orders our ability to reduce our expenses as required and to operate our manufacturing facilities at sufficient levels to cover fixed operating costs, as well as our ability, in the case of increased demand, to ramp up production efficiently;</w:t>
      </w:r>
    </w:p>
    <w:p w:rsidR="008733F0" w:rsidRDefault="00475F58">
      <w:pPr>
        <w:pStyle w:val="ListParagraph"/>
        <w:numPr>
          <w:ilvl w:val="0"/>
          <w:numId w:val="51"/>
        </w:numPr>
        <w:autoSpaceDE w:val="0"/>
        <w:autoSpaceDN w:val="0"/>
        <w:adjustRightInd w:val="0"/>
        <w:spacing w:after="0" w:afterAutospacing="0" w:line="240" w:lineRule="auto"/>
        <w:rPr>
          <w:color w:val="000000"/>
        </w:rPr>
      </w:pPr>
      <w:r w:rsidRPr="00085A08">
        <w:rPr>
          <w:color w:val="000000"/>
        </w:rPr>
        <w:t>the operations of the ST-Ericsson wireless joint venture, which represent an over $2 billion investment and risk for our business, are currently in a transition from legacy to new products and facing a dramatic change in their major customer business. Consequently, ST-Ericsson has been incurring significant losses. In the event of a significant worsening of the current market conditions or a lack of results, the value of ST-Ericsson for ST could decrease to a value lower than the current carrying amount of the investment on our books;</w:t>
      </w:r>
    </w:p>
    <w:p w:rsidR="008733F0" w:rsidRDefault="00475F58">
      <w:pPr>
        <w:pStyle w:val="ListParagraph"/>
        <w:numPr>
          <w:ilvl w:val="0"/>
          <w:numId w:val="51"/>
        </w:numPr>
        <w:autoSpaceDE w:val="0"/>
        <w:autoSpaceDN w:val="0"/>
        <w:adjustRightInd w:val="0"/>
        <w:spacing w:after="0" w:afterAutospacing="0" w:line="240" w:lineRule="auto"/>
        <w:rPr>
          <w:color w:val="000000"/>
        </w:rPr>
      </w:pPr>
      <w:r w:rsidRPr="00085A08">
        <w:rPr>
          <w:color w:val="000000"/>
        </w:rPr>
        <w:t>our ability, in an intensively competitive environment, to successfully develop and secure customer acceptance and to achieve our pricing expectations for high-volume supplies of new products in whose development we have been, or are currently, investing;</w:t>
      </w:r>
    </w:p>
    <w:p w:rsidR="008733F0" w:rsidRDefault="00475F58">
      <w:pPr>
        <w:pStyle w:val="ListParagraph"/>
        <w:numPr>
          <w:ilvl w:val="0"/>
          <w:numId w:val="51"/>
        </w:numPr>
        <w:autoSpaceDE w:val="0"/>
        <w:autoSpaceDN w:val="0"/>
        <w:adjustRightInd w:val="0"/>
        <w:spacing w:after="0" w:afterAutospacing="0" w:line="240" w:lineRule="auto"/>
        <w:rPr>
          <w:color w:val="000000"/>
        </w:rPr>
      </w:pPr>
      <w:r w:rsidRPr="00085A08">
        <w:rPr>
          <w:color w:val="000000"/>
        </w:rPr>
        <w:t>our ability to maintain or improve our competiveness when a high percentage of our costs are fixed and are incurred in Euros and currencies other than U.S. dollars, especially in light of the increasing volatility in the foreign exchange markets and, more particularly, in the U.S. dollar exchange rate as compared to the Euro and the other major currencies we use for our operations;</w:t>
      </w:r>
    </w:p>
    <w:p w:rsidR="008733F0" w:rsidRDefault="00475F58">
      <w:pPr>
        <w:pStyle w:val="ListParagraph"/>
        <w:numPr>
          <w:ilvl w:val="0"/>
          <w:numId w:val="51"/>
        </w:numPr>
        <w:autoSpaceDE w:val="0"/>
        <w:autoSpaceDN w:val="0"/>
        <w:adjustRightInd w:val="0"/>
        <w:spacing w:after="0" w:afterAutospacing="0" w:line="240" w:lineRule="auto"/>
        <w:rPr>
          <w:color w:val="000000"/>
        </w:rPr>
      </w:pPr>
      <w:r w:rsidRPr="00085A08">
        <w:rPr>
          <w:color w:val="000000"/>
        </w:rPr>
        <w:t>the outcome of ongoing litigation as well as any new litigation to which we may become a defendant;</w:t>
      </w:r>
    </w:p>
    <w:p w:rsidR="008733F0" w:rsidRDefault="00475F58">
      <w:pPr>
        <w:pStyle w:val="ListParagraph"/>
        <w:numPr>
          <w:ilvl w:val="0"/>
          <w:numId w:val="51"/>
        </w:numPr>
        <w:autoSpaceDE w:val="0"/>
        <w:autoSpaceDN w:val="0"/>
        <w:adjustRightInd w:val="0"/>
        <w:spacing w:after="0" w:afterAutospacing="0" w:line="240" w:lineRule="auto"/>
        <w:rPr>
          <w:color w:val="000000"/>
        </w:rPr>
      </w:pPr>
      <w:r w:rsidRPr="00085A08">
        <w:rPr>
          <w:color w:val="000000"/>
        </w:rPr>
        <w:t>changes in our overall tax position as a result of changes in tax laws, expected income or the outcome of tax audits, and our ability</w:t>
      </w:r>
      <w:r>
        <w:rPr>
          <w:color w:val="000000"/>
        </w:rPr>
        <w:t xml:space="preserve"> </w:t>
      </w:r>
      <w:r w:rsidRPr="00085A08">
        <w:rPr>
          <w:color w:val="000000"/>
        </w:rPr>
        <w:t>to accurately estimate tax credits, benefits, deductions and provisions and to realize deferred tax assets;</w:t>
      </w:r>
    </w:p>
    <w:p w:rsidR="008733F0" w:rsidRDefault="00475F58">
      <w:pPr>
        <w:pStyle w:val="ListParagraph"/>
        <w:numPr>
          <w:ilvl w:val="0"/>
          <w:numId w:val="51"/>
        </w:numPr>
        <w:autoSpaceDE w:val="0"/>
        <w:autoSpaceDN w:val="0"/>
        <w:adjustRightInd w:val="0"/>
        <w:spacing w:after="0" w:afterAutospacing="0" w:line="240" w:lineRule="auto"/>
        <w:rPr>
          <w:color w:val="000000"/>
        </w:rPr>
      </w:pPr>
      <w:r w:rsidRPr="00085A08">
        <w:rPr>
          <w:color w:val="000000"/>
        </w:rPr>
        <w:t>the impact of intellectual property claims by our competitors or other third parties, and our ability to obtain required licenses on</w:t>
      </w:r>
      <w:r>
        <w:rPr>
          <w:color w:val="000000"/>
        </w:rPr>
        <w:t xml:space="preserve"> </w:t>
      </w:r>
      <w:r w:rsidRPr="00085A08">
        <w:rPr>
          <w:color w:val="000000"/>
        </w:rPr>
        <w:t>reasonable terms and conditions;</w:t>
      </w:r>
    </w:p>
    <w:p w:rsidR="008733F0" w:rsidRDefault="00475F58">
      <w:pPr>
        <w:pStyle w:val="ListParagraph"/>
        <w:numPr>
          <w:ilvl w:val="0"/>
          <w:numId w:val="51"/>
        </w:numPr>
        <w:autoSpaceDE w:val="0"/>
        <w:autoSpaceDN w:val="0"/>
        <w:adjustRightInd w:val="0"/>
        <w:spacing w:after="0" w:afterAutospacing="0" w:line="240" w:lineRule="auto"/>
        <w:rPr>
          <w:color w:val="000000"/>
        </w:rPr>
      </w:pPr>
      <w:r w:rsidRPr="00085A08">
        <w:rPr>
          <w:color w:val="000000"/>
        </w:rPr>
        <w:t>product warranty or liability claims based on epidemic or delivery failures or recalls by our customers for a product containing one of our parts;</w:t>
      </w:r>
    </w:p>
    <w:p w:rsidR="008733F0" w:rsidRDefault="00475F58">
      <w:pPr>
        <w:pStyle w:val="ListParagraph"/>
        <w:numPr>
          <w:ilvl w:val="0"/>
          <w:numId w:val="51"/>
        </w:numPr>
        <w:autoSpaceDE w:val="0"/>
        <w:autoSpaceDN w:val="0"/>
        <w:adjustRightInd w:val="0"/>
        <w:spacing w:after="0" w:afterAutospacing="0" w:line="240" w:lineRule="auto"/>
        <w:rPr>
          <w:color w:val="000000"/>
        </w:rPr>
      </w:pPr>
      <w:r w:rsidRPr="00085A08">
        <w:rPr>
          <w:color w:val="000000"/>
        </w:rPr>
        <w:t>availability and costs of raw materials, utilities, third-party manufacturing services, or other supplies required by our operations; and</w:t>
      </w:r>
    </w:p>
    <w:p w:rsidR="008733F0" w:rsidRDefault="008733F0">
      <w:pPr>
        <w:spacing w:after="100" w:line="240" w:lineRule="auto"/>
        <w:rPr>
          <w:rFonts w:eastAsiaTheme="minorEastAsia" w:cstheme="minorBidi"/>
          <w:color w:val="000000"/>
          <w:sz w:val="20"/>
          <w:szCs w:val="20"/>
          <w:lang w:bidi="en-US"/>
        </w:rPr>
      </w:pPr>
      <w:r>
        <w:br w:type="page"/>
      </w:r>
    </w:p>
    <w:p w:rsidR="008733F0" w:rsidRDefault="00475F58">
      <w:pPr>
        <w:pStyle w:val="STText"/>
        <w:numPr>
          <w:ilvl w:val="0"/>
          <w:numId w:val="49"/>
        </w:numPr>
        <w:suppressAutoHyphens/>
        <w:spacing w:after="100" w:line="240" w:lineRule="auto"/>
        <w:rPr>
          <w:rFonts w:asciiTheme="minorHAnsi" w:eastAsia="Calibri" w:hAnsiTheme="minorHAnsi" w:cs="Arial"/>
          <w:color w:val="auto"/>
          <w:lang w:bidi="ar-SA"/>
        </w:rPr>
      </w:pPr>
      <w:r w:rsidRPr="00085A08">
        <w:lastRenderedPageBreak/>
        <w:t xml:space="preserve">changes in the political, social, economic or infrastructure environment, including as a result of military conflict, social unrest and </w:t>
      </w:r>
      <w:r w:rsidRPr="00085A08">
        <w:rPr>
          <w:rFonts w:asciiTheme="minorHAnsi" w:hAnsiTheme="minorHAnsi"/>
        </w:rPr>
        <w:t>or terrorist activities, economic turmoil, as well as natural events such as severe weather, health risks, epidemics, earthquakes,</w:t>
      </w:r>
      <w:r w:rsidRPr="00085A08">
        <w:t xml:space="preserve"> </w:t>
      </w:r>
      <w:r w:rsidRPr="00085A08">
        <w:rPr>
          <w:rFonts w:asciiTheme="minorHAnsi" w:hAnsiTheme="minorHAnsi"/>
        </w:rPr>
        <w:t>tsunami (in particular, the aftermath of the events in Japan), volcano eruptions or other acts of nature in, or affecting, the countries</w:t>
      </w:r>
      <w:r w:rsidRPr="00085A08">
        <w:t xml:space="preserve"> </w:t>
      </w:r>
      <w:r w:rsidRPr="00085A08">
        <w:rPr>
          <w:rFonts w:asciiTheme="minorHAnsi" w:hAnsiTheme="minorHAnsi"/>
        </w:rPr>
        <w:t>in which we, our key customers or our suppliers, operate and causing unplanned disruptions in our supply chain and reduced or</w:t>
      </w:r>
      <w:r w:rsidRPr="00085A08">
        <w:t xml:space="preserve"> </w:t>
      </w:r>
      <w:r w:rsidRPr="00085A08">
        <w:rPr>
          <w:rFonts w:asciiTheme="minorHAnsi" w:hAnsiTheme="minorHAnsi"/>
        </w:rPr>
        <w:t>delayed demand from our customers.</w:t>
      </w:r>
      <w:r w:rsidR="00890467" w:rsidRPr="003E335B">
        <w:rPr>
          <w:rFonts w:asciiTheme="minorHAnsi" w:hAnsiTheme="minorHAnsi" w:cs="Arial"/>
        </w:rPr>
        <w:t xml:space="preserve"> </w:t>
      </w:r>
    </w:p>
    <w:p w:rsidR="008733F0" w:rsidRDefault="00890467">
      <w:pPr>
        <w:pStyle w:val="BlockTextIndent"/>
        <w:spacing w:after="100" w:line="240" w:lineRule="auto"/>
        <w:ind w:firstLine="0"/>
        <w:rPr>
          <w:rFonts w:cs="Arial"/>
          <w:szCs w:val="20"/>
        </w:rPr>
      </w:pPr>
      <w:r w:rsidRPr="003E335B">
        <w:rPr>
          <w:rFonts w:eastAsia="Calibri" w:cs="Arial"/>
          <w:i/>
          <w:szCs w:val="20"/>
          <w:lang w:val="en-US"/>
        </w:rPr>
        <w:t>Such forward-looking statements are subject to various risks and uncertainties, which may cause actual results and performance of our business to differ materially and adversely from the forward-looking statements. Certain forward-looking statements can be identified by the use of forward-looking terminology, such as “believes”, “expects”, “may”, “are expected to”, “should”, “would be”, “seeks” or “anticipates” or similar expressions or the negative thereof or other variations thereof or comparable terminology, or by discussions of strategy, plans or intentions. Some of these risk factors are set forth and are discussed in more detail in</w:t>
      </w:r>
      <w:r w:rsidR="00BD5792" w:rsidRPr="003E335B">
        <w:rPr>
          <w:rFonts w:eastAsia="Calibri" w:cs="Arial"/>
          <w:i/>
          <w:szCs w:val="20"/>
          <w:lang w:val="en-US"/>
        </w:rPr>
        <w:t xml:space="preserve"> the Risk Management and Internal Control section of the Report of the Managing Board included in our </w:t>
      </w:r>
      <w:r w:rsidR="000B001B">
        <w:rPr>
          <w:rFonts w:eastAsia="Calibri" w:cs="Arial"/>
          <w:i/>
          <w:szCs w:val="20"/>
          <w:lang w:val="en-US"/>
        </w:rPr>
        <w:t>2010 A</w:t>
      </w:r>
      <w:r w:rsidR="00BD5792" w:rsidRPr="003E335B">
        <w:rPr>
          <w:rFonts w:eastAsia="Calibri" w:cs="Arial"/>
          <w:i/>
          <w:szCs w:val="20"/>
          <w:lang w:val="en-US"/>
        </w:rPr>
        <w:t>nnual Report.</w:t>
      </w:r>
      <w:r w:rsidRPr="003E335B">
        <w:rPr>
          <w:rFonts w:eastAsia="Calibri" w:cs="Arial"/>
          <w:i/>
          <w:szCs w:val="20"/>
          <w:lang w:val="en-US"/>
        </w:rPr>
        <w:t xml:space="preserve"> Should one or more of these risks or uncertainties materialize, or should underlying assumptions prove incorrect, actual results may vary materially from those described in this </w:t>
      </w:r>
      <w:r w:rsidR="00BD5792" w:rsidRPr="003E335B">
        <w:rPr>
          <w:rFonts w:eastAsia="Calibri" w:cs="Arial"/>
          <w:i/>
          <w:szCs w:val="20"/>
          <w:lang w:val="en-US"/>
        </w:rPr>
        <w:t>Semi-Annual Report</w:t>
      </w:r>
      <w:r w:rsidRPr="003E335B">
        <w:rPr>
          <w:rFonts w:eastAsia="Calibri" w:cs="Arial"/>
          <w:i/>
          <w:szCs w:val="20"/>
          <w:lang w:val="en-US"/>
        </w:rPr>
        <w:t xml:space="preserve"> as anticipated, believed or expected. We do not intend, and do not assume any obligation, to update any industry information or forward-looking statements set forth in this </w:t>
      </w:r>
      <w:r w:rsidR="00BD5792" w:rsidRPr="003E335B">
        <w:rPr>
          <w:rFonts w:eastAsia="Calibri" w:cs="Arial"/>
          <w:i/>
          <w:szCs w:val="20"/>
          <w:lang w:val="en-US"/>
        </w:rPr>
        <w:t>report</w:t>
      </w:r>
      <w:r w:rsidRPr="003E335B">
        <w:rPr>
          <w:rFonts w:eastAsia="Calibri" w:cs="Arial"/>
          <w:i/>
          <w:szCs w:val="20"/>
          <w:lang w:val="en-US"/>
        </w:rPr>
        <w:t xml:space="preserve"> to reflect subsequent events or circumstances.</w:t>
      </w:r>
    </w:p>
    <w:p w:rsidR="00F350D5" w:rsidRDefault="00F350D5" w:rsidP="00F350D5">
      <w:pPr>
        <w:spacing w:after="100" w:line="240" w:lineRule="auto"/>
        <w:rPr>
          <w:rFonts w:asciiTheme="minorHAnsi" w:hAnsiTheme="minorHAnsi" w:cs="Arial"/>
          <w:sz w:val="20"/>
          <w:szCs w:val="20"/>
        </w:rPr>
      </w:pPr>
    </w:p>
    <w:p w:rsidR="00F350D5" w:rsidRDefault="00F350D5" w:rsidP="00F350D5">
      <w:pPr>
        <w:spacing w:after="100" w:line="240" w:lineRule="auto"/>
        <w:rPr>
          <w:rFonts w:asciiTheme="minorHAnsi" w:hAnsiTheme="minorHAnsi" w:cs="Arial"/>
          <w:sz w:val="20"/>
          <w:szCs w:val="20"/>
        </w:rPr>
      </w:pPr>
    </w:p>
    <w:p w:rsidR="00F350D5" w:rsidRDefault="00F350D5" w:rsidP="00F350D5">
      <w:pPr>
        <w:spacing w:after="100" w:line="240" w:lineRule="auto"/>
        <w:rPr>
          <w:rFonts w:asciiTheme="minorHAnsi" w:hAnsiTheme="minorHAnsi" w:cs="Arial"/>
          <w:sz w:val="20"/>
          <w:szCs w:val="20"/>
        </w:rPr>
      </w:pPr>
    </w:p>
    <w:p w:rsidR="00F350D5" w:rsidRPr="003E335B" w:rsidRDefault="00F350D5" w:rsidP="00F350D5">
      <w:pPr>
        <w:spacing w:after="100" w:line="240" w:lineRule="auto"/>
        <w:rPr>
          <w:rFonts w:asciiTheme="minorHAnsi" w:hAnsiTheme="minorHAnsi" w:cs="Arial"/>
          <w:sz w:val="20"/>
          <w:szCs w:val="20"/>
        </w:rPr>
        <w:sectPr w:rsidR="00F350D5" w:rsidRPr="003E335B" w:rsidSect="007D1EF2">
          <w:headerReference w:type="default" r:id="rId11"/>
          <w:footerReference w:type="default" r:id="rId12"/>
          <w:pgSz w:w="12240" w:h="15840"/>
          <w:pgMar w:top="1701" w:right="1185" w:bottom="284" w:left="1185" w:header="284" w:footer="284" w:gutter="0"/>
          <w:cols w:space="708"/>
          <w:docGrid w:linePitch="360"/>
        </w:sectPr>
      </w:pPr>
      <w:r>
        <w:rPr>
          <w:rFonts w:asciiTheme="minorHAnsi" w:hAnsiTheme="minorHAnsi" w:cs="Arial"/>
          <w:sz w:val="20"/>
          <w:szCs w:val="20"/>
        </w:rPr>
        <w:t>This management report is dated August 23, 2011.</w:t>
      </w:r>
    </w:p>
    <w:p w:rsidR="00847BCE" w:rsidRPr="003E335B" w:rsidRDefault="00847BCE" w:rsidP="000D70EC">
      <w:pPr>
        <w:pStyle w:val="Title1"/>
        <w:spacing w:before="0" w:after="100" w:line="240" w:lineRule="auto"/>
        <w:rPr>
          <w:rFonts w:asciiTheme="minorHAnsi" w:hAnsiTheme="minorHAnsi"/>
          <w:sz w:val="20"/>
          <w:szCs w:val="20"/>
        </w:rPr>
      </w:pPr>
      <w:bookmarkStart w:id="18" w:name="_Toc300834224"/>
      <w:r w:rsidRPr="003E335B">
        <w:rPr>
          <w:rFonts w:asciiTheme="minorHAnsi" w:hAnsiTheme="minorHAnsi"/>
          <w:sz w:val="20"/>
          <w:szCs w:val="20"/>
        </w:rPr>
        <w:lastRenderedPageBreak/>
        <w:t xml:space="preserve">Interim </w:t>
      </w:r>
      <w:r w:rsidR="005E1E77">
        <w:rPr>
          <w:rFonts w:asciiTheme="minorHAnsi" w:hAnsiTheme="minorHAnsi"/>
          <w:sz w:val="20"/>
          <w:szCs w:val="20"/>
        </w:rPr>
        <w:t>C</w:t>
      </w:r>
      <w:r w:rsidRPr="003E335B">
        <w:rPr>
          <w:rFonts w:asciiTheme="minorHAnsi" w:hAnsiTheme="minorHAnsi"/>
          <w:sz w:val="20"/>
          <w:szCs w:val="20"/>
        </w:rPr>
        <w:t xml:space="preserve">ondensed </w:t>
      </w:r>
      <w:r w:rsidR="005E1E77">
        <w:rPr>
          <w:rFonts w:asciiTheme="minorHAnsi" w:hAnsiTheme="minorHAnsi"/>
          <w:sz w:val="20"/>
          <w:szCs w:val="20"/>
        </w:rPr>
        <w:t>C</w:t>
      </w:r>
      <w:r w:rsidRPr="003E335B">
        <w:rPr>
          <w:rFonts w:asciiTheme="minorHAnsi" w:hAnsiTheme="minorHAnsi"/>
          <w:sz w:val="20"/>
          <w:szCs w:val="20"/>
        </w:rPr>
        <w:t xml:space="preserve">onsolidated </w:t>
      </w:r>
      <w:r w:rsidR="005E1E77">
        <w:rPr>
          <w:rFonts w:asciiTheme="minorHAnsi" w:hAnsiTheme="minorHAnsi"/>
          <w:sz w:val="20"/>
          <w:szCs w:val="20"/>
        </w:rPr>
        <w:t>F</w:t>
      </w:r>
      <w:r w:rsidRPr="003E335B">
        <w:rPr>
          <w:rFonts w:asciiTheme="minorHAnsi" w:hAnsiTheme="minorHAnsi"/>
          <w:sz w:val="20"/>
          <w:szCs w:val="20"/>
        </w:rPr>
        <w:t xml:space="preserve">inancial </w:t>
      </w:r>
      <w:r w:rsidR="005E1E77">
        <w:rPr>
          <w:rFonts w:asciiTheme="minorHAnsi" w:hAnsiTheme="minorHAnsi"/>
          <w:sz w:val="20"/>
          <w:szCs w:val="20"/>
        </w:rPr>
        <w:t>S</w:t>
      </w:r>
      <w:r w:rsidRPr="003E335B">
        <w:rPr>
          <w:rFonts w:asciiTheme="minorHAnsi" w:hAnsiTheme="minorHAnsi"/>
          <w:sz w:val="20"/>
          <w:szCs w:val="20"/>
        </w:rPr>
        <w:t>tatements</w:t>
      </w:r>
      <w:r w:rsidR="005E1E77">
        <w:rPr>
          <w:rFonts w:asciiTheme="minorHAnsi" w:hAnsiTheme="minorHAnsi"/>
          <w:sz w:val="20"/>
          <w:szCs w:val="20"/>
        </w:rPr>
        <w:t xml:space="preserve"> (“Semi-Annual Financial Statements”)</w:t>
      </w:r>
      <w:bookmarkEnd w:id="18"/>
    </w:p>
    <w:p w:rsidR="00847BCE" w:rsidRPr="003E335B" w:rsidRDefault="00847BCE" w:rsidP="000D70EC">
      <w:pPr>
        <w:spacing w:after="100" w:line="240" w:lineRule="auto"/>
        <w:rPr>
          <w:rFonts w:asciiTheme="minorHAnsi" w:hAnsiTheme="minorHAnsi" w:cs="Arial"/>
          <w:sz w:val="20"/>
          <w:szCs w:val="20"/>
        </w:rPr>
      </w:pPr>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 xml:space="preserve">The </w:t>
      </w:r>
      <w:r w:rsidR="005E1E77">
        <w:rPr>
          <w:rFonts w:asciiTheme="minorHAnsi" w:hAnsiTheme="minorHAnsi" w:cs="Arial"/>
          <w:sz w:val="20"/>
          <w:szCs w:val="20"/>
        </w:rPr>
        <w:t>I</w:t>
      </w:r>
      <w:r w:rsidRPr="003E335B">
        <w:rPr>
          <w:rFonts w:asciiTheme="minorHAnsi" w:hAnsiTheme="minorHAnsi" w:cs="Arial"/>
          <w:sz w:val="20"/>
          <w:szCs w:val="20"/>
        </w:rPr>
        <w:t xml:space="preserve">nterim </w:t>
      </w:r>
      <w:r w:rsidR="005E1E77">
        <w:rPr>
          <w:rFonts w:asciiTheme="minorHAnsi" w:hAnsiTheme="minorHAnsi" w:cs="Arial"/>
          <w:sz w:val="20"/>
          <w:szCs w:val="20"/>
        </w:rPr>
        <w:t>C</w:t>
      </w:r>
      <w:r w:rsidRPr="003E335B">
        <w:rPr>
          <w:rFonts w:asciiTheme="minorHAnsi" w:hAnsiTheme="minorHAnsi" w:cs="Arial"/>
          <w:sz w:val="20"/>
          <w:szCs w:val="20"/>
        </w:rPr>
        <w:t xml:space="preserve">ondensed </w:t>
      </w:r>
      <w:r w:rsidR="005E1E77">
        <w:rPr>
          <w:rFonts w:asciiTheme="minorHAnsi" w:hAnsiTheme="minorHAnsi" w:cs="Arial"/>
          <w:sz w:val="20"/>
          <w:szCs w:val="20"/>
        </w:rPr>
        <w:t>C</w:t>
      </w:r>
      <w:r w:rsidRPr="003E335B">
        <w:rPr>
          <w:rFonts w:asciiTheme="minorHAnsi" w:hAnsiTheme="minorHAnsi" w:cs="Arial"/>
          <w:sz w:val="20"/>
          <w:szCs w:val="20"/>
        </w:rPr>
        <w:t xml:space="preserve">onsolidated </w:t>
      </w:r>
      <w:r w:rsidR="005E1E77">
        <w:rPr>
          <w:rFonts w:asciiTheme="minorHAnsi" w:hAnsiTheme="minorHAnsi" w:cs="Arial"/>
          <w:sz w:val="20"/>
          <w:szCs w:val="20"/>
        </w:rPr>
        <w:t>F</w:t>
      </w:r>
      <w:r w:rsidRPr="003E335B">
        <w:rPr>
          <w:rFonts w:asciiTheme="minorHAnsi" w:hAnsiTheme="minorHAnsi" w:cs="Arial"/>
          <w:sz w:val="20"/>
          <w:szCs w:val="20"/>
        </w:rPr>
        <w:t xml:space="preserve">inancial </w:t>
      </w:r>
      <w:r w:rsidR="005E1E77">
        <w:rPr>
          <w:rFonts w:asciiTheme="minorHAnsi" w:hAnsiTheme="minorHAnsi" w:cs="Arial"/>
          <w:sz w:val="20"/>
          <w:szCs w:val="20"/>
        </w:rPr>
        <w:t>S</w:t>
      </w:r>
      <w:r w:rsidRPr="003E335B">
        <w:rPr>
          <w:rFonts w:asciiTheme="minorHAnsi" w:hAnsiTheme="minorHAnsi" w:cs="Arial"/>
          <w:sz w:val="20"/>
          <w:szCs w:val="20"/>
        </w:rPr>
        <w:t>tatements of STMicroelectronics N.V. and its subsidiaries (“the Group”) for the six months ended Ju</w:t>
      </w:r>
      <w:r w:rsidR="00990F4A" w:rsidRPr="003E335B">
        <w:rPr>
          <w:rFonts w:asciiTheme="minorHAnsi" w:hAnsiTheme="minorHAnsi" w:cs="Arial"/>
          <w:sz w:val="20"/>
          <w:szCs w:val="20"/>
        </w:rPr>
        <w:t>ly</w:t>
      </w:r>
      <w:r w:rsidRPr="003E335B">
        <w:rPr>
          <w:rFonts w:asciiTheme="minorHAnsi" w:hAnsiTheme="minorHAnsi" w:cs="Arial"/>
          <w:sz w:val="20"/>
          <w:szCs w:val="20"/>
        </w:rPr>
        <w:t xml:space="preserve"> 2, 201</w:t>
      </w:r>
      <w:r w:rsidR="00990F4A" w:rsidRPr="003E335B">
        <w:rPr>
          <w:rFonts w:asciiTheme="minorHAnsi" w:hAnsiTheme="minorHAnsi" w:cs="Arial"/>
          <w:sz w:val="20"/>
          <w:szCs w:val="20"/>
        </w:rPr>
        <w:t>1</w:t>
      </w:r>
      <w:r w:rsidRPr="003E335B">
        <w:rPr>
          <w:rFonts w:asciiTheme="minorHAnsi" w:hAnsiTheme="minorHAnsi" w:cs="Arial"/>
          <w:sz w:val="20"/>
          <w:szCs w:val="20"/>
        </w:rPr>
        <w:t xml:space="preserve">, as presented by the Sole Member of the Managing Board, </w:t>
      </w:r>
      <w:r w:rsidR="008F78B4">
        <w:rPr>
          <w:rFonts w:asciiTheme="minorHAnsi" w:hAnsiTheme="minorHAnsi" w:cs="Arial"/>
          <w:sz w:val="20"/>
          <w:szCs w:val="20"/>
        </w:rPr>
        <w:t>have not been audited or reviewed by an external auditor</w:t>
      </w:r>
      <w:r w:rsidRPr="003E335B">
        <w:rPr>
          <w:rFonts w:asciiTheme="minorHAnsi" w:hAnsiTheme="minorHAnsi" w:cs="Arial"/>
          <w:sz w:val="20"/>
          <w:szCs w:val="20"/>
        </w:rPr>
        <w:t>.</w:t>
      </w:r>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This chapter includes:</w:t>
      </w:r>
    </w:p>
    <w:p w:rsidR="008733F0" w:rsidRDefault="00847BCE">
      <w:pPr>
        <w:pStyle w:val="ListParagraph"/>
        <w:numPr>
          <w:ilvl w:val="0"/>
          <w:numId w:val="21"/>
        </w:numPr>
        <w:spacing w:after="100" w:line="240" w:lineRule="auto"/>
        <w:rPr>
          <w:rFonts w:cs="Arial"/>
        </w:rPr>
      </w:pPr>
      <w:r w:rsidRPr="003E335B">
        <w:rPr>
          <w:rFonts w:cs="Arial"/>
        </w:rPr>
        <w:t xml:space="preserve">Interim consolidated income statement for the six months ended </w:t>
      </w:r>
      <w:r w:rsidR="00990F4A" w:rsidRPr="003E335B">
        <w:rPr>
          <w:rFonts w:cs="Arial"/>
        </w:rPr>
        <w:t xml:space="preserve">July 2,2011 and </w:t>
      </w:r>
      <w:r w:rsidRPr="003E335B">
        <w:rPr>
          <w:rFonts w:cs="Arial"/>
        </w:rPr>
        <w:t>June 26, 2010 (unaudited)</w:t>
      </w:r>
    </w:p>
    <w:p w:rsidR="008733F0" w:rsidRDefault="00847BCE">
      <w:pPr>
        <w:pStyle w:val="ListParagraph"/>
        <w:numPr>
          <w:ilvl w:val="0"/>
          <w:numId w:val="21"/>
        </w:numPr>
        <w:spacing w:after="100" w:line="240" w:lineRule="auto"/>
        <w:rPr>
          <w:rFonts w:cs="Arial"/>
        </w:rPr>
      </w:pPr>
      <w:r w:rsidRPr="003E335B">
        <w:rPr>
          <w:rFonts w:cs="Arial"/>
        </w:rPr>
        <w:t xml:space="preserve">Interim consolidated statement of comprehensive income for the six months ended </w:t>
      </w:r>
      <w:r w:rsidR="00990F4A" w:rsidRPr="003E335B">
        <w:rPr>
          <w:rFonts w:cs="Arial"/>
        </w:rPr>
        <w:t xml:space="preserve">July 2, 2011 and </w:t>
      </w:r>
      <w:r w:rsidRPr="003E335B">
        <w:rPr>
          <w:rFonts w:cs="Arial"/>
        </w:rPr>
        <w:t>June 26, 2010 (unaudited)</w:t>
      </w:r>
    </w:p>
    <w:p w:rsidR="008733F0" w:rsidRDefault="00847BCE">
      <w:pPr>
        <w:pStyle w:val="ListParagraph"/>
        <w:numPr>
          <w:ilvl w:val="0"/>
          <w:numId w:val="21"/>
        </w:numPr>
        <w:spacing w:after="100" w:line="240" w:lineRule="auto"/>
        <w:rPr>
          <w:rFonts w:cs="Arial"/>
        </w:rPr>
      </w:pPr>
      <w:r w:rsidRPr="003E335B">
        <w:rPr>
          <w:rFonts w:cs="Arial"/>
        </w:rPr>
        <w:t xml:space="preserve">Interim consolidated statement of financial position as at </w:t>
      </w:r>
      <w:r w:rsidR="00990F4A" w:rsidRPr="003E335B">
        <w:rPr>
          <w:rFonts w:cs="Arial"/>
        </w:rPr>
        <w:t xml:space="preserve">July 2, 2011 </w:t>
      </w:r>
      <w:r w:rsidRPr="003E335B">
        <w:rPr>
          <w:rFonts w:cs="Arial"/>
        </w:rPr>
        <w:t>(unaudited) and December 31, 20</w:t>
      </w:r>
      <w:r w:rsidR="00990F4A" w:rsidRPr="003E335B">
        <w:rPr>
          <w:rFonts w:cs="Arial"/>
        </w:rPr>
        <w:t>10</w:t>
      </w:r>
      <w:r w:rsidRPr="003E335B">
        <w:rPr>
          <w:rFonts w:cs="Arial"/>
        </w:rPr>
        <w:t>.</w:t>
      </w:r>
    </w:p>
    <w:p w:rsidR="008733F0" w:rsidRDefault="00847BCE">
      <w:pPr>
        <w:pStyle w:val="ListParagraph"/>
        <w:numPr>
          <w:ilvl w:val="0"/>
          <w:numId w:val="21"/>
        </w:numPr>
        <w:spacing w:after="100" w:line="240" w:lineRule="auto"/>
        <w:rPr>
          <w:rFonts w:cs="Arial"/>
        </w:rPr>
      </w:pPr>
      <w:r w:rsidRPr="003E335B">
        <w:rPr>
          <w:rFonts w:cs="Arial"/>
        </w:rPr>
        <w:t xml:space="preserve">Interim consolidated statement of changes in equity for the six months ended </w:t>
      </w:r>
      <w:r w:rsidR="00923FB4">
        <w:rPr>
          <w:rFonts w:cs="Arial"/>
        </w:rPr>
        <w:t>July 2, 2011</w:t>
      </w:r>
      <w:r w:rsidR="00990F4A" w:rsidRPr="003E335B">
        <w:rPr>
          <w:rFonts w:cs="Arial"/>
        </w:rPr>
        <w:t xml:space="preserve"> and </w:t>
      </w:r>
      <w:r w:rsidRPr="003E335B">
        <w:rPr>
          <w:rFonts w:cs="Arial"/>
        </w:rPr>
        <w:t>June 26, 2010 (unaudited)</w:t>
      </w:r>
    </w:p>
    <w:p w:rsidR="008733F0" w:rsidRDefault="00847BCE">
      <w:pPr>
        <w:pStyle w:val="ListParagraph"/>
        <w:numPr>
          <w:ilvl w:val="0"/>
          <w:numId w:val="21"/>
        </w:numPr>
        <w:spacing w:after="100" w:line="240" w:lineRule="auto"/>
        <w:rPr>
          <w:rFonts w:cs="Arial"/>
        </w:rPr>
      </w:pPr>
      <w:r w:rsidRPr="003E335B">
        <w:rPr>
          <w:rFonts w:cs="Arial"/>
        </w:rPr>
        <w:t xml:space="preserve">Interim consolidated statement of cash flows for the six months ended </w:t>
      </w:r>
      <w:r w:rsidR="00923FB4">
        <w:rPr>
          <w:rFonts w:cs="Arial"/>
        </w:rPr>
        <w:t>July 2, 2011</w:t>
      </w:r>
      <w:r w:rsidR="00990F4A" w:rsidRPr="003E335B">
        <w:rPr>
          <w:rFonts w:cs="Arial"/>
        </w:rPr>
        <w:t xml:space="preserve"> and </w:t>
      </w:r>
      <w:r w:rsidRPr="003E335B">
        <w:rPr>
          <w:rFonts w:cs="Arial"/>
        </w:rPr>
        <w:t>June 26, 2010 (unaudited)</w:t>
      </w:r>
    </w:p>
    <w:p w:rsidR="008733F0" w:rsidRDefault="00847BCE">
      <w:pPr>
        <w:pStyle w:val="ListParagraph"/>
        <w:numPr>
          <w:ilvl w:val="0"/>
          <w:numId w:val="21"/>
        </w:numPr>
        <w:spacing w:after="100" w:line="240" w:lineRule="auto"/>
        <w:rPr>
          <w:rFonts w:cs="Arial"/>
        </w:rPr>
      </w:pPr>
      <w:r w:rsidRPr="003E335B">
        <w:rPr>
          <w:rFonts w:cs="Arial"/>
        </w:rPr>
        <w:t xml:space="preserve">Notes to the </w:t>
      </w:r>
      <w:r w:rsidR="005E1E77">
        <w:rPr>
          <w:rFonts w:cs="Arial"/>
        </w:rPr>
        <w:t>Semi-Annual</w:t>
      </w:r>
      <w:r w:rsidRPr="003E335B">
        <w:rPr>
          <w:rFonts w:cs="Arial"/>
        </w:rPr>
        <w:t xml:space="preserve"> financial statements</w:t>
      </w:r>
      <w:r w:rsidR="00F857DE">
        <w:rPr>
          <w:rFonts w:cs="Arial"/>
        </w:rPr>
        <w:t xml:space="preserve"> (unaudited)</w:t>
      </w:r>
    </w:p>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br w:type="page"/>
      </w:r>
      <w:r w:rsidR="007C2E65" w:rsidRPr="007C2E65">
        <w:rPr>
          <w:rFonts w:asciiTheme="minorHAnsi" w:hAnsiTheme="minorHAnsi" w:cs="Arial"/>
          <w:sz w:val="20"/>
          <w:szCs w:val="20"/>
        </w:rPr>
        <w:fldChar w:fldCharType="begin"/>
      </w:r>
      <w:r w:rsidRPr="003E335B">
        <w:rPr>
          <w:rFonts w:asciiTheme="minorHAnsi" w:hAnsiTheme="minorHAnsi" w:cs="Arial"/>
          <w:sz w:val="20"/>
          <w:szCs w:val="20"/>
        </w:rPr>
        <w:instrText xml:space="preserve"> TOC \o "1-3" \h \z \u </w:instrText>
      </w:r>
      <w:r w:rsidR="007C2E65" w:rsidRPr="007C2E65">
        <w:rPr>
          <w:rFonts w:asciiTheme="minorHAnsi" w:hAnsiTheme="minorHAnsi" w:cs="Arial"/>
          <w:sz w:val="20"/>
          <w:szCs w:val="20"/>
        </w:rPr>
        <w:fldChar w:fldCharType="separate"/>
      </w:r>
    </w:p>
    <w:p w:rsidR="00847BCE" w:rsidRPr="003E335B" w:rsidRDefault="007C2E65" w:rsidP="000D70EC">
      <w:pPr>
        <w:pStyle w:val="Title2"/>
        <w:spacing w:before="0" w:after="100" w:line="240" w:lineRule="auto"/>
        <w:rPr>
          <w:rFonts w:asciiTheme="minorHAnsi" w:hAnsiTheme="minorHAnsi"/>
          <w:sz w:val="20"/>
          <w:szCs w:val="20"/>
        </w:rPr>
      </w:pPr>
      <w:r w:rsidRPr="003E335B">
        <w:rPr>
          <w:rFonts w:asciiTheme="minorHAnsi" w:hAnsiTheme="minorHAnsi"/>
          <w:sz w:val="20"/>
          <w:szCs w:val="20"/>
        </w:rPr>
        <w:lastRenderedPageBreak/>
        <w:fldChar w:fldCharType="end"/>
      </w:r>
      <w:bookmarkStart w:id="19" w:name="_Toc265058910"/>
      <w:bookmarkStart w:id="20" w:name="_Toc258421322"/>
      <w:bookmarkStart w:id="21" w:name="_Toc257898962"/>
      <w:bookmarkStart w:id="22" w:name="_Toc297204165"/>
      <w:bookmarkStart w:id="23" w:name="_Toc300834225"/>
      <w:r w:rsidR="00847BCE" w:rsidRPr="003E335B">
        <w:rPr>
          <w:rFonts w:asciiTheme="minorHAnsi" w:hAnsiTheme="minorHAnsi"/>
          <w:sz w:val="20"/>
          <w:szCs w:val="20"/>
        </w:rPr>
        <w:t>Consolidated income statement</w:t>
      </w:r>
      <w:bookmarkEnd w:id="19"/>
      <w:bookmarkEnd w:id="20"/>
      <w:bookmarkEnd w:id="21"/>
      <w:bookmarkEnd w:id="22"/>
      <w:bookmarkEnd w:id="23"/>
    </w:p>
    <w:tbl>
      <w:tblPr>
        <w:tblW w:w="9990" w:type="dxa"/>
        <w:tblInd w:w="108" w:type="dxa"/>
        <w:tblLook w:val="04A0"/>
      </w:tblPr>
      <w:tblGrid>
        <w:gridCol w:w="6300"/>
        <w:gridCol w:w="1169"/>
        <w:gridCol w:w="1260"/>
        <w:gridCol w:w="1261"/>
      </w:tblGrid>
      <w:tr w:rsidR="00847BCE" w:rsidRPr="003E335B" w:rsidTr="00801700">
        <w:trPr>
          <w:trHeight w:val="255"/>
        </w:trPr>
        <w:tc>
          <w:tcPr>
            <w:tcW w:w="6300" w:type="dxa"/>
            <w:vMerge w:val="restart"/>
            <w:shd w:val="clear" w:color="auto" w:fill="auto"/>
            <w:vAlign w:val="bottom"/>
            <w:hideMark/>
          </w:tcPr>
          <w:p w:rsidR="00847BCE" w:rsidRPr="003E335B" w:rsidRDefault="008679F4" w:rsidP="000D70EC">
            <w:pPr>
              <w:spacing w:after="0" w:afterAutospacing="0" w:line="240" w:lineRule="auto"/>
              <w:jc w:val="both"/>
              <w:rPr>
                <w:rFonts w:asciiTheme="minorHAnsi" w:hAnsiTheme="minorHAnsi" w:cs="Arial"/>
                <w:sz w:val="20"/>
                <w:szCs w:val="20"/>
              </w:rPr>
            </w:pPr>
            <w:r w:rsidRPr="003E335B">
              <w:rPr>
                <w:rFonts w:asciiTheme="minorHAnsi" w:hAnsiTheme="minorHAnsi" w:cs="Arial"/>
                <w:sz w:val="20"/>
                <w:szCs w:val="20"/>
              </w:rPr>
              <w:t>In millions of USD</w:t>
            </w:r>
            <w:r w:rsidR="00847BCE" w:rsidRPr="003E335B">
              <w:rPr>
                <w:rFonts w:asciiTheme="minorHAnsi" w:hAnsiTheme="minorHAnsi" w:cs="Arial"/>
                <w:sz w:val="20"/>
                <w:szCs w:val="20"/>
              </w:rPr>
              <w:t xml:space="preserve"> </w:t>
            </w:r>
          </w:p>
          <w:p w:rsidR="00847BCE" w:rsidRPr="003E335B" w:rsidRDefault="00847BCE" w:rsidP="000D70EC">
            <w:pPr>
              <w:spacing w:after="0" w:afterAutospacing="0" w:line="240" w:lineRule="auto"/>
              <w:jc w:val="both"/>
              <w:rPr>
                <w:rFonts w:asciiTheme="minorHAnsi" w:hAnsiTheme="minorHAnsi" w:cs="Arial"/>
                <w:sz w:val="20"/>
                <w:szCs w:val="20"/>
              </w:rPr>
            </w:pPr>
            <w:r w:rsidRPr="003E335B">
              <w:rPr>
                <w:rFonts w:asciiTheme="minorHAnsi" w:hAnsiTheme="minorHAnsi" w:cs="Arial"/>
                <w:sz w:val="20"/>
                <w:szCs w:val="20"/>
              </w:rPr>
              <w:t>except per share amount</w:t>
            </w:r>
          </w:p>
        </w:tc>
        <w:tc>
          <w:tcPr>
            <w:tcW w:w="1169" w:type="dxa"/>
            <w:vMerge w:val="restart"/>
            <w:shd w:val="clear" w:color="auto" w:fill="auto"/>
            <w:vAlign w:val="bottom"/>
            <w:hideMark/>
          </w:tcPr>
          <w:p w:rsidR="00847BCE" w:rsidRPr="003E335B" w:rsidRDefault="00847BCE" w:rsidP="000D70EC">
            <w:pPr>
              <w:spacing w:after="0" w:afterAutospacing="0" w:line="240" w:lineRule="auto"/>
              <w:jc w:val="center"/>
              <w:rPr>
                <w:rFonts w:asciiTheme="minorHAnsi" w:hAnsiTheme="minorHAnsi" w:cs="Arial"/>
                <w:sz w:val="20"/>
                <w:szCs w:val="20"/>
              </w:rPr>
            </w:pPr>
            <w:r w:rsidRPr="003E335B">
              <w:rPr>
                <w:rFonts w:asciiTheme="minorHAnsi" w:hAnsiTheme="minorHAnsi" w:cs="Arial"/>
                <w:sz w:val="20"/>
                <w:szCs w:val="20"/>
              </w:rPr>
              <w:t>Notes</w:t>
            </w:r>
          </w:p>
        </w:tc>
        <w:tc>
          <w:tcPr>
            <w:tcW w:w="2521" w:type="dxa"/>
            <w:gridSpan w:val="2"/>
            <w:shd w:val="clear" w:color="auto" w:fill="auto"/>
            <w:vAlign w:val="bottom"/>
            <w:hideMark/>
          </w:tcPr>
          <w:p w:rsidR="00847BCE" w:rsidRPr="003E335B" w:rsidRDefault="00847BCE" w:rsidP="000D70EC">
            <w:pPr>
              <w:spacing w:after="0" w:afterAutospacing="0" w:line="240" w:lineRule="auto"/>
              <w:jc w:val="center"/>
              <w:rPr>
                <w:rFonts w:asciiTheme="minorHAnsi" w:hAnsiTheme="minorHAnsi" w:cs="Arial"/>
                <w:sz w:val="20"/>
                <w:szCs w:val="20"/>
              </w:rPr>
            </w:pPr>
            <w:r w:rsidRPr="003E335B">
              <w:rPr>
                <w:rFonts w:asciiTheme="minorHAnsi" w:hAnsiTheme="minorHAnsi" w:cs="Arial"/>
                <w:sz w:val="20"/>
                <w:szCs w:val="20"/>
              </w:rPr>
              <w:t>(unaudited)</w:t>
            </w:r>
          </w:p>
        </w:tc>
      </w:tr>
      <w:tr w:rsidR="00847BCE" w:rsidRPr="003E335B" w:rsidTr="00801700">
        <w:trPr>
          <w:trHeight w:val="255"/>
        </w:trPr>
        <w:tc>
          <w:tcPr>
            <w:tcW w:w="6300" w:type="dxa"/>
            <w:vMerge/>
            <w:shd w:val="clear" w:color="auto" w:fill="auto"/>
            <w:vAlign w:val="center"/>
            <w:hideMark/>
          </w:tcPr>
          <w:p w:rsidR="00847BCE" w:rsidRPr="003E335B" w:rsidRDefault="00847BCE" w:rsidP="000D70EC">
            <w:pPr>
              <w:spacing w:after="0" w:afterAutospacing="0" w:line="240" w:lineRule="auto"/>
              <w:rPr>
                <w:rFonts w:asciiTheme="minorHAnsi" w:hAnsiTheme="minorHAnsi" w:cs="Arial"/>
                <w:sz w:val="20"/>
                <w:szCs w:val="20"/>
              </w:rPr>
            </w:pPr>
          </w:p>
        </w:tc>
        <w:tc>
          <w:tcPr>
            <w:tcW w:w="1169" w:type="dxa"/>
            <w:vMerge/>
            <w:shd w:val="clear" w:color="auto" w:fill="auto"/>
            <w:vAlign w:val="center"/>
            <w:hideMark/>
          </w:tcPr>
          <w:p w:rsidR="00847BCE" w:rsidRPr="003E335B" w:rsidRDefault="00847BCE" w:rsidP="000D70EC">
            <w:pPr>
              <w:spacing w:after="0" w:afterAutospacing="0" w:line="240" w:lineRule="auto"/>
              <w:jc w:val="center"/>
              <w:rPr>
                <w:rFonts w:asciiTheme="minorHAnsi" w:hAnsiTheme="minorHAnsi" w:cs="Arial"/>
                <w:sz w:val="20"/>
                <w:szCs w:val="20"/>
              </w:rPr>
            </w:pPr>
          </w:p>
        </w:tc>
        <w:tc>
          <w:tcPr>
            <w:tcW w:w="2521" w:type="dxa"/>
            <w:gridSpan w:val="2"/>
            <w:tcBorders>
              <w:bottom w:val="single" w:sz="18" w:space="0" w:color="auto"/>
            </w:tcBorders>
            <w:shd w:val="clear" w:color="auto" w:fill="auto"/>
            <w:vAlign w:val="bottom"/>
            <w:hideMark/>
          </w:tcPr>
          <w:p w:rsidR="00847BCE" w:rsidRPr="003E335B" w:rsidRDefault="00847BCE" w:rsidP="000D70EC">
            <w:pPr>
              <w:spacing w:after="0" w:afterAutospacing="0" w:line="240" w:lineRule="auto"/>
              <w:jc w:val="center"/>
              <w:rPr>
                <w:rFonts w:asciiTheme="minorHAnsi" w:hAnsiTheme="minorHAnsi" w:cs="Arial"/>
                <w:sz w:val="20"/>
                <w:szCs w:val="20"/>
              </w:rPr>
            </w:pPr>
            <w:r w:rsidRPr="003E335B">
              <w:rPr>
                <w:rFonts w:asciiTheme="minorHAnsi" w:hAnsiTheme="minorHAnsi" w:cs="Arial"/>
                <w:sz w:val="20"/>
                <w:szCs w:val="20"/>
              </w:rPr>
              <w:t>Six months ended</w:t>
            </w:r>
          </w:p>
        </w:tc>
      </w:tr>
      <w:tr w:rsidR="00990F4A" w:rsidRPr="003E335B" w:rsidTr="00801700">
        <w:trPr>
          <w:trHeight w:val="255"/>
        </w:trPr>
        <w:tc>
          <w:tcPr>
            <w:tcW w:w="6300" w:type="dxa"/>
            <w:vMerge/>
            <w:tcBorders>
              <w:bottom w:val="single" w:sz="18" w:space="0" w:color="auto"/>
            </w:tcBorders>
            <w:shd w:val="clear" w:color="auto" w:fill="auto"/>
            <w:vAlign w:val="center"/>
            <w:hideMark/>
          </w:tcPr>
          <w:p w:rsidR="00990F4A" w:rsidRPr="003E335B" w:rsidRDefault="00990F4A" w:rsidP="000D70EC">
            <w:pPr>
              <w:spacing w:after="0" w:afterAutospacing="0" w:line="240" w:lineRule="auto"/>
              <w:rPr>
                <w:rFonts w:asciiTheme="minorHAnsi" w:hAnsiTheme="minorHAnsi" w:cs="Arial"/>
                <w:sz w:val="20"/>
                <w:szCs w:val="20"/>
              </w:rPr>
            </w:pPr>
          </w:p>
        </w:tc>
        <w:tc>
          <w:tcPr>
            <w:tcW w:w="1169" w:type="dxa"/>
            <w:vMerge/>
            <w:tcBorders>
              <w:bottom w:val="single" w:sz="18" w:space="0" w:color="auto"/>
            </w:tcBorders>
            <w:shd w:val="clear" w:color="auto" w:fill="auto"/>
            <w:vAlign w:val="center"/>
            <w:hideMark/>
          </w:tcPr>
          <w:p w:rsidR="00990F4A" w:rsidRPr="003E335B" w:rsidRDefault="00990F4A" w:rsidP="000D70EC">
            <w:pPr>
              <w:spacing w:after="0" w:afterAutospacing="0" w:line="240" w:lineRule="auto"/>
              <w:jc w:val="center"/>
              <w:rPr>
                <w:rFonts w:asciiTheme="minorHAnsi" w:hAnsiTheme="minorHAnsi" w:cs="Arial"/>
                <w:sz w:val="20"/>
                <w:szCs w:val="20"/>
              </w:rPr>
            </w:pPr>
          </w:p>
        </w:tc>
        <w:tc>
          <w:tcPr>
            <w:tcW w:w="1260" w:type="dxa"/>
            <w:tcBorders>
              <w:top w:val="single" w:sz="18" w:space="0" w:color="auto"/>
              <w:bottom w:val="single" w:sz="18" w:space="0" w:color="auto"/>
            </w:tcBorders>
            <w:shd w:val="clear" w:color="auto" w:fill="auto"/>
            <w:vAlign w:val="bottom"/>
            <w:hideMark/>
          </w:tcPr>
          <w:p w:rsidR="00990F4A" w:rsidRPr="003E335B" w:rsidRDefault="00990F4A" w:rsidP="000D70EC">
            <w:pPr>
              <w:spacing w:after="0" w:afterAutospacing="0" w:line="240" w:lineRule="auto"/>
              <w:jc w:val="center"/>
              <w:rPr>
                <w:rFonts w:asciiTheme="minorHAnsi" w:hAnsiTheme="minorHAnsi" w:cs="Arial"/>
                <w:sz w:val="20"/>
                <w:szCs w:val="20"/>
              </w:rPr>
            </w:pPr>
            <w:r w:rsidRPr="003E335B">
              <w:rPr>
                <w:rFonts w:asciiTheme="minorHAnsi" w:hAnsiTheme="minorHAnsi" w:cs="Arial"/>
                <w:sz w:val="20"/>
                <w:szCs w:val="20"/>
              </w:rPr>
              <w:t>July 2, 201</w:t>
            </w:r>
            <w:r w:rsidR="007E6F93" w:rsidRPr="003E335B">
              <w:rPr>
                <w:rFonts w:asciiTheme="minorHAnsi" w:hAnsiTheme="minorHAnsi" w:cs="Arial"/>
                <w:sz w:val="20"/>
                <w:szCs w:val="20"/>
              </w:rPr>
              <w:t>1</w:t>
            </w:r>
          </w:p>
        </w:tc>
        <w:tc>
          <w:tcPr>
            <w:tcW w:w="1261" w:type="dxa"/>
            <w:tcBorders>
              <w:top w:val="single" w:sz="18" w:space="0" w:color="auto"/>
              <w:bottom w:val="single" w:sz="18" w:space="0" w:color="auto"/>
            </w:tcBorders>
            <w:shd w:val="clear" w:color="auto" w:fill="auto"/>
            <w:vAlign w:val="bottom"/>
            <w:hideMark/>
          </w:tcPr>
          <w:p w:rsidR="00990F4A" w:rsidRPr="003E335B" w:rsidRDefault="00990F4A" w:rsidP="000D70EC">
            <w:pPr>
              <w:spacing w:after="0" w:afterAutospacing="0" w:line="240" w:lineRule="auto"/>
              <w:jc w:val="center"/>
              <w:rPr>
                <w:rFonts w:asciiTheme="minorHAnsi" w:hAnsiTheme="minorHAnsi" w:cs="Arial"/>
                <w:sz w:val="20"/>
                <w:szCs w:val="20"/>
              </w:rPr>
            </w:pPr>
            <w:r w:rsidRPr="003E335B">
              <w:rPr>
                <w:rFonts w:asciiTheme="minorHAnsi" w:hAnsiTheme="minorHAnsi" w:cs="Arial"/>
                <w:sz w:val="20"/>
                <w:szCs w:val="20"/>
              </w:rPr>
              <w:t>June 26, 2010</w:t>
            </w:r>
          </w:p>
        </w:tc>
      </w:tr>
      <w:tr w:rsidR="00990F4A" w:rsidRPr="003E335B" w:rsidTr="00801700">
        <w:trPr>
          <w:trHeight w:val="255"/>
        </w:trPr>
        <w:tc>
          <w:tcPr>
            <w:tcW w:w="6300" w:type="dxa"/>
            <w:tcBorders>
              <w:top w:val="single" w:sz="18" w:space="0" w:color="auto"/>
            </w:tcBorders>
            <w:shd w:val="clear" w:color="auto" w:fill="auto"/>
            <w:vAlign w:val="center"/>
            <w:hideMark/>
          </w:tcPr>
          <w:p w:rsidR="00990F4A" w:rsidRPr="003E335B" w:rsidRDefault="00990F4A"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Sales</w:t>
            </w:r>
          </w:p>
        </w:tc>
        <w:tc>
          <w:tcPr>
            <w:tcW w:w="1169" w:type="dxa"/>
            <w:tcBorders>
              <w:top w:val="single" w:sz="18" w:space="0" w:color="auto"/>
            </w:tcBorders>
            <w:shd w:val="clear" w:color="auto" w:fill="auto"/>
            <w:vAlign w:val="center"/>
          </w:tcPr>
          <w:p w:rsidR="00990F4A" w:rsidRPr="003E335B" w:rsidRDefault="00990F4A" w:rsidP="000D70EC">
            <w:pPr>
              <w:spacing w:after="0" w:afterAutospacing="0" w:line="240" w:lineRule="auto"/>
              <w:jc w:val="center"/>
              <w:rPr>
                <w:rFonts w:asciiTheme="minorHAnsi" w:hAnsiTheme="minorHAnsi" w:cs="Arial"/>
                <w:sz w:val="20"/>
                <w:szCs w:val="20"/>
              </w:rPr>
            </w:pPr>
          </w:p>
        </w:tc>
        <w:tc>
          <w:tcPr>
            <w:tcW w:w="1260" w:type="dxa"/>
            <w:tcBorders>
              <w:top w:val="single" w:sz="18" w:space="0" w:color="auto"/>
            </w:tcBorders>
            <w:shd w:val="clear" w:color="auto" w:fill="auto"/>
            <w:vAlign w:val="center"/>
          </w:tcPr>
          <w:p w:rsidR="00990F4A" w:rsidRPr="003E335B" w:rsidRDefault="00FD3C75"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5,068</w:t>
            </w:r>
          </w:p>
        </w:tc>
        <w:tc>
          <w:tcPr>
            <w:tcW w:w="1261" w:type="dxa"/>
            <w:tcBorders>
              <w:top w:val="single" w:sz="18" w:space="0" w:color="auto"/>
            </w:tcBorders>
            <w:shd w:val="clear" w:color="auto" w:fill="auto"/>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4,818</w:t>
            </w:r>
          </w:p>
        </w:tc>
      </w:tr>
      <w:tr w:rsidR="00990F4A" w:rsidRPr="003E335B" w:rsidTr="00801700">
        <w:trPr>
          <w:trHeight w:val="255"/>
        </w:trPr>
        <w:tc>
          <w:tcPr>
            <w:tcW w:w="6300" w:type="dxa"/>
            <w:shd w:val="clear" w:color="auto" w:fill="B8CCE4" w:themeFill="accent1" w:themeFillTint="66"/>
            <w:vAlign w:val="center"/>
            <w:hideMark/>
          </w:tcPr>
          <w:p w:rsidR="00990F4A" w:rsidRPr="003E335B" w:rsidRDefault="00990F4A"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Other revenues</w:t>
            </w:r>
          </w:p>
        </w:tc>
        <w:tc>
          <w:tcPr>
            <w:tcW w:w="1169" w:type="dxa"/>
            <w:shd w:val="clear" w:color="auto" w:fill="B8CCE4" w:themeFill="accent1" w:themeFillTint="66"/>
            <w:vAlign w:val="center"/>
          </w:tcPr>
          <w:p w:rsidR="00990F4A" w:rsidRPr="003E335B" w:rsidRDefault="00990F4A" w:rsidP="000D70EC">
            <w:pPr>
              <w:spacing w:after="0" w:afterAutospacing="0" w:line="240" w:lineRule="auto"/>
              <w:jc w:val="center"/>
              <w:rPr>
                <w:rFonts w:asciiTheme="minorHAnsi" w:hAnsiTheme="minorHAnsi" w:cs="Arial"/>
                <w:sz w:val="20"/>
                <w:szCs w:val="20"/>
              </w:rPr>
            </w:pPr>
          </w:p>
        </w:tc>
        <w:tc>
          <w:tcPr>
            <w:tcW w:w="1260" w:type="dxa"/>
            <w:tcBorders>
              <w:bottom w:val="single" w:sz="18" w:space="0" w:color="auto"/>
            </w:tcBorders>
            <w:shd w:val="clear" w:color="auto" w:fill="B8CCE4" w:themeFill="accent1" w:themeFillTint="66"/>
            <w:vAlign w:val="center"/>
          </w:tcPr>
          <w:p w:rsidR="00990F4A" w:rsidRPr="003E335B" w:rsidRDefault="00FD3C75"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33</w:t>
            </w:r>
          </w:p>
        </w:tc>
        <w:tc>
          <w:tcPr>
            <w:tcW w:w="1261" w:type="dxa"/>
            <w:tcBorders>
              <w:bottom w:val="single" w:sz="18" w:space="0" w:color="auto"/>
            </w:tcBorders>
            <w:shd w:val="clear" w:color="auto" w:fill="B8CCE4" w:themeFill="accent1" w:themeFillTint="66"/>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38</w:t>
            </w:r>
          </w:p>
        </w:tc>
      </w:tr>
      <w:tr w:rsidR="00990F4A" w:rsidRPr="003E335B" w:rsidTr="00801700">
        <w:trPr>
          <w:trHeight w:val="255"/>
        </w:trPr>
        <w:tc>
          <w:tcPr>
            <w:tcW w:w="6300" w:type="dxa"/>
            <w:shd w:val="clear" w:color="auto" w:fill="auto"/>
            <w:vAlign w:val="center"/>
            <w:hideMark/>
          </w:tcPr>
          <w:p w:rsidR="00990F4A" w:rsidRPr="003E335B" w:rsidRDefault="00990F4A"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Total revenues</w:t>
            </w:r>
          </w:p>
        </w:tc>
        <w:tc>
          <w:tcPr>
            <w:tcW w:w="1169" w:type="dxa"/>
            <w:shd w:val="clear" w:color="auto" w:fill="auto"/>
            <w:vAlign w:val="center"/>
          </w:tcPr>
          <w:p w:rsidR="00990F4A" w:rsidRPr="00E254DE" w:rsidRDefault="0090791A" w:rsidP="000D70EC">
            <w:pPr>
              <w:spacing w:after="0" w:afterAutospacing="0" w:line="240" w:lineRule="auto"/>
              <w:jc w:val="center"/>
              <w:rPr>
                <w:rFonts w:asciiTheme="minorHAnsi" w:hAnsiTheme="minorHAnsi" w:cs="Arial"/>
                <w:b/>
                <w:sz w:val="20"/>
                <w:szCs w:val="20"/>
              </w:rPr>
            </w:pPr>
            <w:r>
              <w:rPr>
                <w:rFonts w:asciiTheme="minorHAnsi" w:hAnsiTheme="minorHAnsi" w:cs="Arial"/>
                <w:b/>
                <w:sz w:val="20"/>
                <w:szCs w:val="20"/>
              </w:rPr>
              <w:t>5</w:t>
            </w:r>
          </w:p>
        </w:tc>
        <w:tc>
          <w:tcPr>
            <w:tcW w:w="1260" w:type="dxa"/>
            <w:tcBorders>
              <w:top w:val="single" w:sz="18" w:space="0" w:color="auto"/>
            </w:tcBorders>
            <w:shd w:val="clear" w:color="auto" w:fill="auto"/>
            <w:vAlign w:val="center"/>
          </w:tcPr>
          <w:p w:rsidR="00990F4A" w:rsidRPr="003E335B" w:rsidRDefault="00FD3C75"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5,101</w:t>
            </w:r>
          </w:p>
        </w:tc>
        <w:tc>
          <w:tcPr>
            <w:tcW w:w="1261" w:type="dxa"/>
            <w:tcBorders>
              <w:top w:val="single" w:sz="18" w:space="0" w:color="auto"/>
            </w:tcBorders>
            <w:shd w:val="clear" w:color="auto" w:fill="auto"/>
            <w:vAlign w:val="center"/>
            <w:hideMark/>
          </w:tcPr>
          <w:p w:rsidR="00990F4A" w:rsidRPr="003E335B" w:rsidRDefault="00990F4A"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4,856</w:t>
            </w:r>
          </w:p>
        </w:tc>
      </w:tr>
      <w:tr w:rsidR="00990F4A" w:rsidRPr="003E335B" w:rsidTr="00801700">
        <w:trPr>
          <w:trHeight w:val="255"/>
        </w:trPr>
        <w:tc>
          <w:tcPr>
            <w:tcW w:w="6300" w:type="dxa"/>
            <w:shd w:val="clear" w:color="auto" w:fill="B8CCE4" w:themeFill="accent1" w:themeFillTint="66"/>
            <w:vAlign w:val="center"/>
            <w:hideMark/>
          </w:tcPr>
          <w:p w:rsidR="00990F4A" w:rsidRPr="003E335B" w:rsidRDefault="00990F4A"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Cost of sales</w:t>
            </w:r>
          </w:p>
        </w:tc>
        <w:tc>
          <w:tcPr>
            <w:tcW w:w="1169" w:type="dxa"/>
            <w:shd w:val="clear" w:color="auto" w:fill="B8CCE4" w:themeFill="accent1" w:themeFillTint="66"/>
            <w:vAlign w:val="center"/>
          </w:tcPr>
          <w:p w:rsidR="00990F4A" w:rsidRPr="00E254DE" w:rsidRDefault="0090791A" w:rsidP="000D70EC">
            <w:pPr>
              <w:spacing w:after="0" w:afterAutospacing="0" w:line="240" w:lineRule="auto"/>
              <w:jc w:val="center"/>
              <w:rPr>
                <w:rFonts w:asciiTheme="minorHAnsi" w:hAnsiTheme="minorHAnsi" w:cs="Arial"/>
                <w:b/>
                <w:sz w:val="20"/>
                <w:szCs w:val="20"/>
              </w:rPr>
            </w:pPr>
            <w:r w:rsidRPr="0090791A">
              <w:rPr>
                <w:rFonts w:asciiTheme="minorHAnsi" w:hAnsiTheme="minorHAnsi" w:cs="Arial"/>
                <w:b/>
                <w:sz w:val="20"/>
                <w:szCs w:val="20"/>
              </w:rPr>
              <w:t>17</w:t>
            </w:r>
          </w:p>
        </w:tc>
        <w:tc>
          <w:tcPr>
            <w:tcW w:w="1260" w:type="dxa"/>
            <w:tcBorders>
              <w:bottom w:val="single" w:sz="18" w:space="0" w:color="auto"/>
            </w:tcBorders>
            <w:shd w:val="clear" w:color="auto" w:fill="B8CCE4" w:themeFill="accent1" w:themeFillTint="66"/>
            <w:vAlign w:val="center"/>
          </w:tcPr>
          <w:p w:rsidR="00990F4A" w:rsidRPr="003E335B" w:rsidRDefault="00FD3C75"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(3,352)</w:t>
            </w:r>
          </w:p>
        </w:tc>
        <w:tc>
          <w:tcPr>
            <w:tcW w:w="1261" w:type="dxa"/>
            <w:tcBorders>
              <w:bottom w:val="single" w:sz="18" w:space="0" w:color="auto"/>
            </w:tcBorders>
            <w:shd w:val="clear" w:color="auto" w:fill="B8CCE4" w:themeFill="accent1" w:themeFillTint="66"/>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(3,178)</w:t>
            </w:r>
          </w:p>
        </w:tc>
      </w:tr>
      <w:tr w:rsidR="00990F4A" w:rsidRPr="003E335B" w:rsidTr="00801700">
        <w:trPr>
          <w:trHeight w:val="255"/>
        </w:trPr>
        <w:tc>
          <w:tcPr>
            <w:tcW w:w="6300" w:type="dxa"/>
            <w:shd w:val="clear" w:color="auto" w:fill="auto"/>
            <w:vAlign w:val="center"/>
            <w:hideMark/>
          </w:tcPr>
          <w:p w:rsidR="00990F4A" w:rsidRPr="003E335B" w:rsidRDefault="00990F4A"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Gross profit</w:t>
            </w:r>
          </w:p>
        </w:tc>
        <w:tc>
          <w:tcPr>
            <w:tcW w:w="1169" w:type="dxa"/>
            <w:shd w:val="clear" w:color="auto" w:fill="auto"/>
            <w:vAlign w:val="center"/>
          </w:tcPr>
          <w:p w:rsidR="00990F4A" w:rsidRPr="00E254DE" w:rsidRDefault="00990F4A" w:rsidP="000D70EC">
            <w:pPr>
              <w:spacing w:after="0" w:afterAutospacing="0" w:line="240" w:lineRule="auto"/>
              <w:jc w:val="center"/>
              <w:rPr>
                <w:rFonts w:asciiTheme="minorHAnsi" w:hAnsiTheme="minorHAnsi" w:cs="Arial"/>
                <w:b/>
                <w:sz w:val="20"/>
                <w:szCs w:val="20"/>
              </w:rPr>
            </w:pPr>
          </w:p>
        </w:tc>
        <w:tc>
          <w:tcPr>
            <w:tcW w:w="1260" w:type="dxa"/>
            <w:tcBorders>
              <w:top w:val="single" w:sz="18" w:space="0" w:color="auto"/>
            </w:tcBorders>
            <w:shd w:val="clear" w:color="auto" w:fill="auto"/>
            <w:vAlign w:val="center"/>
          </w:tcPr>
          <w:p w:rsidR="00990F4A" w:rsidRPr="003E335B" w:rsidRDefault="00FD3C75"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1,749</w:t>
            </w:r>
          </w:p>
        </w:tc>
        <w:tc>
          <w:tcPr>
            <w:tcW w:w="1261" w:type="dxa"/>
            <w:tcBorders>
              <w:top w:val="single" w:sz="18" w:space="0" w:color="auto"/>
            </w:tcBorders>
            <w:shd w:val="clear" w:color="auto" w:fill="auto"/>
            <w:vAlign w:val="center"/>
            <w:hideMark/>
          </w:tcPr>
          <w:p w:rsidR="00990F4A" w:rsidRPr="003E335B" w:rsidRDefault="00990F4A"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1,678</w:t>
            </w:r>
          </w:p>
        </w:tc>
      </w:tr>
      <w:tr w:rsidR="00990F4A" w:rsidRPr="003E335B" w:rsidTr="00801700">
        <w:trPr>
          <w:trHeight w:val="255"/>
        </w:trPr>
        <w:tc>
          <w:tcPr>
            <w:tcW w:w="6300" w:type="dxa"/>
            <w:shd w:val="clear" w:color="auto" w:fill="B8CCE4" w:themeFill="accent1" w:themeFillTint="66"/>
            <w:vAlign w:val="center"/>
            <w:hideMark/>
          </w:tcPr>
          <w:p w:rsidR="00990F4A" w:rsidRPr="003E335B" w:rsidRDefault="00990F4A"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Selling, general and administrative</w:t>
            </w:r>
          </w:p>
        </w:tc>
        <w:tc>
          <w:tcPr>
            <w:tcW w:w="1169" w:type="dxa"/>
            <w:shd w:val="clear" w:color="auto" w:fill="B8CCE4" w:themeFill="accent1" w:themeFillTint="66"/>
            <w:vAlign w:val="center"/>
          </w:tcPr>
          <w:p w:rsidR="00990F4A" w:rsidRPr="00E254DE" w:rsidRDefault="0090791A" w:rsidP="000D70EC">
            <w:pPr>
              <w:spacing w:after="0" w:afterAutospacing="0" w:line="240" w:lineRule="auto"/>
              <w:jc w:val="center"/>
              <w:rPr>
                <w:rFonts w:asciiTheme="minorHAnsi" w:hAnsiTheme="minorHAnsi" w:cs="Arial"/>
                <w:b/>
                <w:sz w:val="20"/>
                <w:szCs w:val="20"/>
              </w:rPr>
            </w:pPr>
            <w:r w:rsidRPr="0090791A">
              <w:rPr>
                <w:rFonts w:asciiTheme="minorHAnsi" w:hAnsiTheme="minorHAnsi" w:cs="Arial"/>
                <w:b/>
                <w:sz w:val="20"/>
                <w:szCs w:val="20"/>
              </w:rPr>
              <w:t>17</w:t>
            </w:r>
          </w:p>
        </w:tc>
        <w:tc>
          <w:tcPr>
            <w:tcW w:w="1260" w:type="dxa"/>
            <w:shd w:val="clear" w:color="auto" w:fill="B8CCE4" w:themeFill="accent1" w:themeFillTint="66"/>
            <w:vAlign w:val="center"/>
          </w:tcPr>
          <w:p w:rsidR="00990F4A" w:rsidRPr="003E335B" w:rsidRDefault="00FD3C75"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(638)</w:t>
            </w:r>
          </w:p>
        </w:tc>
        <w:tc>
          <w:tcPr>
            <w:tcW w:w="1261" w:type="dxa"/>
            <w:shd w:val="clear" w:color="auto" w:fill="B8CCE4" w:themeFill="accent1" w:themeFillTint="66"/>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(584)</w:t>
            </w:r>
          </w:p>
        </w:tc>
      </w:tr>
      <w:tr w:rsidR="00990F4A" w:rsidRPr="003E335B" w:rsidTr="00801700">
        <w:trPr>
          <w:trHeight w:val="255"/>
        </w:trPr>
        <w:tc>
          <w:tcPr>
            <w:tcW w:w="6300" w:type="dxa"/>
            <w:shd w:val="clear" w:color="auto" w:fill="auto"/>
            <w:vAlign w:val="center"/>
            <w:hideMark/>
          </w:tcPr>
          <w:p w:rsidR="00990F4A" w:rsidRPr="003E335B" w:rsidRDefault="00990F4A"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Research and development</w:t>
            </w:r>
          </w:p>
        </w:tc>
        <w:tc>
          <w:tcPr>
            <w:tcW w:w="1169" w:type="dxa"/>
            <w:shd w:val="clear" w:color="auto" w:fill="auto"/>
            <w:vAlign w:val="center"/>
          </w:tcPr>
          <w:p w:rsidR="00990F4A" w:rsidRPr="00E254DE" w:rsidRDefault="0090791A" w:rsidP="000D70EC">
            <w:pPr>
              <w:spacing w:after="0" w:afterAutospacing="0" w:line="240" w:lineRule="auto"/>
              <w:jc w:val="center"/>
              <w:rPr>
                <w:rFonts w:asciiTheme="minorHAnsi" w:hAnsiTheme="minorHAnsi" w:cs="Arial"/>
                <w:b/>
                <w:sz w:val="20"/>
                <w:szCs w:val="20"/>
              </w:rPr>
            </w:pPr>
            <w:r w:rsidRPr="0090791A">
              <w:rPr>
                <w:rFonts w:asciiTheme="minorHAnsi" w:hAnsiTheme="minorHAnsi" w:cs="Arial"/>
                <w:b/>
                <w:sz w:val="20"/>
                <w:szCs w:val="20"/>
              </w:rPr>
              <w:t>17</w:t>
            </w:r>
          </w:p>
        </w:tc>
        <w:tc>
          <w:tcPr>
            <w:tcW w:w="1260" w:type="dxa"/>
            <w:shd w:val="clear" w:color="auto" w:fill="auto"/>
            <w:vAlign w:val="center"/>
          </w:tcPr>
          <w:p w:rsidR="00990F4A" w:rsidRPr="003E335B" w:rsidRDefault="00FD3C75"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(931)</w:t>
            </w:r>
          </w:p>
        </w:tc>
        <w:tc>
          <w:tcPr>
            <w:tcW w:w="1261" w:type="dxa"/>
            <w:shd w:val="clear" w:color="auto" w:fill="auto"/>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(940)</w:t>
            </w:r>
          </w:p>
        </w:tc>
      </w:tr>
      <w:tr w:rsidR="00990F4A" w:rsidRPr="003E335B" w:rsidTr="00801700">
        <w:trPr>
          <w:trHeight w:val="255"/>
        </w:trPr>
        <w:tc>
          <w:tcPr>
            <w:tcW w:w="6300" w:type="dxa"/>
            <w:shd w:val="clear" w:color="auto" w:fill="B8CCE4" w:themeFill="accent1" w:themeFillTint="66"/>
            <w:vAlign w:val="center"/>
            <w:hideMark/>
          </w:tcPr>
          <w:p w:rsidR="00990F4A" w:rsidRPr="003E335B" w:rsidRDefault="00990F4A"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Other income</w:t>
            </w:r>
          </w:p>
        </w:tc>
        <w:tc>
          <w:tcPr>
            <w:tcW w:w="1169" w:type="dxa"/>
            <w:shd w:val="clear" w:color="auto" w:fill="B8CCE4" w:themeFill="accent1" w:themeFillTint="66"/>
            <w:vAlign w:val="center"/>
          </w:tcPr>
          <w:p w:rsidR="00990F4A" w:rsidRPr="00E254DE" w:rsidRDefault="0090791A" w:rsidP="000D70EC">
            <w:pPr>
              <w:spacing w:after="0" w:afterAutospacing="0" w:line="240" w:lineRule="auto"/>
              <w:jc w:val="center"/>
              <w:rPr>
                <w:rFonts w:asciiTheme="minorHAnsi" w:hAnsiTheme="minorHAnsi" w:cs="Arial"/>
                <w:b/>
                <w:sz w:val="20"/>
                <w:szCs w:val="20"/>
              </w:rPr>
            </w:pPr>
            <w:r w:rsidRPr="0090791A">
              <w:rPr>
                <w:rFonts w:asciiTheme="minorHAnsi" w:hAnsiTheme="minorHAnsi" w:cs="Arial"/>
                <w:b/>
                <w:sz w:val="20"/>
                <w:szCs w:val="20"/>
              </w:rPr>
              <w:t>18</w:t>
            </w:r>
          </w:p>
        </w:tc>
        <w:tc>
          <w:tcPr>
            <w:tcW w:w="1260" w:type="dxa"/>
            <w:shd w:val="clear" w:color="auto" w:fill="B8CCE4" w:themeFill="accent1" w:themeFillTint="66"/>
            <w:vAlign w:val="center"/>
          </w:tcPr>
          <w:p w:rsidR="00990F4A" w:rsidRPr="003E335B" w:rsidRDefault="00FD3C75" w:rsidP="002D10BE">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w:t>
            </w:r>
            <w:r w:rsidR="002D10BE">
              <w:rPr>
                <w:rFonts w:asciiTheme="minorHAnsi" w:hAnsiTheme="minorHAnsi" w:cs="Arial"/>
                <w:sz w:val="20"/>
                <w:szCs w:val="20"/>
              </w:rPr>
              <w:t>38</w:t>
            </w:r>
          </w:p>
        </w:tc>
        <w:tc>
          <w:tcPr>
            <w:tcW w:w="1261" w:type="dxa"/>
            <w:shd w:val="clear" w:color="auto" w:fill="B8CCE4" w:themeFill="accent1" w:themeFillTint="66"/>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55</w:t>
            </w:r>
          </w:p>
        </w:tc>
      </w:tr>
      <w:tr w:rsidR="00990F4A" w:rsidRPr="003E335B" w:rsidTr="00801700">
        <w:trPr>
          <w:trHeight w:val="255"/>
        </w:trPr>
        <w:tc>
          <w:tcPr>
            <w:tcW w:w="6300" w:type="dxa"/>
            <w:shd w:val="clear" w:color="auto" w:fill="auto"/>
            <w:vAlign w:val="center"/>
            <w:hideMark/>
          </w:tcPr>
          <w:p w:rsidR="00990F4A" w:rsidRPr="003E335B" w:rsidRDefault="00990F4A"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Other expenses</w:t>
            </w:r>
          </w:p>
        </w:tc>
        <w:tc>
          <w:tcPr>
            <w:tcW w:w="1169" w:type="dxa"/>
            <w:shd w:val="clear" w:color="auto" w:fill="auto"/>
            <w:vAlign w:val="center"/>
          </w:tcPr>
          <w:p w:rsidR="00990F4A" w:rsidRPr="00E254DE" w:rsidRDefault="0090791A" w:rsidP="000D70EC">
            <w:pPr>
              <w:spacing w:after="0" w:afterAutospacing="0" w:line="240" w:lineRule="auto"/>
              <w:jc w:val="center"/>
              <w:rPr>
                <w:rFonts w:asciiTheme="minorHAnsi" w:hAnsiTheme="minorHAnsi" w:cs="Arial"/>
                <w:b/>
                <w:sz w:val="20"/>
                <w:szCs w:val="20"/>
              </w:rPr>
            </w:pPr>
            <w:r w:rsidRPr="0090791A">
              <w:rPr>
                <w:rFonts w:asciiTheme="minorHAnsi" w:hAnsiTheme="minorHAnsi" w:cs="Arial"/>
                <w:b/>
                <w:sz w:val="20"/>
                <w:szCs w:val="20"/>
              </w:rPr>
              <w:t>18</w:t>
            </w:r>
          </w:p>
        </w:tc>
        <w:tc>
          <w:tcPr>
            <w:tcW w:w="1260" w:type="dxa"/>
            <w:tcBorders>
              <w:bottom w:val="single" w:sz="18" w:space="0" w:color="auto"/>
            </w:tcBorders>
            <w:shd w:val="clear" w:color="auto" w:fill="auto"/>
            <w:vAlign w:val="center"/>
          </w:tcPr>
          <w:p w:rsidR="00990F4A" w:rsidRPr="003E335B" w:rsidRDefault="00FD3C75"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(24)</w:t>
            </w:r>
          </w:p>
        </w:tc>
        <w:tc>
          <w:tcPr>
            <w:tcW w:w="1261" w:type="dxa"/>
            <w:tcBorders>
              <w:bottom w:val="single" w:sz="18" w:space="0" w:color="auto"/>
            </w:tcBorders>
            <w:shd w:val="clear" w:color="auto" w:fill="auto"/>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(102)</w:t>
            </w:r>
          </w:p>
        </w:tc>
      </w:tr>
      <w:tr w:rsidR="00990F4A" w:rsidRPr="003E335B" w:rsidTr="00801700">
        <w:trPr>
          <w:trHeight w:val="255"/>
        </w:trPr>
        <w:tc>
          <w:tcPr>
            <w:tcW w:w="6300" w:type="dxa"/>
            <w:shd w:val="clear" w:color="auto" w:fill="B8CCE4" w:themeFill="accent1" w:themeFillTint="66"/>
            <w:vAlign w:val="center"/>
            <w:hideMark/>
          </w:tcPr>
          <w:p w:rsidR="00990F4A" w:rsidRPr="003E335B" w:rsidRDefault="00990F4A"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Operating profit</w:t>
            </w:r>
          </w:p>
        </w:tc>
        <w:tc>
          <w:tcPr>
            <w:tcW w:w="1169" w:type="dxa"/>
            <w:shd w:val="clear" w:color="auto" w:fill="B8CCE4" w:themeFill="accent1" w:themeFillTint="66"/>
            <w:vAlign w:val="center"/>
          </w:tcPr>
          <w:p w:rsidR="00990F4A" w:rsidRPr="00E254DE" w:rsidRDefault="00990F4A" w:rsidP="000D70EC">
            <w:pPr>
              <w:spacing w:after="0" w:afterAutospacing="0" w:line="240" w:lineRule="auto"/>
              <w:jc w:val="center"/>
              <w:rPr>
                <w:rFonts w:asciiTheme="minorHAnsi" w:hAnsiTheme="minorHAnsi" w:cs="Arial"/>
                <w:b/>
                <w:sz w:val="20"/>
                <w:szCs w:val="20"/>
              </w:rPr>
            </w:pPr>
          </w:p>
        </w:tc>
        <w:tc>
          <w:tcPr>
            <w:tcW w:w="1260" w:type="dxa"/>
            <w:tcBorders>
              <w:top w:val="single" w:sz="18" w:space="0" w:color="auto"/>
            </w:tcBorders>
            <w:shd w:val="clear" w:color="auto" w:fill="B8CCE4" w:themeFill="accent1" w:themeFillTint="66"/>
            <w:vAlign w:val="center"/>
          </w:tcPr>
          <w:p w:rsidR="00990F4A" w:rsidRPr="003E335B" w:rsidRDefault="00BF48C5" w:rsidP="00BF48C5">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29</w:t>
            </w:r>
            <w:r>
              <w:rPr>
                <w:rFonts w:asciiTheme="minorHAnsi" w:hAnsiTheme="minorHAnsi" w:cs="Arial"/>
                <w:b/>
                <w:sz w:val="20"/>
                <w:szCs w:val="20"/>
              </w:rPr>
              <w:t>4</w:t>
            </w:r>
          </w:p>
        </w:tc>
        <w:tc>
          <w:tcPr>
            <w:tcW w:w="1261" w:type="dxa"/>
            <w:tcBorders>
              <w:top w:val="single" w:sz="18" w:space="0" w:color="auto"/>
            </w:tcBorders>
            <w:shd w:val="clear" w:color="auto" w:fill="B8CCE4" w:themeFill="accent1" w:themeFillTint="66"/>
            <w:vAlign w:val="center"/>
            <w:hideMark/>
          </w:tcPr>
          <w:p w:rsidR="00990F4A" w:rsidRPr="003E335B" w:rsidRDefault="00990F4A"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107</w:t>
            </w:r>
          </w:p>
        </w:tc>
      </w:tr>
      <w:tr w:rsidR="00990F4A" w:rsidRPr="003E335B" w:rsidTr="00801700">
        <w:trPr>
          <w:trHeight w:val="255"/>
        </w:trPr>
        <w:tc>
          <w:tcPr>
            <w:tcW w:w="6300" w:type="dxa"/>
            <w:shd w:val="clear" w:color="auto" w:fill="auto"/>
            <w:vAlign w:val="center"/>
            <w:hideMark/>
          </w:tcPr>
          <w:p w:rsidR="00990F4A" w:rsidRPr="003E335B" w:rsidRDefault="00990F4A"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 xml:space="preserve">Impairment </w:t>
            </w:r>
            <w:r w:rsidR="00FD3C75" w:rsidRPr="003E335B">
              <w:rPr>
                <w:rFonts w:asciiTheme="minorHAnsi" w:hAnsiTheme="minorHAnsi" w:cs="Arial"/>
                <w:sz w:val="20"/>
                <w:szCs w:val="20"/>
              </w:rPr>
              <w:t>charge and realized gain on financial assets</w:t>
            </w:r>
          </w:p>
        </w:tc>
        <w:tc>
          <w:tcPr>
            <w:tcW w:w="1169" w:type="dxa"/>
            <w:shd w:val="clear" w:color="auto" w:fill="auto"/>
            <w:vAlign w:val="center"/>
          </w:tcPr>
          <w:p w:rsidR="00990F4A" w:rsidRPr="00E254DE" w:rsidRDefault="0090791A" w:rsidP="000D70EC">
            <w:pPr>
              <w:spacing w:after="0" w:afterAutospacing="0" w:line="240" w:lineRule="auto"/>
              <w:jc w:val="center"/>
              <w:rPr>
                <w:rFonts w:asciiTheme="minorHAnsi" w:hAnsiTheme="minorHAnsi" w:cs="Arial"/>
                <w:b/>
                <w:sz w:val="20"/>
                <w:szCs w:val="20"/>
              </w:rPr>
            </w:pPr>
            <w:r w:rsidRPr="0090791A">
              <w:rPr>
                <w:rFonts w:asciiTheme="minorHAnsi" w:hAnsiTheme="minorHAnsi" w:cs="Arial"/>
                <w:b/>
                <w:sz w:val="20"/>
                <w:szCs w:val="20"/>
              </w:rPr>
              <w:t>10</w:t>
            </w:r>
          </w:p>
        </w:tc>
        <w:tc>
          <w:tcPr>
            <w:tcW w:w="1260" w:type="dxa"/>
            <w:shd w:val="clear" w:color="auto" w:fill="auto"/>
            <w:vAlign w:val="center"/>
          </w:tcPr>
          <w:p w:rsidR="00990F4A" w:rsidRPr="003E335B" w:rsidRDefault="00FD3C75"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318</w:t>
            </w:r>
          </w:p>
        </w:tc>
        <w:tc>
          <w:tcPr>
            <w:tcW w:w="1261" w:type="dxa"/>
            <w:shd w:val="clear" w:color="auto" w:fill="auto"/>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w:t>
            </w:r>
          </w:p>
        </w:tc>
      </w:tr>
      <w:tr w:rsidR="00990F4A" w:rsidRPr="003E335B" w:rsidTr="00801700">
        <w:trPr>
          <w:trHeight w:val="255"/>
        </w:trPr>
        <w:tc>
          <w:tcPr>
            <w:tcW w:w="6300" w:type="dxa"/>
            <w:shd w:val="clear" w:color="auto" w:fill="B8CCE4" w:themeFill="accent1" w:themeFillTint="66"/>
            <w:vAlign w:val="center"/>
            <w:hideMark/>
          </w:tcPr>
          <w:p w:rsidR="00990F4A" w:rsidRPr="003E335B" w:rsidRDefault="00990F4A"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Finance income</w:t>
            </w:r>
          </w:p>
        </w:tc>
        <w:tc>
          <w:tcPr>
            <w:tcW w:w="1169" w:type="dxa"/>
            <w:shd w:val="clear" w:color="auto" w:fill="B8CCE4" w:themeFill="accent1" w:themeFillTint="66"/>
            <w:vAlign w:val="center"/>
          </w:tcPr>
          <w:p w:rsidR="00990F4A" w:rsidRPr="00E254DE" w:rsidRDefault="00990F4A" w:rsidP="000D70EC">
            <w:pPr>
              <w:spacing w:after="0" w:afterAutospacing="0" w:line="240" w:lineRule="auto"/>
              <w:jc w:val="center"/>
              <w:rPr>
                <w:rFonts w:asciiTheme="minorHAnsi" w:hAnsiTheme="minorHAnsi" w:cs="Arial"/>
                <w:b/>
                <w:sz w:val="20"/>
                <w:szCs w:val="20"/>
              </w:rPr>
            </w:pPr>
          </w:p>
        </w:tc>
        <w:tc>
          <w:tcPr>
            <w:tcW w:w="1260" w:type="dxa"/>
            <w:shd w:val="clear" w:color="auto" w:fill="B8CCE4" w:themeFill="accent1" w:themeFillTint="66"/>
            <w:vAlign w:val="center"/>
          </w:tcPr>
          <w:p w:rsidR="00990F4A" w:rsidRPr="003E335B" w:rsidRDefault="000B001B" w:rsidP="000D70EC">
            <w:pPr>
              <w:spacing w:after="0" w:afterAutospacing="0" w:line="240" w:lineRule="auto"/>
              <w:jc w:val="right"/>
              <w:rPr>
                <w:rFonts w:asciiTheme="minorHAnsi" w:hAnsiTheme="minorHAnsi" w:cs="Arial"/>
                <w:sz w:val="20"/>
                <w:szCs w:val="20"/>
              </w:rPr>
            </w:pPr>
            <w:r>
              <w:rPr>
                <w:rFonts w:asciiTheme="minorHAnsi" w:hAnsiTheme="minorHAnsi" w:cs="Arial"/>
                <w:sz w:val="20"/>
                <w:szCs w:val="20"/>
              </w:rPr>
              <w:t>18</w:t>
            </w:r>
          </w:p>
        </w:tc>
        <w:tc>
          <w:tcPr>
            <w:tcW w:w="1261" w:type="dxa"/>
            <w:shd w:val="clear" w:color="auto" w:fill="B8CCE4" w:themeFill="accent1" w:themeFillTint="66"/>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46</w:t>
            </w:r>
          </w:p>
        </w:tc>
      </w:tr>
      <w:tr w:rsidR="00990F4A" w:rsidRPr="003E335B" w:rsidTr="00801700">
        <w:trPr>
          <w:trHeight w:val="255"/>
        </w:trPr>
        <w:tc>
          <w:tcPr>
            <w:tcW w:w="6300" w:type="dxa"/>
            <w:shd w:val="clear" w:color="auto" w:fill="auto"/>
            <w:vAlign w:val="center"/>
            <w:hideMark/>
          </w:tcPr>
          <w:p w:rsidR="00990F4A" w:rsidRPr="003E335B" w:rsidRDefault="00990F4A"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Finance costs</w:t>
            </w:r>
          </w:p>
        </w:tc>
        <w:tc>
          <w:tcPr>
            <w:tcW w:w="1169" w:type="dxa"/>
            <w:shd w:val="clear" w:color="auto" w:fill="auto"/>
            <w:vAlign w:val="center"/>
          </w:tcPr>
          <w:p w:rsidR="00990F4A" w:rsidRPr="00E254DE" w:rsidRDefault="00990F4A" w:rsidP="000D70EC">
            <w:pPr>
              <w:spacing w:after="0" w:afterAutospacing="0" w:line="240" w:lineRule="auto"/>
              <w:jc w:val="center"/>
              <w:rPr>
                <w:rFonts w:asciiTheme="minorHAnsi" w:hAnsiTheme="minorHAnsi" w:cs="Arial"/>
                <w:b/>
                <w:sz w:val="20"/>
                <w:szCs w:val="20"/>
              </w:rPr>
            </w:pPr>
          </w:p>
        </w:tc>
        <w:tc>
          <w:tcPr>
            <w:tcW w:w="1260" w:type="dxa"/>
            <w:shd w:val="clear" w:color="auto" w:fill="auto"/>
            <w:vAlign w:val="center"/>
          </w:tcPr>
          <w:p w:rsidR="00990F4A" w:rsidRPr="003E335B" w:rsidRDefault="000B001B" w:rsidP="000D70EC">
            <w:pPr>
              <w:spacing w:after="0" w:afterAutospacing="0" w:line="240" w:lineRule="auto"/>
              <w:jc w:val="right"/>
              <w:rPr>
                <w:rFonts w:asciiTheme="minorHAnsi" w:hAnsiTheme="minorHAnsi" w:cs="Arial"/>
                <w:sz w:val="20"/>
                <w:szCs w:val="20"/>
              </w:rPr>
            </w:pPr>
            <w:r>
              <w:rPr>
                <w:rFonts w:asciiTheme="minorHAnsi" w:hAnsiTheme="minorHAnsi" w:cs="Arial"/>
                <w:sz w:val="20"/>
                <w:szCs w:val="20"/>
              </w:rPr>
              <w:t>(44</w:t>
            </w:r>
            <w:r w:rsidR="00FD3C75" w:rsidRPr="003E335B">
              <w:rPr>
                <w:rFonts w:asciiTheme="minorHAnsi" w:hAnsiTheme="minorHAnsi" w:cs="Arial"/>
                <w:sz w:val="20"/>
                <w:szCs w:val="20"/>
              </w:rPr>
              <w:t>)</w:t>
            </w:r>
          </w:p>
        </w:tc>
        <w:tc>
          <w:tcPr>
            <w:tcW w:w="1261" w:type="dxa"/>
            <w:shd w:val="clear" w:color="auto" w:fill="auto"/>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(65)</w:t>
            </w:r>
          </w:p>
        </w:tc>
      </w:tr>
      <w:tr w:rsidR="00990F4A" w:rsidRPr="003E335B" w:rsidTr="00801700">
        <w:trPr>
          <w:trHeight w:val="255"/>
        </w:trPr>
        <w:tc>
          <w:tcPr>
            <w:tcW w:w="6300" w:type="dxa"/>
            <w:shd w:val="clear" w:color="auto" w:fill="B8CCE4" w:themeFill="accent1" w:themeFillTint="66"/>
            <w:vAlign w:val="center"/>
            <w:hideMark/>
          </w:tcPr>
          <w:p w:rsidR="00990F4A" w:rsidRPr="003E335B" w:rsidRDefault="00990F4A"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 xml:space="preserve">Share of gain </w:t>
            </w:r>
            <w:r w:rsidR="00923FB4">
              <w:rPr>
                <w:rFonts w:asciiTheme="minorHAnsi" w:hAnsiTheme="minorHAnsi" w:cs="Arial"/>
                <w:sz w:val="20"/>
                <w:szCs w:val="20"/>
              </w:rPr>
              <w:t xml:space="preserve">/ </w:t>
            </w:r>
            <w:r w:rsidRPr="003E335B">
              <w:rPr>
                <w:rFonts w:asciiTheme="minorHAnsi" w:hAnsiTheme="minorHAnsi" w:cs="Arial"/>
                <w:sz w:val="20"/>
                <w:szCs w:val="20"/>
              </w:rPr>
              <w:t>(loss) of associates</w:t>
            </w:r>
            <w:r w:rsidR="00923FB4">
              <w:rPr>
                <w:rFonts w:asciiTheme="minorHAnsi" w:hAnsiTheme="minorHAnsi" w:cs="Arial"/>
                <w:sz w:val="20"/>
                <w:szCs w:val="20"/>
              </w:rPr>
              <w:t xml:space="preserve"> and jointly controlled entities</w:t>
            </w:r>
            <w:r w:rsidRPr="003E335B">
              <w:rPr>
                <w:rFonts w:asciiTheme="minorHAnsi" w:hAnsiTheme="minorHAnsi" w:cs="Arial"/>
                <w:sz w:val="20"/>
                <w:szCs w:val="20"/>
              </w:rPr>
              <w:t xml:space="preserve"> and gain on investment divestiture</w:t>
            </w:r>
          </w:p>
        </w:tc>
        <w:tc>
          <w:tcPr>
            <w:tcW w:w="1169" w:type="dxa"/>
            <w:shd w:val="clear" w:color="auto" w:fill="B8CCE4" w:themeFill="accent1" w:themeFillTint="66"/>
            <w:vAlign w:val="center"/>
          </w:tcPr>
          <w:p w:rsidR="00990F4A" w:rsidRPr="00E254DE" w:rsidRDefault="0090791A" w:rsidP="000D70EC">
            <w:pPr>
              <w:spacing w:after="0" w:afterAutospacing="0" w:line="240" w:lineRule="auto"/>
              <w:jc w:val="center"/>
              <w:rPr>
                <w:rFonts w:asciiTheme="minorHAnsi" w:hAnsiTheme="minorHAnsi" w:cs="Arial"/>
                <w:b/>
                <w:sz w:val="20"/>
                <w:szCs w:val="20"/>
              </w:rPr>
            </w:pPr>
            <w:r w:rsidRPr="0090791A">
              <w:rPr>
                <w:rFonts w:asciiTheme="minorHAnsi" w:hAnsiTheme="minorHAnsi" w:cs="Arial"/>
                <w:b/>
                <w:sz w:val="20"/>
                <w:szCs w:val="20"/>
              </w:rPr>
              <w:t>6</w:t>
            </w:r>
          </w:p>
        </w:tc>
        <w:tc>
          <w:tcPr>
            <w:tcW w:w="1260" w:type="dxa"/>
            <w:shd w:val="clear" w:color="auto" w:fill="B8CCE4" w:themeFill="accent1" w:themeFillTint="66"/>
            <w:vAlign w:val="center"/>
          </w:tcPr>
          <w:p w:rsidR="00990F4A" w:rsidRPr="003E335B" w:rsidRDefault="00FD3C75"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(15)</w:t>
            </w:r>
          </w:p>
        </w:tc>
        <w:tc>
          <w:tcPr>
            <w:tcW w:w="1261" w:type="dxa"/>
            <w:shd w:val="clear" w:color="auto" w:fill="B8CCE4" w:themeFill="accent1" w:themeFillTint="66"/>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20</w:t>
            </w:r>
          </w:p>
        </w:tc>
      </w:tr>
      <w:tr w:rsidR="00990F4A" w:rsidRPr="003E335B" w:rsidTr="00801700">
        <w:trPr>
          <w:trHeight w:val="255"/>
        </w:trPr>
        <w:tc>
          <w:tcPr>
            <w:tcW w:w="6300" w:type="dxa"/>
            <w:shd w:val="clear" w:color="auto" w:fill="auto"/>
            <w:vAlign w:val="center"/>
            <w:hideMark/>
          </w:tcPr>
          <w:p w:rsidR="00990F4A" w:rsidRPr="003E335B" w:rsidRDefault="00923FB4" w:rsidP="00923FB4">
            <w:pPr>
              <w:spacing w:after="0" w:afterAutospacing="0" w:line="240" w:lineRule="auto"/>
              <w:rPr>
                <w:rFonts w:asciiTheme="minorHAnsi" w:hAnsiTheme="minorHAnsi" w:cs="Arial"/>
                <w:sz w:val="20"/>
                <w:szCs w:val="20"/>
              </w:rPr>
            </w:pPr>
            <w:r>
              <w:rPr>
                <w:rFonts w:asciiTheme="minorHAnsi" w:hAnsiTheme="minorHAnsi" w:cs="Arial"/>
                <w:sz w:val="20"/>
                <w:szCs w:val="20"/>
              </w:rPr>
              <w:t>R</w:t>
            </w:r>
            <w:r w:rsidR="00990F4A" w:rsidRPr="003E335B">
              <w:rPr>
                <w:rFonts w:asciiTheme="minorHAnsi" w:hAnsiTheme="minorHAnsi" w:cs="Arial"/>
                <w:sz w:val="20"/>
                <w:szCs w:val="20"/>
              </w:rPr>
              <w:t>eversal of impairment on investment in associates</w:t>
            </w:r>
          </w:p>
        </w:tc>
        <w:tc>
          <w:tcPr>
            <w:tcW w:w="1169" w:type="dxa"/>
            <w:shd w:val="clear" w:color="auto" w:fill="auto"/>
            <w:vAlign w:val="center"/>
          </w:tcPr>
          <w:p w:rsidR="00990F4A" w:rsidRPr="00E254DE" w:rsidRDefault="00990F4A" w:rsidP="000D70EC">
            <w:pPr>
              <w:spacing w:after="0" w:afterAutospacing="0" w:line="240" w:lineRule="auto"/>
              <w:jc w:val="center"/>
              <w:rPr>
                <w:rFonts w:asciiTheme="minorHAnsi" w:hAnsiTheme="minorHAnsi" w:cs="Arial"/>
                <w:b/>
                <w:sz w:val="20"/>
                <w:szCs w:val="20"/>
              </w:rPr>
            </w:pPr>
          </w:p>
        </w:tc>
        <w:tc>
          <w:tcPr>
            <w:tcW w:w="1260" w:type="dxa"/>
            <w:tcBorders>
              <w:bottom w:val="single" w:sz="18" w:space="0" w:color="auto"/>
            </w:tcBorders>
            <w:shd w:val="clear" w:color="auto" w:fill="auto"/>
            <w:vAlign w:val="center"/>
          </w:tcPr>
          <w:p w:rsidR="00990F4A" w:rsidRPr="003E335B" w:rsidRDefault="00FD3C75"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1261" w:type="dxa"/>
            <w:tcBorders>
              <w:bottom w:val="single" w:sz="18" w:space="0" w:color="auto"/>
            </w:tcBorders>
            <w:shd w:val="clear" w:color="auto" w:fill="auto"/>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162</w:t>
            </w:r>
          </w:p>
        </w:tc>
      </w:tr>
      <w:tr w:rsidR="00990F4A" w:rsidRPr="003E335B" w:rsidTr="00801700">
        <w:trPr>
          <w:trHeight w:val="255"/>
        </w:trPr>
        <w:tc>
          <w:tcPr>
            <w:tcW w:w="6300" w:type="dxa"/>
            <w:shd w:val="clear" w:color="auto" w:fill="B8CCE4" w:themeFill="accent1" w:themeFillTint="66"/>
            <w:vAlign w:val="center"/>
            <w:hideMark/>
          </w:tcPr>
          <w:p w:rsidR="00990F4A" w:rsidRPr="003E335B" w:rsidRDefault="00923FB4" w:rsidP="000D70EC">
            <w:pPr>
              <w:spacing w:after="0" w:afterAutospacing="0" w:line="240" w:lineRule="auto"/>
              <w:rPr>
                <w:rFonts w:asciiTheme="minorHAnsi" w:hAnsiTheme="minorHAnsi" w:cs="Arial"/>
                <w:b/>
                <w:sz w:val="20"/>
                <w:szCs w:val="20"/>
              </w:rPr>
            </w:pPr>
            <w:r>
              <w:rPr>
                <w:rFonts w:asciiTheme="minorHAnsi" w:hAnsiTheme="minorHAnsi" w:cs="Arial"/>
                <w:b/>
                <w:sz w:val="20"/>
                <w:szCs w:val="20"/>
              </w:rPr>
              <w:t xml:space="preserve">Profit </w:t>
            </w:r>
            <w:r w:rsidR="00990F4A" w:rsidRPr="003E335B">
              <w:rPr>
                <w:rFonts w:asciiTheme="minorHAnsi" w:hAnsiTheme="minorHAnsi" w:cs="Arial"/>
                <w:b/>
                <w:sz w:val="20"/>
                <w:szCs w:val="20"/>
              </w:rPr>
              <w:t>before income tax</w:t>
            </w:r>
          </w:p>
        </w:tc>
        <w:tc>
          <w:tcPr>
            <w:tcW w:w="1169" w:type="dxa"/>
            <w:shd w:val="clear" w:color="auto" w:fill="B8CCE4" w:themeFill="accent1" w:themeFillTint="66"/>
            <w:vAlign w:val="center"/>
          </w:tcPr>
          <w:p w:rsidR="00990F4A" w:rsidRPr="00E254DE" w:rsidRDefault="00990F4A" w:rsidP="000D70EC">
            <w:pPr>
              <w:spacing w:after="0" w:afterAutospacing="0" w:line="240" w:lineRule="auto"/>
              <w:jc w:val="center"/>
              <w:rPr>
                <w:rFonts w:asciiTheme="minorHAnsi" w:hAnsiTheme="minorHAnsi" w:cs="Arial"/>
                <w:b/>
                <w:sz w:val="20"/>
                <w:szCs w:val="20"/>
              </w:rPr>
            </w:pPr>
          </w:p>
        </w:tc>
        <w:tc>
          <w:tcPr>
            <w:tcW w:w="1260" w:type="dxa"/>
            <w:tcBorders>
              <w:top w:val="single" w:sz="18" w:space="0" w:color="auto"/>
            </w:tcBorders>
            <w:shd w:val="clear" w:color="auto" w:fill="B8CCE4" w:themeFill="accent1" w:themeFillTint="66"/>
            <w:vAlign w:val="center"/>
          </w:tcPr>
          <w:p w:rsidR="00990F4A" w:rsidRPr="003E335B" w:rsidRDefault="00FD3C75"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5</w:t>
            </w:r>
            <w:r w:rsidR="000B001B">
              <w:rPr>
                <w:rFonts w:asciiTheme="minorHAnsi" w:hAnsiTheme="minorHAnsi" w:cs="Arial"/>
                <w:b/>
                <w:sz w:val="20"/>
                <w:szCs w:val="20"/>
              </w:rPr>
              <w:t>7</w:t>
            </w:r>
            <w:r w:rsidR="002D10BE">
              <w:rPr>
                <w:rFonts w:asciiTheme="minorHAnsi" w:hAnsiTheme="minorHAnsi" w:cs="Arial"/>
                <w:b/>
                <w:sz w:val="20"/>
                <w:szCs w:val="20"/>
              </w:rPr>
              <w:t>1</w:t>
            </w:r>
          </w:p>
        </w:tc>
        <w:tc>
          <w:tcPr>
            <w:tcW w:w="1261" w:type="dxa"/>
            <w:tcBorders>
              <w:top w:val="single" w:sz="18" w:space="0" w:color="auto"/>
            </w:tcBorders>
            <w:shd w:val="clear" w:color="auto" w:fill="B8CCE4" w:themeFill="accent1" w:themeFillTint="66"/>
            <w:vAlign w:val="center"/>
            <w:hideMark/>
          </w:tcPr>
          <w:p w:rsidR="00990F4A" w:rsidRPr="003E335B" w:rsidRDefault="00990F4A"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270</w:t>
            </w:r>
          </w:p>
        </w:tc>
      </w:tr>
      <w:tr w:rsidR="00990F4A" w:rsidRPr="003E335B" w:rsidTr="00801700">
        <w:trPr>
          <w:trHeight w:val="255"/>
        </w:trPr>
        <w:tc>
          <w:tcPr>
            <w:tcW w:w="6300" w:type="dxa"/>
            <w:shd w:val="clear" w:color="auto" w:fill="auto"/>
            <w:vAlign w:val="center"/>
            <w:hideMark/>
          </w:tcPr>
          <w:p w:rsidR="00990F4A" w:rsidRPr="003E335B" w:rsidRDefault="00923FB4" w:rsidP="000D70EC">
            <w:pPr>
              <w:spacing w:after="0" w:afterAutospacing="0" w:line="240" w:lineRule="auto"/>
              <w:rPr>
                <w:rFonts w:asciiTheme="minorHAnsi" w:hAnsiTheme="minorHAnsi" w:cs="Arial"/>
                <w:sz w:val="20"/>
                <w:szCs w:val="20"/>
              </w:rPr>
            </w:pPr>
            <w:r>
              <w:rPr>
                <w:rFonts w:asciiTheme="minorHAnsi" w:hAnsiTheme="minorHAnsi" w:cs="Arial"/>
                <w:sz w:val="20"/>
                <w:szCs w:val="20"/>
              </w:rPr>
              <w:t>Income tax expense</w:t>
            </w:r>
          </w:p>
        </w:tc>
        <w:tc>
          <w:tcPr>
            <w:tcW w:w="1169" w:type="dxa"/>
            <w:shd w:val="clear" w:color="auto" w:fill="auto"/>
            <w:vAlign w:val="center"/>
          </w:tcPr>
          <w:p w:rsidR="00990F4A" w:rsidRPr="00E254DE" w:rsidRDefault="0090791A" w:rsidP="000D70EC">
            <w:pPr>
              <w:spacing w:after="0" w:afterAutospacing="0" w:line="240" w:lineRule="auto"/>
              <w:jc w:val="center"/>
              <w:rPr>
                <w:rFonts w:asciiTheme="minorHAnsi" w:hAnsiTheme="minorHAnsi" w:cs="Arial"/>
                <w:b/>
                <w:sz w:val="20"/>
                <w:szCs w:val="20"/>
              </w:rPr>
            </w:pPr>
            <w:r w:rsidRPr="0090791A">
              <w:rPr>
                <w:rFonts w:asciiTheme="minorHAnsi" w:hAnsiTheme="minorHAnsi" w:cs="Arial"/>
                <w:b/>
                <w:sz w:val="20"/>
                <w:szCs w:val="20"/>
              </w:rPr>
              <w:t>19</w:t>
            </w:r>
          </w:p>
        </w:tc>
        <w:tc>
          <w:tcPr>
            <w:tcW w:w="1260" w:type="dxa"/>
            <w:tcBorders>
              <w:bottom w:val="single" w:sz="18" w:space="0" w:color="auto"/>
            </w:tcBorders>
            <w:shd w:val="clear" w:color="auto" w:fill="auto"/>
            <w:vAlign w:val="center"/>
          </w:tcPr>
          <w:p w:rsidR="00990F4A" w:rsidRPr="003E335B" w:rsidRDefault="00FD3C75"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(127)</w:t>
            </w:r>
          </w:p>
        </w:tc>
        <w:tc>
          <w:tcPr>
            <w:tcW w:w="1261" w:type="dxa"/>
            <w:tcBorders>
              <w:bottom w:val="single" w:sz="18" w:space="0" w:color="auto"/>
            </w:tcBorders>
            <w:shd w:val="clear" w:color="auto" w:fill="auto"/>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(56)</w:t>
            </w:r>
          </w:p>
        </w:tc>
      </w:tr>
      <w:tr w:rsidR="00990F4A" w:rsidRPr="003E335B" w:rsidTr="00801700">
        <w:trPr>
          <w:trHeight w:val="255"/>
        </w:trPr>
        <w:tc>
          <w:tcPr>
            <w:tcW w:w="6300" w:type="dxa"/>
            <w:shd w:val="clear" w:color="auto" w:fill="B8CCE4" w:themeFill="accent1" w:themeFillTint="66"/>
            <w:vAlign w:val="center"/>
            <w:hideMark/>
          </w:tcPr>
          <w:p w:rsidR="00990F4A" w:rsidRPr="003E335B" w:rsidRDefault="00990F4A"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Net result</w:t>
            </w:r>
          </w:p>
        </w:tc>
        <w:tc>
          <w:tcPr>
            <w:tcW w:w="1169" w:type="dxa"/>
            <w:shd w:val="clear" w:color="auto" w:fill="B8CCE4" w:themeFill="accent1" w:themeFillTint="66"/>
            <w:vAlign w:val="center"/>
          </w:tcPr>
          <w:p w:rsidR="00990F4A" w:rsidRPr="00E254DE" w:rsidRDefault="00990F4A" w:rsidP="000D70EC">
            <w:pPr>
              <w:spacing w:after="0" w:afterAutospacing="0" w:line="240" w:lineRule="auto"/>
              <w:jc w:val="center"/>
              <w:rPr>
                <w:rFonts w:asciiTheme="minorHAnsi" w:hAnsiTheme="minorHAnsi" w:cs="Arial"/>
                <w:b/>
                <w:sz w:val="20"/>
                <w:szCs w:val="20"/>
              </w:rPr>
            </w:pPr>
          </w:p>
        </w:tc>
        <w:tc>
          <w:tcPr>
            <w:tcW w:w="1260" w:type="dxa"/>
            <w:tcBorders>
              <w:top w:val="single" w:sz="18" w:space="0" w:color="auto"/>
            </w:tcBorders>
            <w:shd w:val="clear" w:color="auto" w:fill="B8CCE4" w:themeFill="accent1" w:themeFillTint="66"/>
            <w:vAlign w:val="center"/>
          </w:tcPr>
          <w:p w:rsidR="00990F4A" w:rsidRPr="003E335B" w:rsidRDefault="00FD3C75"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4</w:t>
            </w:r>
            <w:r w:rsidR="000B001B">
              <w:rPr>
                <w:rFonts w:asciiTheme="minorHAnsi" w:hAnsiTheme="minorHAnsi" w:cs="Arial"/>
                <w:b/>
                <w:sz w:val="20"/>
                <w:szCs w:val="20"/>
              </w:rPr>
              <w:t>4</w:t>
            </w:r>
            <w:r w:rsidR="002D10BE">
              <w:rPr>
                <w:rFonts w:asciiTheme="minorHAnsi" w:hAnsiTheme="minorHAnsi" w:cs="Arial"/>
                <w:b/>
                <w:sz w:val="20"/>
                <w:szCs w:val="20"/>
              </w:rPr>
              <w:t>4</w:t>
            </w:r>
          </w:p>
        </w:tc>
        <w:tc>
          <w:tcPr>
            <w:tcW w:w="1261" w:type="dxa"/>
            <w:tcBorders>
              <w:top w:val="single" w:sz="18" w:space="0" w:color="auto"/>
            </w:tcBorders>
            <w:shd w:val="clear" w:color="auto" w:fill="B8CCE4" w:themeFill="accent1" w:themeFillTint="66"/>
            <w:vAlign w:val="center"/>
            <w:hideMark/>
          </w:tcPr>
          <w:p w:rsidR="00990F4A" w:rsidRPr="003E335B" w:rsidRDefault="00990F4A"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214</w:t>
            </w:r>
          </w:p>
        </w:tc>
      </w:tr>
      <w:tr w:rsidR="00990F4A" w:rsidRPr="003E335B" w:rsidTr="00801700">
        <w:trPr>
          <w:trHeight w:val="255"/>
        </w:trPr>
        <w:tc>
          <w:tcPr>
            <w:tcW w:w="6300" w:type="dxa"/>
            <w:shd w:val="clear" w:color="auto" w:fill="auto"/>
            <w:vAlign w:val="center"/>
            <w:hideMark/>
          </w:tcPr>
          <w:p w:rsidR="00990F4A" w:rsidRPr="003E335B" w:rsidRDefault="00990F4A"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Attributable to:</w:t>
            </w:r>
          </w:p>
        </w:tc>
        <w:tc>
          <w:tcPr>
            <w:tcW w:w="1169" w:type="dxa"/>
            <w:shd w:val="clear" w:color="auto" w:fill="auto"/>
            <w:vAlign w:val="center"/>
          </w:tcPr>
          <w:p w:rsidR="00990F4A" w:rsidRPr="00E254DE" w:rsidRDefault="00990F4A" w:rsidP="000D70EC">
            <w:pPr>
              <w:spacing w:after="0" w:afterAutospacing="0" w:line="240" w:lineRule="auto"/>
              <w:jc w:val="center"/>
              <w:rPr>
                <w:rFonts w:asciiTheme="minorHAnsi" w:hAnsiTheme="minorHAnsi" w:cs="Arial"/>
                <w:b/>
                <w:sz w:val="20"/>
                <w:szCs w:val="20"/>
              </w:rPr>
            </w:pPr>
          </w:p>
        </w:tc>
        <w:tc>
          <w:tcPr>
            <w:tcW w:w="1260" w:type="dxa"/>
            <w:shd w:val="clear" w:color="auto" w:fill="auto"/>
            <w:vAlign w:val="center"/>
          </w:tcPr>
          <w:p w:rsidR="00990F4A" w:rsidRPr="003E335B" w:rsidRDefault="00990F4A" w:rsidP="000D70EC">
            <w:pPr>
              <w:spacing w:after="0" w:afterAutospacing="0" w:line="240" w:lineRule="auto"/>
              <w:jc w:val="right"/>
              <w:rPr>
                <w:rFonts w:asciiTheme="minorHAnsi" w:hAnsiTheme="minorHAnsi" w:cs="Arial"/>
                <w:sz w:val="20"/>
                <w:szCs w:val="20"/>
              </w:rPr>
            </w:pPr>
          </w:p>
        </w:tc>
        <w:tc>
          <w:tcPr>
            <w:tcW w:w="1261" w:type="dxa"/>
            <w:shd w:val="clear" w:color="auto" w:fill="auto"/>
            <w:vAlign w:val="center"/>
          </w:tcPr>
          <w:p w:rsidR="00990F4A" w:rsidRPr="003E335B" w:rsidRDefault="00990F4A" w:rsidP="000D70EC">
            <w:pPr>
              <w:spacing w:after="0" w:afterAutospacing="0" w:line="240" w:lineRule="auto"/>
              <w:jc w:val="right"/>
              <w:rPr>
                <w:rFonts w:asciiTheme="minorHAnsi" w:hAnsiTheme="minorHAnsi" w:cs="Arial"/>
                <w:sz w:val="20"/>
                <w:szCs w:val="20"/>
              </w:rPr>
            </w:pPr>
          </w:p>
        </w:tc>
      </w:tr>
      <w:tr w:rsidR="00990F4A" w:rsidRPr="003E335B" w:rsidTr="00801700">
        <w:trPr>
          <w:trHeight w:val="255"/>
        </w:trPr>
        <w:tc>
          <w:tcPr>
            <w:tcW w:w="6300" w:type="dxa"/>
            <w:shd w:val="clear" w:color="auto" w:fill="B8CCE4" w:themeFill="accent1" w:themeFillTint="66"/>
            <w:vAlign w:val="center"/>
            <w:hideMark/>
          </w:tcPr>
          <w:p w:rsidR="00990F4A" w:rsidRPr="003E335B" w:rsidRDefault="00990F4A"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The equity holders of the parent</w:t>
            </w:r>
          </w:p>
        </w:tc>
        <w:tc>
          <w:tcPr>
            <w:tcW w:w="1169" w:type="dxa"/>
            <w:shd w:val="clear" w:color="auto" w:fill="B8CCE4" w:themeFill="accent1" w:themeFillTint="66"/>
            <w:vAlign w:val="center"/>
          </w:tcPr>
          <w:p w:rsidR="00990F4A" w:rsidRPr="00E254DE" w:rsidRDefault="00990F4A" w:rsidP="000D70EC">
            <w:pPr>
              <w:spacing w:after="0" w:afterAutospacing="0" w:line="240" w:lineRule="auto"/>
              <w:jc w:val="center"/>
              <w:rPr>
                <w:rFonts w:asciiTheme="minorHAnsi" w:hAnsiTheme="minorHAnsi" w:cs="Arial"/>
                <w:b/>
                <w:sz w:val="20"/>
                <w:szCs w:val="20"/>
              </w:rPr>
            </w:pPr>
          </w:p>
        </w:tc>
        <w:tc>
          <w:tcPr>
            <w:tcW w:w="1260" w:type="dxa"/>
            <w:shd w:val="clear" w:color="auto" w:fill="B8CCE4" w:themeFill="accent1" w:themeFillTint="66"/>
            <w:vAlign w:val="center"/>
          </w:tcPr>
          <w:p w:rsidR="00990F4A" w:rsidRPr="003E335B" w:rsidRDefault="00FD3C75"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6</w:t>
            </w:r>
            <w:r w:rsidR="002D10BE">
              <w:rPr>
                <w:rFonts w:asciiTheme="minorHAnsi" w:hAnsiTheme="minorHAnsi" w:cs="Arial"/>
                <w:sz w:val="20"/>
                <w:szCs w:val="20"/>
              </w:rPr>
              <w:t>38</w:t>
            </w:r>
          </w:p>
        </w:tc>
        <w:tc>
          <w:tcPr>
            <w:tcW w:w="1261" w:type="dxa"/>
            <w:shd w:val="clear" w:color="auto" w:fill="B8CCE4" w:themeFill="accent1" w:themeFillTint="66"/>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349</w:t>
            </w:r>
          </w:p>
        </w:tc>
      </w:tr>
      <w:tr w:rsidR="00990F4A" w:rsidRPr="003E335B" w:rsidTr="00801700">
        <w:trPr>
          <w:trHeight w:val="255"/>
        </w:trPr>
        <w:tc>
          <w:tcPr>
            <w:tcW w:w="6300" w:type="dxa"/>
            <w:shd w:val="clear" w:color="auto" w:fill="auto"/>
            <w:vAlign w:val="center"/>
            <w:hideMark/>
          </w:tcPr>
          <w:p w:rsidR="00990F4A" w:rsidRPr="003E335B" w:rsidRDefault="00990F4A"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Non-controlling interests</w:t>
            </w:r>
          </w:p>
        </w:tc>
        <w:tc>
          <w:tcPr>
            <w:tcW w:w="1169" w:type="dxa"/>
            <w:shd w:val="clear" w:color="auto" w:fill="auto"/>
            <w:vAlign w:val="center"/>
          </w:tcPr>
          <w:p w:rsidR="00990F4A" w:rsidRPr="00E254DE" w:rsidRDefault="00990F4A" w:rsidP="000D70EC">
            <w:pPr>
              <w:spacing w:after="0" w:afterAutospacing="0" w:line="240" w:lineRule="auto"/>
              <w:jc w:val="center"/>
              <w:rPr>
                <w:rFonts w:asciiTheme="minorHAnsi" w:hAnsiTheme="minorHAnsi" w:cs="Arial"/>
                <w:b/>
                <w:sz w:val="20"/>
                <w:szCs w:val="20"/>
              </w:rPr>
            </w:pPr>
          </w:p>
        </w:tc>
        <w:tc>
          <w:tcPr>
            <w:tcW w:w="1260" w:type="dxa"/>
            <w:tcBorders>
              <w:bottom w:val="single" w:sz="18" w:space="0" w:color="auto"/>
            </w:tcBorders>
            <w:shd w:val="clear" w:color="auto" w:fill="auto"/>
            <w:vAlign w:val="center"/>
          </w:tcPr>
          <w:p w:rsidR="00990F4A" w:rsidRPr="003E335B" w:rsidRDefault="00FD3C75"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(194)</w:t>
            </w:r>
          </w:p>
        </w:tc>
        <w:tc>
          <w:tcPr>
            <w:tcW w:w="1261" w:type="dxa"/>
            <w:tcBorders>
              <w:bottom w:val="single" w:sz="18" w:space="0" w:color="auto"/>
            </w:tcBorders>
            <w:shd w:val="clear" w:color="auto" w:fill="auto"/>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(135)</w:t>
            </w:r>
          </w:p>
        </w:tc>
      </w:tr>
      <w:tr w:rsidR="00990F4A" w:rsidRPr="003E335B" w:rsidTr="00801700">
        <w:trPr>
          <w:trHeight w:val="255"/>
        </w:trPr>
        <w:tc>
          <w:tcPr>
            <w:tcW w:w="6300" w:type="dxa"/>
            <w:shd w:val="clear" w:color="auto" w:fill="B8CCE4" w:themeFill="accent1" w:themeFillTint="66"/>
            <w:vAlign w:val="center"/>
            <w:hideMark/>
          </w:tcPr>
          <w:p w:rsidR="00990F4A" w:rsidRPr="003E335B" w:rsidRDefault="00990F4A"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Net result</w:t>
            </w:r>
          </w:p>
        </w:tc>
        <w:tc>
          <w:tcPr>
            <w:tcW w:w="1169" w:type="dxa"/>
            <w:shd w:val="clear" w:color="auto" w:fill="B8CCE4" w:themeFill="accent1" w:themeFillTint="66"/>
            <w:vAlign w:val="center"/>
          </w:tcPr>
          <w:p w:rsidR="00990F4A" w:rsidRPr="00E254DE" w:rsidRDefault="00990F4A" w:rsidP="000D70EC">
            <w:pPr>
              <w:spacing w:after="0" w:afterAutospacing="0" w:line="240" w:lineRule="auto"/>
              <w:jc w:val="center"/>
              <w:rPr>
                <w:rFonts w:asciiTheme="minorHAnsi" w:hAnsiTheme="minorHAnsi" w:cs="Arial"/>
                <w:b/>
                <w:sz w:val="20"/>
                <w:szCs w:val="20"/>
              </w:rPr>
            </w:pPr>
          </w:p>
        </w:tc>
        <w:tc>
          <w:tcPr>
            <w:tcW w:w="1260" w:type="dxa"/>
            <w:tcBorders>
              <w:top w:val="single" w:sz="18" w:space="0" w:color="auto"/>
            </w:tcBorders>
            <w:shd w:val="clear" w:color="auto" w:fill="B8CCE4" w:themeFill="accent1" w:themeFillTint="66"/>
            <w:vAlign w:val="center"/>
          </w:tcPr>
          <w:p w:rsidR="00990F4A" w:rsidRPr="003E335B" w:rsidRDefault="00FD3C75"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4</w:t>
            </w:r>
            <w:r w:rsidR="000B001B">
              <w:rPr>
                <w:rFonts w:asciiTheme="minorHAnsi" w:hAnsiTheme="minorHAnsi" w:cs="Arial"/>
                <w:b/>
                <w:sz w:val="20"/>
                <w:szCs w:val="20"/>
              </w:rPr>
              <w:t>4</w:t>
            </w:r>
            <w:r w:rsidR="002D10BE">
              <w:rPr>
                <w:rFonts w:asciiTheme="minorHAnsi" w:hAnsiTheme="minorHAnsi" w:cs="Arial"/>
                <w:b/>
                <w:sz w:val="20"/>
                <w:szCs w:val="20"/>
              </w:rPr>
              <w:t>4</w:t>
            </w:r>
          </w:p>
        </w:tc>
        <w:tc>
          <w:tcPr>
            <w:tcW w:w="1261" w:type="dxa"/>
            <w:tcBorders>
              <w:top w:val="single" w:sz="18" w:space="0" w:color="auto"/>
            </w:tcBorders>
            <w:shd w:val="clear" w:color="auto" w:fill="B8CCE4" w:themeFill="accent1" w:themeFillTint="66"/>
            <w:vAlign w:val="center"/>
            <w:hideMark/>
          </w:tcPr>
          <w:p w:rsidR="00990F4A" w:rsidRPr="003E335B" w:rsidRDefault="00990F4A"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214</w:t>
            </w:r>
          </w:p>
        </w:tc>
      </w:tr>
      <w:tr w:rsidR="00990F4A" w:rsidRPr="003E335B" w:rsidTr="00801700">
        <w:trPr>
          <w:trHeight w:val="255"/>
        </w:trPr>
        <w:tc>
          <w:tcPr>
            <w:tcW w:w="6300" w:type="dxa"/>
            <w:shd w:val="clear" w:color="auto" w:fill="auto"/>
            <w:vAlign w:val="center"/>
          </w:tcPr>
          <w:p w:rsidR="00990F4A" w:rsidRPr="003E335B" w:rsidRDefault="00990F4A" w:rsidP="000D70EC">
            <w:pPr>
              <w:spacing w:after="0" w:afterAutospacing="0" w:line="240" w:lineRule="auto"/>
              <w:rPr>
                <w:rFonts w:asciiTheme="minorHAnsi" w:hAnsiTheme="minorHAnsi" w:cs="Arial"/>
                <w:sz w:val="20"/>
                <w:szCs w:val="20"/>
              </w:rPr>
            </w:pPr>
          </w:p>
        </w:tc>
        <w:tc>
          <w:tcPr>
            <w:tcW w:w="1169" w:type="dxa"/>
            <w:shd w:val="clear" w:color="auto" w:fill="auto"/>
            <w:vAlign w:val="center"/>
          </w:tcPr>
          <w:p w:rsidR="00990F4A" w:rsidRPr="00E254DE" w:rsidRDefault="00990F4A" w:rsidP="000D70EC">
            <w:pPr>
              <w:spacing w:after="0" w:afterAutospacing="0" w:line="240" w:lineRule="auto"/>
              <w:jc w:val="center"/>
              <w:rPr>
                <w:rFonts w:asciiTheme="minorHAnsi" w:hAnsiTheme="minorHAnsi" w:cs="Arial"/>
                <w:b/>
                <w:sz w:val="20"/>
                <w:szCs w:val="20"/>
              </w:rPr>
            </w:pPr>
          </w:p>
        </w:tc>
        <w:tc>
          <w:tcPr>
            <w:tcW w:w="1260" w:type="dxa"/>
            <w:shd w:val="clear" w:color="auto" w:fill="auto"/>
            <w:vAlign w:val="center"/>
          </w:tcPr>
          <w:p w:rsidR="00990F4A" w:rsidRPr="003E335B" w:rsidRDefault="00990F4A" w:rsidP="000D70EC">
            <w:pPr>
              <w:spacing w:after="0" w:afterAutospacing="0" w:line="240" w:lineRule="auto"/>
              <w:jc w:val="right"/>
              <w:rPr>
                <w:rFonts w:asciiTheme="minorHAnsi" w:hAnsiTheme="minorHAnsi" w:cs="Arial"/>
                <w:sz w:val="20"/>
                <w:szCs w:val="20"/>
              </w:rPr>
            </w:pPr>
          </w:p>
        </w:tc>
        <w:tc>
          <w:tcPr>
            <w:tcW w:w="1261" w:type="dxa"/>
            <w:shd w:val="clear" w:color="auto" w:fill="auto"/>
            <w:vAlign w:val="center"/>
          </w:tcPr>
          <w:p w:rsidR="00990F4A" w:rsidRPr="003E335B" w:rsidRDefault="00990F4A" w:rsidP="000D70EC">
            <w:pPr>
              <w:spacing w:after="0" w:afterAutospacing="0" w:line="240" w:lineRule="auto"/>
              <w:jc w:val="right"/>
              <w:rPr>
                <w:rFonts w:asciiTheme="minorHAnsi" w:hAnsiTheme="minorHAnsi" w:cs="Arial"/>
                <w:sz w:val="20"/>
                <w:szCs w:val="20"/>
              </w:rPr>
            </w:pPr>
          </w:p>
        </w:tc>
      </w:tr>
      <w:tr w:rsidR="00990F4A" w:rsidRPr="003E335B" w:rsidTr="00801700">
        <w:trPr>
          <w:trHeight w:val="255"/>
        </w:trPr>
        <w:tc>
          <w:tcPr>
            <w:tcW w:w="6300" w:type="dxa"/>
            <w:shd w:val="clear" w:color="auto" w:fill="B8CCE4" w:themeFill="accent1" w:themeFillTint="66"/>
            <w:vAlign w:val="center"/>
            <w:hideMark/>
          </w:tcPr>
          <w:p w:rsidR="00990F4A" w:rsidRPr="003E335B" w:rsidRDefault="00923FB4" w:rsidP="000D70EC">
            <w:pPr>
              <w:spacing w:after="0" w:afterAutospacing="0" w:line="240" w:lineRule="auto"/>
              <w:rPr>
                <w:rFonts w:asciiTheme="minorHAnsi" w:hAnsiTheme="minorHAnsi" w:cs="Arial"/>
                <w:sz w:val="20"/>
                <w:szCs w:val="20"/>
              </w:rPr>
            </w:pPr>
            <w:r>
              <w:rPr>
                <w:rFonts w:asciiTheme="minorHAnsi" w:hAnsiTheme="minorHAnsi" w:cs="Arial"/>
                <w:sz w:val="20"/>
                <w:szCs w:val="20"/>
              </w:rPr>
              <w:t xml:space="preserve">Profit </w:t>
            </w:r>
            <w:r w:rsidR="00990F4A" w:rsidRPr="003E335B">
              <w:rPr>
                <w:rFonts w:asciiTheme="minorHAnsi" w:hAnsiTheme="minorHAnsi" w:cs="Arial"/>
                <w:sz w:val="20"/>
                <w:szCs w:val="20"/>
              </w:rPr>
              <w:t>per share attributable to the equity holders of the parent</w:t>
            </w:r>
          </w:p>
        </w:tc>
        <w:tc>
          <w:tcPr>
            <w:tcW w:w="1169" w:type="dxa"/>
            <w:shd w:val="clear" w:color="auto" w:fill="B8CCE4" w:themeFill="accent1" w:themeFillTint="66"/>
            <w:vAlign w:val="center"/>
          </w:tcPr>
          <w:p w:rsidR="00990F4A" w:rsidRPr="00E254DE" w:rsidRDefault="00990F4A" w:rsidP="000D70EC">
            <w:pPr>
              <w:spacing w:after="0" w:afterAutospacing="0" w:line="240" w:lineRule="auto"/>
              <w:jc w:val="center"/>
              <w:rPr>
                <w:rFonts w:asciiTheme="minorHAnsi" w:hAnsiTheme="minorHAnsi" w:cs="Arial"/>
                <w:b/>
                <w:sz w:val="20"/>
                <w:szCs w:val="20"/>
              </w:rPr>
            </w:pPr>
          </w:p>
        </w:tc>
        <w:tc>
          <w:tcPr>
            <w:tcW w:w="1260" w:type="dxa"/>
            <w:shd w:val="clear" w:color="auto" w:fill="B8CCE4" w:themeFill="accent1" w:themeFillTint="66"/>
            <w:vAlign w:val="center"/>
          </w:tcPr>
          <w:p w:rsidR="00990F4A" w:rsidRPr="003E335B" w:rsidRDefault="00990F4A" w:rsidP="000D70EC">
            <w:pPr>
              <w:spacing w:after="0" w:afterAutospacing="0" w:line="240" w:lineRule="auto"/>
              <w:jc w:val="right"/>
              <w:rPr>
                <w:rFonts w:asciiTheme="minorHAnsi" w:hAnsiTheme="minorHAnsi" w:cs="Arial"/>
                <w:sz w:val="20"/>
                <w:szCs w:val="20"/>
              </w:rPr>
            </w:pPr>
          </w:p>
        </w:tc>
        <w:tc>
          <w:tcPr>
            <w:tcW w:w="1261" w:type="dxa"/>
            <w:shd w:val="clear" w:color="auto" w:fill="B8CCE4" w:themeFill="accent1" w:themeFillTint="66"/>
            <w:vAlign w:val="center"/>
          </w:tcPr>
          <w:p w:rsidR="00990F4A" w:rsidRPr="003E335B" w:rsidRDefault="00990F4A" w:rsidP="000D70EC">
            <w:pPr>
              <w:spacing w:after="0" w:afterAutospacing="0" w:line="240" w:lineRule="auto"/>
              <w:jc w:val="right"/>
              <w:rPr>
                <w:rFonts w:asciiTheme="minorHAnsi" w:hAnsiTheme="minorHAnsi" w:cs="Arial"/>
                <w:sz w:val="20"/>
                <w:szCs w:val="20"/>
              </w:rPr>
            </w:pPr>
          </w:p>
        </w:tc>
      </w:tr>
      <w:tr w:rsidR="00990F4A" w:rsidRPr="003E335B" w:rsidTr="00801700">
        <w:trPr>
          <w:trHeight w:val="255"/>
        </w:trPr>
        <w:tc>
          <w:tcPr>
            <w:tcW w:w="6300" w:type="dxa"/>
            <w:shd w:val="clear" w:color="auto" w:fill="auto"/>
            <w:vAlign w:val="center"/>
            <w:hideMark/>
          </w:tcPr>
          <w:p w:rsidR="00990F4A" w:rsidRPr="003E335B" w:rsidRDefault="00923FB4" w:rsidP="000D70EC">
            <w:pPr>
              <w:spacing w:after="0" w:afterAutospacing="0" w:line="240" w:lineRule="auto"/>
              <w:rPr>
                <w:rFonts w:asciiTheme="minorHAnsi" w:hAnsiTheme="minorHAnsi" w:cs="Arial"/>
                <w:sz w:val="20"/>
                <w:szCs w:val="20"/>
              </w:rPr>
            </w:pPr>
            <w:r>
              <w:rPr>
                <w:rFonts w:asciiTheme="minorHAnsi" w:hAnsiTheme="minorHAnsi" w:cs="Arial"/>
                <w:sz w:val="20"/>
                <w:szCs w:val="20"/>
              </w:rPr>
              <w:t xml:space="preserve">Profit </w:t>
            </w:r>
            <w:r w:rsidR="00990F4A" w:rsidRPr="003E335B">
              <w:rPr>
                <w:rFonts w:asciiTheme="minorHAnsi" w:hAnsiTheme="minorHAnsi" w:cs="Arial"/>
                <w:sz w:val="20"/>
                <w:szCs w:val="20"/>
              </w:rPr>
              <w:t>per share (Basic)</w:t>
            </w:r>
          </w:p>
        </w:tc>
        <w:tc>
          <w:tcPr>
            <w:tcW w:w="1169" w:type="dxa"/>
            <w:shd w:val="clear" w:color="auto" w:fill="auto"/>
            <w:vAlign w:val="center"/>
          </w:tcPr>
          <w:p w:rsidR="00990F4A" w:rsidRPr="00E254DE" w:rsidRDefault="0090791A" w:rsidP="000D70EC">
            <w:pPr>
              <w:spacing w:after="0" w:afterAutospacing="0" w:line="240" w:lineRule="auto"/>
              <w:jc w:val="center"/>
              <w:rPr>
                <w:rFonts w:asciiTheme="minorHAnsi" w:hAnsiTheme="minorHAnsi" w:cs="Arial"/>
                <w:b/>
                <w:sz w:val="20"/>
                <w:szCs w:val="20"/>
              </w:rPr>
            </w:pPr>
            <w:r w:rsidRPr="0090791A">
              <w:rPr>
                <w:rFonts w:asciiTheme="minorHAnsi" w:hAnsiTheme="minorHAnsi" w:cs="Arial"/>
                <w:b/>
                <w:sz w:val="20"/>
                <w:szCs w:val="20"/>
              </w:rPr>
              <w:t>20</w:t>
            </w:r>
          </w:p>
        </w:tc>
        <w:tc>
          <w:tcPr>
            <w:tcW w:w="1260" w:type="dxa"/>
            <w:shd w:val="clear" w:color="auto" w:fill="auto"/>
            <w:vAlign w:val="center"/>
          </w:tcPr>
          <w:p w:rsidR="00990F4A" w:rsidRPr="003E335B" w:rsidRDefault="00687BD0" w:rsidP="000D70EC">
            <w:pPr>
              <w:spacing w:after="0" w:afterAutospacing="0" w:line="240" w:lineRule="auto"/>
              <w:jc w:val="right"/>
              <w:rPr>
                <w:rFonts w:asciiTheme="minorHAnsi" w:hAnsiTheme="minorHAnsi" w:cs="Arial"/>
                <w:sz w:val="20"/>
                <w:szCs w:val="20"/>
              </w:rPr>
            </w:pPr>
            <w:r>
              <w:rPr>
                <w:rFonts w:asciiTheme="minorHAnsi" w:hAnsiTheme="minorHAnsi" w:cs="Arial"/>
                <w:sz w:val="20"/>
                <w:szCs w:val="20"/>
              </w:rPr>
              <w:t>0.7</w:t>
            </w:r>
            <w:r w:rsidR="00E015A3">
              <w:rPr>
                <w:rFonts w:asciiTheme="minorHAnsi" w:hAnsiTheme="minorHAnsi" w:cs="Arial"/>
                <w:sz w:val="20"/>
                <w:szCs w:val="20"/>
              </w:rPr>
              <w:t>2</w:t>
            </w:r>
          </w:p>
        </w:tc>
        <w:tc>
          <w:tcPr>
            <w:tcW w:w="1261" w:type="dxa"/>
            <w:shd w:val="clear" w:color="auto" w:fill="auto"/>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0.40</w:t>
            </w:r>
          </w:p>
        </w:tc>
      </w:tr>
      <w:tr w:rsidR="00990F4A" w:rsidRPr="003E335B" w:rsidTr="00801700">
        <w:trPr>
          <w:trHeight w:val="255"/>
        </w:trPr>
        <w:tc>
          <w:tcPr>
            <w:tcW w:w="6300" w:type="dxa"/>
            <w:tcBorders>
              <w:bottom w:val="single" w:sz="18" w:space="0" w:color="auto"/>
            </w:tcBorders>
            <w:shd w:val="clear" w:color="auto" w:fill="B8CCE4" w:themeFill="accent1" w:themeFillTint="66"/>
            <w:vAlign w:val="center"/>
            <w:hideMark/>
          </w:tcPr>
          <w:p w:rsidR="00990F4A" w:rsidRPr="003E335B" w:rsidRDefault="00923FB4" w:rsidP="000D70EC">
            <w:pPr>
              <w:spacing w:after="0" w:afterAutospacing="0" w:line="240" w:lineRule="auto"/>
              <w:rPr>
                <w:rFonts w:asciiTheme="minorHAnsi" w:hAnsiTheme="minorHAnsi" w:cs="Arial"/>
                <w:sz w:val="20"/>
                <w:szCs w:val="20"/>
              </w:rPr>
            </w:pPr>
            <w:r>
              <w:rPr>
                <w:rFonts w:asciiTheme="minorHAnsi" w:hAnsiTheme="minorHAnsi" w:cs="Arial"/>
                <w:sz w:val="20"/>
                <w:szCs w:val="20"/>
              </w:rPr>
              <w:t xml:space="preserve">Profit </w:t>
            </w:r>
            <w:r w:rsidR="00990F4A" w:rsidRPr="003E335B">
              <w:rPr>
                <w:rFonts w:asciiTheme="minorHAnsi" w:hAnsiTheme="minorHAnsi" w:cs="Arial"/>
                <w:sz w:val="20"/>
                <w:szCs w:val="20"/>
              </w:rPr>
              <w:t>per share (Diluted)</w:t>
            </w:r>
          </w:p>
        </w:tc>
        <w:tc>
          <w:tcPr>
            <w:tcW w:w="1169" w:type="dxa"/>
            <w:tcBorders>
              <w:bottom w:val="single" w:sz="18" w:space="0" w:color="auto"/>
            </w:tcBorders>
            <w:shd w:val="clear" w:color="auto" w:fill="B8CCE4" w:themeFill="accent1" w:themeFillTint="66"/>
            <w:vAlign w:val="center"/>
          </w:tcPr>
          <w:p w:rsidR="00990F4A" w:rsidRPr="00E254DE" w:rsidRDefault="0090791A" w:rsidP="000D70EC">
            <w:pPr>
              <w:spacing w:after="0" w:afterAutospacing="0" w:line="240" w:lineRule="auto"/>
              <w:jc w:val="center"/>
              <w:rPr>
                <w:rFonts w:asciiTheme="minorHAnsi" w:hAnsiTheme="minorHAnsi" w:cs="Arial"/>
                <w:b/>
                <w:sz w:val="20"/>
                <w:szCs w:val="20"/>
              </w:rPr>
            </w:pPr>
            <w:r w:rsidRPr="0090791A">
              <w:rPr>
                <w:rFonts w:asciiTheme="minorHAnsi" w:hAnsiTheme="minorHAnsi" w:cs="Arial"/>
                <w:b/>
                <w:sz w:val="20"/>
                <w:szCs w:val="20"/>
              </w:rPr>
              <w:t>20</w:t>
            </w:r>
          </w:p>
        </w:tc>
        <w:tc>
          <w:tcPr>
            <w:tcW w:w="1260" w:type="dxa"/>
            <w:tcBorders>
              <w:bottom w:val="single" w:sz="18" w:space="0" w:color="auto"/>
            </w:tcBorders>
            <w:shd w:val="clear" w:color="auto" w:fill="B8CCE4" w:themeFill="accent1" w:themeFillTint="66"/>
            <w:vAlign w:val="center"/>
          </w:tcPr>
          <w:p w:rsidR="00990F4A" w:rsidRPr="003E335B" w:rsidRDefault="00687BD0" w:rsidP="000D70EC">
            <w:pPr>
              <w:spacing w:after="0" w:afterAutospacing="0" w:line="240" w:lineRule="auto"/>
              <w:jc w:val="right"/>
              <w:rPr>
                <w:rFonts w:asciiTheme="minorHAnsi" w:hAnsiTheme="minorHAnsi" w:cs="Arial"/>
                <w:sz w:val="20"/>
                <w:szCs w:val="20"/>
              </w:rPr>
            </w:pPr>
            <w:r>
              <w:rPr>
                <w:rFonts w:asciiTheme="minorHAnsi" w:hAnsiTheme="minorHAnsi" w:cs="Arial"/>
                <w:sz w:val="20"/>
                <w:szCs w:val="20"/>
              </w:rPr>
              <w:t>0.7</w:t>
            </w:r>
            <w:r w:rsidR="0025257A">
              <w:rPr>
                <w:rFonts w:asciiTheme="minorHAnsi" w:hAnsiTheme="minorHAnsi" w:cs="Arial"/>
                <w:sz w:val="20"/>
                <w:szCs w:val="20"/>
              </w:rPr>
              <w:t>2</w:t>
            </w:r>
          </w:p>
        </w:tc>
        <w:tc>
          <w:tcPr>
            <w:tcW w:w="1261" w:type="dxa"/>
            <w:tcBorders>
              <w:bottom w:val="single" w:sz="18" w:space="0" w:color="auto"/>
            </w:tcBorders>
            <w:shd w:val="clear" w:color="auto" w:fill="B8CCE4" w:themeFill="accent1" w:themeFillTint="66"/>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0.40</w:t>
            </w:r>
          </w:p>
        </w:tc>
      </w:tr>
    </w:tbl>
    <w:p w:rsidR="00847BCE" w:rsidRPr="003E335B" w:rsidRDefault="00847BCE" w:rsidP="000D70EC">
      <w:pPr>
        <w:spacing w:after="0" w:afterAutospacing="0" w:line="240" w:lineRule="auto"/>
        <w:rPr>
          <w:rFonts w:asciiTheme="minorHAnsi" w:hAnsiTheme="minorHAnsi" w:cs="Arial"/>
          <w:sz w:val="20"/>
          <w:szCs w:val="20"/>
        </w:rPr>
      </w:pPr>
      <w:bookmarkStart w:id="24" w:name="OLE_LINK5"/>
      <w:bookmarkStart w:id="25" w:name="OLE_LINK6"/>
      <w:r w:rsidRPr="003E335B">
        <w:rPr>
          <w:rFonts w:asciiTheme="minorHAnsi" w:hAnsiTheme="minorHAnsi" w:cs="Arial"/>
          <w:sz w:val="20"/>
          <w:szCs w:val="20"/>
        </w:rPr>
        <w:t xml:space="preserve">The accompanying notes are an integral part of these </w:t>
      </w:r>
      <w:r w:rsidR="005E1E77">
        <w:rPr>
          <w:rFonts w:asciiTheme="minorHAnsi" w:hAnsiTheme="minorHAnsi" w:cs="Arial"/>
          <w:sz w:val="20"/>
          <w:szCs w:val="20"/>
        </w:rPr>
        <w:t>Semi-Annual</w:t>
      </w:r>
      <w:r w:rsidRPr="003E335B">
        <w:rPr>
          <w:rFonts w:asciiTheme="minorHAnsi" w:hAnsiTheme="minorHAnsi" w:cs="Arial"/>
          <w:sz w:val="20"/>
          <w:szCs w:val="20"/>
        </w:rPr>
        <w:t xml:space="preserve"> </w:t>
      </w:r>
      <w:r w:rsidR="005E1E77">
        <w:rPr>
          <w:rFonts w:asciiTheme="minorHAnsi" w:hAnsiTheme="minorHAnsi" w:cs="Arial"/>
          <w:sz w:val="20"/>
          <w:szCs w:val="20"/>
        </w:rPr>
        <w:t>Financial Statements</w:t>
      </w:r>
      <w:bookmarkEnd w:id="24"/>
      <w:bookmarkEnd w:id="25"/>
    </w:p>
    <w:p w:rsidR="00847BCE" w:rsidRPr="003E335B" w:rsidRDefault="00847BCE" w:rsidP="000D70EC">
      <w:pPr>
        <w:pStyle w:val="Title2"/>
        <w:spacing w:before="0" w:after="100" w:line="240" w:lineRule="auto"/>
        <w:rPr>
          <w:rFonts w:asciiTheme="minorHAnsi" w:hAnsiTheme="minorHAnsi"/>
          <w:sz w:val="20"/>
          <w:szCs w:val="20"/>
        </w:rPr>
      </w:pPr>
      <w:r w:rsidRPr="003E335B">
        <w:rPr>
          <w:rFonts w:asciiTheme="minorHAnsi" w:hAnsiTheme="minorHAnsi"/>
          <w:sz w:val="20"/>
          <w:szCs w:val="20"/>
        </w:rPr>
        <w:br w:type="page"/>
      </w:r>
      <w:bookmarkStart w:id="26" w:name="_Toc265058911"/>
      <w:bookmarkStart w:id="27" w:name="_Toc258421323"/>
      <w:bookmarkStart w:id="28" w:name="_Toc257898963"/>
      <w:bookmarkStart w:id="29" w:name="_Toc297204166"/>
      <w:bookmarkStart w:id="30" w:name="_Toc300834226"/>
      <w:r w:rsidRPr="003E335B">
        <w:rPr>
          <w:rFonts w:asciiTheme="minorHAnsi" w:hAnsiTheme="minorHAnsi"/>
          <w:sz w:val="20"/>
          <w:szCs w:val="20"/>
        </w:rPr>
        <w:lastRenderedPageBreak/>
        <w:t>Consolidated statement of comprehensive income</w:t>
      </w:r>
      <w:bookmarkEnd w:id="26"/>
      <w:bookmarkEnd w:id="27"/>
      <w:bookmarkEnd w:id="28"/>
      <w:bookmarkEnd w:id="29"/>
      <w:bookmarkEnd w:id="30"/>
    </w:p>
    <w:tbl>
      <w:tblPr>
        <w:tblW w:w="9990" w:type="dxa"/>
        <w:tblInd w:w="108" w:type="dxa"/>
        <w:tblLayout w:type="fixed"/>
        <w:tblLook w:val="04A0"/>
      </w:tblPr>
      <w:tblGrid>
        <w:gridCol w:w="5310"/>
        <w:gridCol w:w="2160"/>
        <w:gridCol w:w="1260"/>
        <w:gridCol w:w="1260"/>
      </w:tblGrid>
      <w:tr w:rsidR="00847BCE" w:rsidRPr="003E335B" w:rsidTr="00801700">
        <w:trPr>
          <w:trHeight w:val="288"/>
        </w:trPr>
        <w:tc>
          <w:tcPr>
            <w:tcW w:w="5310" w:type="dxa"/>
            <w:vMerge w:val="restart"/>
            <w:vAlign w:val="bottom"/>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2160" w:type="dxa"/>
            <w:vMerge w:val="restart"/>
            <w:vAlign w:val="center"/>
            <w:hideMark/>
          </w:tcPr>
          <w:p w:rsidR="00847BCE" w:rsidRPr="003E335B" w:rsidRDefault="00847BCE" w:rsidP="000D70EC">
            <w:pPr>
              <w:spacing w:after="0" w:afterAutospacing="0" w:line="240" w:lineRule="auto"/>
              <w:rPr>
                <w:rFonts w:asciiTheme="minorHAnsi" w:hAnsiTheme="minorHAnsi" w:cs="Arial"/>
                <w:sz w:val="20"/>
                <w:szCs w:val="20"/>
              </w:rPr>
            </w:pPr>
          </w:p>
        </w:tc>
        <w:tc>
          <w:tcPr>
            <w:tcW w:w="2520" w:type="dxa"/>
            <w:gridSpan w:val="2"/>
            <w:vAlign w:val="bottom"/>
            <w:hideMark/>
          </w:tcPr>
          <w:p w:rsidR="00847BCE" w:rsidRPr="003E335B" w:rsidRDefault="00847BCE" w:rsidP="000D70EC">
            <w:pPr>
              <w:spacing w:after="0" w:afterAutospacing="0" w:line="240" w:lineRule="auto"/>
              <w:jc w:val="center"/>
              <w:rPr>
                <w:rFonts w:asciiTheme="minorHAnsi" w:hAnsiTheme="minorHAnsi" w:cs="Arial"/>
                <w:sz w:val="20"/>
                <w:szCs w:val="20"/>
              </w:rPr>
            </w:pPr>
            <w:r w:rsidRPr="003E335B">
              <w:rPr>
                <w:rFonts w:asciiTheme="minorHAnsi" w:hAnsiTheme="minorHAnsi" w:cs="Arial"/>
                <w:sz w:val="20"/>
                <w:szCs w:val="20"/>
              </w:rPr>
              <w:t>(unaudited)</w:t>
            </w:r>
          </w:p>
        </w:tc>
      </w:tr>
      <w:tr w:rsidR="00847BCE" w:rsidRPr="003E335B" w:rsidTr="00801700">
        <w:trPr>
          <w:trHeight w:val="255"/>
        </w:trPr>
        <w:tc>
          <w:tcPr>
            <w:tcW w:w="5310" w:type="dxa"/>
            <w:vMerge/>
            <w:vAlign w:val="center"/>
            <w:hideMark/>
          </w:tcPr>
          <w:p w:rsidR="00847BCE" w:rsidRPr="003E335B" w:rsidRDefault="00847BCE" w:rsidP="000D70EC">
            <w:pPr>
              <w:spacing w:after="0" w:afterAutospacing="0" w:line="240" w:lineRule="auto"/>
              <w:rPr>
                <w:rFonts w:asciiTheme="minorHAnsi" w:hAnsiTheme="minorHAnsi" w:cs="Arial"/>
                <w:sz w:val="20"/>
                <w:szCs w:val="20"/>
              </w:rPr>
            </w:pPr>
          </w:p>
        </w:tc>
        <w:tc>
          <w:tcPr>
            <w:tcW w:w="2160" w:type="dxa"/>
            <w:vMerge/>
            <w:vAlign w:val="center"/>
            <w:hideMark/>
          </w:tcPr>
          <w:p w:rsidR="00847BCE" w:rsidRPr="003E335B" w:rsidRDefault="00847BCE" w:rsidP="000D70EC">
            <w:pPr>
              <w:spacing w:after="0" w:afterAutospacing="0" w:line="240" w:lineRule="auto"/>
              <w:rPr>
                <w:rFonts w:asciiTheme="minorHAnsi" w:hAnsiTheme="minorHAnsi" w:cs="Arial"/>
                <w:sz w:val="20"/>
                <w:szCs w:val="20"/>
              </w:rPr>
            </w:pPr>
          </w:p>
        </w:tc>
        <w:tc>
          <w:tcPr>
            <w:tcW w:w="2520" w:type="dxa"/>
            <w:gridSpan w:val="2"/>
            <w:tcBorders>
              <w:bottom w:val="single" w:sz="18" w:space="0" w:color="auto"/>
            </w:tcBorders>
            <w:vAlign w:val="bottom"/>
            <w:hideMark/>
          </w:tcPr>
          <w:p w:rsidR="00847BCE" w:rsidRPr="003E335B" w:rsidRDefault="00847BCE" w:rsidP="000D70EC">
            <w:pPr>
              <w:spacing w:after="0" w:afterAutospacing="0" w:line="240" w:lineRule="auto"/>
              <w:jc w:val="center"/>
              <w:rPr>
                <w:rFonts w:asciiTheme="minorHAnsi" w:hAnsiTheme="minorHAnsi" w:cs="Arial"/>
                <w:sz w:val="20"/>
                <w:szCs w:val="20"/>
              </w:rPr>
            </w:pPr>
            <w:r w:rsidRPr="003E335B">
              <w:rPr>
                <w:rFonts w:asciiTheme="minorHAnsi" w:hAnsiTheme="minorHAnsi" w:cs="Arial"/>
                <w:sz w:val="20"/>
                <w:szCs w:val="20"/>
              </w:rPr>
              <w:t>Six months ended</w:t>
            </w:r>
          </w:p>
        </w:tc>
      </w:tr>
      <w:tr w:rsidR="00990F4A" w:rsidRPr="003E335B" w:rsidTr="00801700">
        <w:trPr>
          <w:trHeight w:val="255"/>
        </w:trPr>
        <w:tc>
          <w:tcPr>
            <w:tcW w:w="5310" w:type="dxa"/>
            <w:vMerge/>
            <w:tcBorders>
              <w:bottom w:val="single" w:sz="18" w:space="0" w:color="auto"/>
            </w:tcBorders>
            <w:vAlign w:val="center"/>
            <w:hideMark/>
          </w:tcPr>
          <w:p w:rsidR="00990F4A" w:rsidRPr="003E335B" w:rsidRDefault="00990F4A" w:rsidP="000D70EC">
            <w:pPr>
              <w:spacing w:after="0" w:afterAutospacing="0" w:line="240" w:lineRule="auto"/>
              <w:rPr>
                <w:rFonts w:asciiTheme="minorHAnsi" w:hAnsiTheme="minorHAnsi" w:cs="Arial"/>
                <w:sz w:val="20"/>
                <w:szCs w:val="20"/>
              </w:rPr>
            </w:pPr>
          </w:p>
        </w:tc>
        <w:tc>
          <w:tcPr>
            <w:tcW w:w="2160" w:type="dxa"/>
            <w:vMerge/>
            <w:tcBorders>
              <w:bottom w:val="single" w:sz="18" w:space="0" w:color="auto"/>
            </w:tcBorders>
            <w:vAlign w:val="center"/>
            <w:hideMark/>
          </w:tcPr>
          <w:p w:rsidR="00990F4A" w:rsidRPr="003E335B" w:rsidRDefault="00990F4A" w:rsidP="000D70EC">
            <w:pPr>
              <w:spacing w:after="0" w:afterAutospacing="0" w:line="240" w:lineRule="auto"/>
              <w:rPr>
                <w:rFonts w:asciiTheme="minorHAnsi" w:hAnsiTheme="minorHAnsi" w:cs="Arial"/>
                <w:sz w:val="20"/>
                <w:szCs w:val="20"/>
              </w:rPr>
            </w:pPr>
          </w:p>
        </w:tc>
        <w:tc>
          <w:tcPr>
            <w:tcW w:w="1260" w:type="dxa"/>
            <w:tcBorders>
              <w:top w:val="single" w:sz="18" w:space="0" w:color="auto"/>
              <w:bottom w:val="single" w:sz="18" w:space="0" w:color="auto"/>
            </w:tcBorders>
            <w:vAlign w:val="bottom"/>
            <w:hideMark/>
          </w:tcPr>
          <w:p w:rsidR="00990F4A" w:rsidRPr="003E335B" w:rsidRDefault="00990F4A" w:rsidP="000D70EC">
            <w:pPr>
              <w:spacing w:after="0" w:afterAutospacing="0" w:line="240" w:lineRule="auto"/>
              <w:jc w:val="center"/>
              <w:rPr>
                <w:rFonts w:asciiTheme="minorHAnsi" w:hAnsiTheme="minorHAnsi" w:cs="Arial"/>
                <w:sz w:val="20"/>
                <w:szCs w:val="20"/>
              </w:rPr>
            </w:pPr>
            <w:r w:rsidRPr="003E335B">
              <w:rPr>
                <w:rFonts w:asciiTheme="minorHAnsi" w:hAnsiTheme="minorHAnsi" w:cs="Arial"/>
                <w:sz w:val="20"/>
                <w:szCs w:val="20"/>
              </w:rPr>
              <w:t>July 2, 201</w:t>
            </w:r>
            <w:r w:rsidR="007E6F93" w:rsidRPr="003E335B">
              <w:rPr>
                <w:rFonts w:asciiTheme="minorHAnsi" w:hAnsiTheme="minorHAnsi" w:cs="Arial"/>
                <w:sz w:val="20"/>
                <w:szCs w:val="20"/>
              </w:rPr>
              <w:t>1</w:t>
            </w:r>
          </w:p>
        </w:tc>
        <w:tc>
          <w:tcPr>
            <w:tcW w:w="1260" w:type="dxa"/>
            <w:tcBorders>
              <w:top w:val="single" w:sz="18" w:space="0" w:color="auto"/>
              <w:bottom w:val="single" w:sz="18" w:space="0" w:color="auto"/>
            </w:tcBorders>
            <w:vAlign w:val="bottom"/>
            <w:hideMark/>
          </w:tcPr>
          <w:p w:rsidR="00990F4A" w:rsidRPr="003E335B" w:rsidRDefault="00990F4A" w:rsidP="000D70EC">
            <w:pPr>
              <w:spacing w:after="0" w:afterAutospacing="0" w:line="240" w:lineRule="auto"/>
              <w:jc w:val="center"/>
              <w:rPr>
                <w:rFonts w:asciiTheme="minorHAnsi" w:hAnsiTheme="minorHAnsi" w:cs="Arial"/>
                <w:sz w:val="20"/>
                <w:szCs w:val="20"/>
              </w:rPr>
            </w:pPr>
            <w:r w:rsidRPr="003E335B">
              <w:rPr>
                <w:rFonts w:asciiTheme="minorHAnsi" w:hAnsiTheme="minorHAnsi" w:cs="Arial"/>
                <w:sz w:val="20"/>
                <w:szCs w:val="20"/>
              </w:rPr>
              <w:t>June 26, 2010</w:t>
            </w:r>
          </w:p>
        </w:tc>
      </w:tr>
      <w:tr w:rsidR="00990F4A" w:rsidRPr="003E335B" w:rsidTr="00801700">
        <w:trPr>
          <w:trHeight w:val="255"/>
        </w:trPr>
        <w:tc>
          <w:tcPr>
            <w:tcW w:w="5310" w:type="dxa"/>
            <w:tcBorders>
              <w:top w:val="single" w:sz="18" w:space="0" w:color="auto"/>
            </w:tcBorders>
            <w:vAlign w:val="center"/>
            <w:hideMark/>
          </w:tcPr>
          <w:p w:rsidR="00990F4A" w:rsidRPr="003E335B" w:rsidRDefault="00990F4A"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Net result</w:t>
            </w:r>
          </w:p>
        </w:tc>
        <w:tc>
          <w:tcPr>
            <w:tcW w:w="2160" w:type="dxa"/>
            <w:tcBorders>
              <w:top w:val="single" w:sz="18" w:space="0" w:color="auto"/>
            </w:tcBorders>
            <w:vAlign w:val="center"/>
          </w:tcPr>
          <w:p w:rsidR="00990F4A" w:rsidRPr="003E335B" w:rsidRDefault="00990F4A" w:rsidP="000D70EC">
            <w:pPr>
              <w:spacing w:after="0" w:afterAutospacing="0" w:line="240" w:lineRule="auto"/>
              <w:rPr>
                <w:rFonts w:asciiTheme="minorHAnsi" w:hAnsiTheme="minorHAnsi" w:cs="Arial"/>
                <w:b/>
                <w:sz w:val="20"/>
                <w:szCs w:val="20"/>
              </w:rPr>
            </w:pPr>
          </w:p>
        </w:tc>
        <w:tc>
          <w:tcPr>
            <w:tcW w:w="1260" w:type="dxa"/>
            <w:tcBorders>
              <w:top w:val="single" w:sz="18" w:space="0" w:color="auto"/>
            </w:tcBorders>
            <w:vAlign w:val="center"/>
          </w:tcPr>
          <w:p w:rsidR="00990F4A" w:rsidRPr="003E335B" w:rsidRDefault="00FF652E"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4</w:t>
            </w:r>
            <w:r w:rsidR="0025257A">
              <w:rPr>
                <w:rFonts w:asciiTheme="minorHAnsi" w:hAnsiTheme="minorHAnsi" w:cs="Arial"/>
                <w:b/>
                <w:sz w:val="20"/>
                <w:szCs w:val="20"/>
              </w:rPr>
              <w:t>4</w:t>
            </w:r>
            <w:r w:rsidR="002D10BE">
              <w:rPr>
                <w:rFonts w:asciiTheme="minorHAnsi" w:hAnsiTheme="minorHAnsi" w:cs="Arial"/>
                <w:b/>
                <w:sz w:val="20"/>
                <w:szCs w:val="20"/>
              </w:rPr>
              <w:t>4</w:t>
            </w:r>
          </w:p>
        </w:tc>
        <w:tc>
          <w:tcPr>
            <w:tcW w:w="1260" w:type="dxa"/>
            <w:tcBorders>
              <w:top w:val="single" w:sz="18" w:space="0" w:color="auto"/>
            </w:tcBorders>
            <w:vAlign w:val="center"/>
            <w:hideMark/>
          </w:tcPr>
          <w:p w:rsidR="00990F4A" w:rsidRPr="003E335B" w:rsidRDefault="00990F4A"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214</w:t>
            </w:r>
          </w:p>
        </w:tc>
      </w:tr>
      <w:tr w:rsidR="00990F4A" w:rsidRPr="003E335B" w:rsidTr="00801700">
        <w:trPr>
          <w:trHeight w:val="255"/>
        </w:trPr>
        <w:tc>
          <w:tcPr>
            <w:tcW w:w="7470" w:type="dxa"/>
            <w:gridSpan w:val="2"/>
            <w:shd w:val="clear" w:color="auto" w:fill="B8CCE4" w:themeFill="accent1" w:themeFillTint="66"/>
            <w:vAlign w:val="center"/>
            <w:hideMark/>
          </w:tcPr>
          <w:p w:rsidR="00990F4A" w:rsidRPr="003E335B" w:rsidRDefault="00990F4A" w:rsidP="00923FB4">
            <w:pPr>
              <w:spacing w:after="0" w:afterAutospacing="0" w:line="240" w:lineRule="auto"/>
              <w:ind w:left="720"/>
              <w:rPr>
                <w:rFonts w:asciiTheme="minorHAnsi" w:hAnsiTheme="minorHAnsi" w:cs="Arial"/>
                <w:sz w:val="20"/>
                <w:szCs w:val="20"/>
              </w:rPr>
            </w:pPr>
            <w:r w:rsidRPr="003E335B">
              <w:rPr>
                <w:rFonts w:asciiTheme="minorHAnsi" w:hAnsiTheme="minorHAnsi" w:cs="Arial"/>
                <w:sz w:val="20"/>
                <w:szCs w:val="20"/>
              </w:rPr>
              <w:t>Exchange differences on translation of foreign operations</w:t>
            </w:r>
          </w:p>
        </w:tc>
        <w:tc>
          <w:tcPr>
            <w:tcW w:w="1260" w:type="dxa"/>
            <w:shd w:val="clear" w:color="auto" w:fill="B8CCE4" w:themeFill="accent1" w:themeFillTint="66"/>
            <w:vAlign w:val="center"/>
          </w:tcPr>
          <w:p w:rsidR="00990F4A"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266</w:t>
            </w:r>
          </w:p>
        </w:tc>
        <w:tc>
          <w:tcPr>
            <w:tcW w:w="1260" w:type="dxa"/>
            <w:shd w:val="clear" w:color="auto" w:fill="B8CCE4" w:themeFill="accent1" w:themeFillTint="66"/>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w:t>
            </w:r>
            <w:r w:rsidR="00FD3C75" w:rsidRPr="003E335B">
              <w:rPr>
                <w:rFonts w:asciiTheme="minorHAnsi" w:hAnsiTheme="minorHAnsi" w:cs="Arial"/>
                <w:sz w:val="20"/>
                <w:szCs w:val="20"/>
              </w:rPr>
              <w:t>518</w:t>
            </w:r>
            <w:r w:rsidRPr="003E335B">
              <w:rPr>
                <w:rFonts w:asciiTheme="minorHAnsi" w:hAnsiTheme="minorHAnsi" w:cs="Arial"/>
                <w:sz w:val="20"/>
                <w:szCs w:val="20"/>
              </w:rPr>
              <w:t>)</w:t>
            </w:r>
          </w:p>
        </w:tc>
      </w:tr>
      <w:tr w:rsidR="00F72C35" w:rsidRPr="003E335B" w:rsidTr="00801700">
        <w:trPr>
          <w:trHeight w:val="255"/>
        </w:trPr>
        <w:tc>
          <w:tcPr>
            <w:tcW w:w="5310" w:type="dxa"/>
            <w:vAlign w:val="center"/>
            <w:hideMark/>
          </w:tcPr>
          <w:p w:rsidR="00F72C35" w:rsidRPr="003E335B" w:rsidRDefault="00F72C35" w:rsidP="00923FB4">
            <w:pPr>
              <w:spacing w:after="0" w:afterAutospacing="0" w:line="240" w:lineRule="auto"/>
              <w:ind w:left="720"/>
              <w:rPr>
                <w:rFonts w:asciiTheme="minorHAnsi" w:hAnsiTheme="minorHAnsi" w:cs="Arial"/>
                <w:sz w:val="20"/>
                <w:szCs w:val="20"/>
              </w:rPr>
            </w:pPr>
          </w:p>
        </w:tc>
        <w:tc>
          <w:tcPr>
            <w:tcW w:w="2160" w:type="dxa"/>
            <w:vAlign w:val="center"/>
          </w:tcPr>
          <w:p w:rsidR="00F72C35" w:rsidRPr="003E335B" w:rsidRDefault="00F72C35" w:rsidP="000D70EC">
            <w:pPr>
              <w:spacing w:after="0" w:afterAutospacing="0" w:line="240" w:lineRule="auto"/>
              <w:rPr>
                <w:rFonts w:asciiTheme="minorHAnsi" w:hAnsiTheme="minorHAnsi" w:cs="Arial"/>
                <w:sz w:val="20"/>
                <w:szCs w:val="20"/>
              </w:rPr>
            </w:pPr>
          </w:p>
        </w:tc>
        <w:tc>
          <w:tcPr>
            <w:tcW w:w="1260" w:type="dxa"/>
            <w:vAlign w:val="center"/>
          </w:tcPr>
          <w:p w:rsidR="00F72C35" w:rsidRDefault="00F72C35" w:rsidP="000D70EC">
            <w:pPr>
              <w:spacing w:after="0" w:afterAutospacing="0" w:line="240" w:lineRule="auto"/>
              <w:jc w:val="right"/>
              <w:rPr>
                <w:rFonts w:asciiTheme="minorHAnsi" w:hAnsiTheme="minorHAnsi" w:cs="Arial"/>
                <w:sz w:val="20"/>
                <w:szCs w:val="20"/>
              </w:rPr>
            </w:pPr>
          </w:p>
        </w:tc>
        <w:tc>
          <w:tcPr>
            <w:tcW w:w="1260" w:type="dxa"/>
            <w:vAlign w:val="center"/>
            <w:hideMark/>
          </w:tcPr>
          <w:p w:rsidR="00F72C35" w:rsidRPr="003E335B" w:rsidRDefault="00F72C35" w:rsidP="000D70EC">
            <w:pPr>
              <w:spacing w:after="0" w:afterAutospacing="0" w:line="240" w:lineRule="auto"/>
              <w:jc w:val="right"/>
              <w:rPr>
                <w:rFonts w:asciiTheme="minorHAnsi" w:hAnsiTheme="minorHAnsi" w:cs="Arial"/>
                <w:sz w:val="20"/>
                <w:szCs w:val="20"/>
              </w:rPr>
            </w:pPr>
          </w:p>
        </w:tc>
      </w:tr>
      <w:tr w:rsidR="00990F4A" w:rsidRPr="003E335B" w:rsidTr="00801700">
        <w:trPr>
          <w:trHeight w:val="255"/>
        </w:trPr>
        <w:tc>
          <w:tcPr>
            <w:tcW w:w="5310" w:type="dxa"/>
            <w:vAlign w:val="center"/>
            <w:hideMark/>
          </w:tcPr>
          <w:p w:rsidR="00990F4A" w:rsidRPr="003E335B" w:rsidRDefault="00990F4A" w:rsidP="00923FB4">
            <w:pPr>
              <w:spacing w:after="0" w:afterAutospacing="0" w:line="240" w:lineRule="auto"/>
              <w:ind w:left="720"/>
              <w:rPr>
                <w:rFonts w:asciiTheme="minorHAnsi" w:hAnsiTheme="minorHAnsi" w:cs="Arial"/>
                <w:sz w:val="20"/>
                <w:szCs w:val="20"/>
              </w:rPr>
            </w:pPr>
            <w:r w:rsidRPr="003E335B">
              <w:rPr>
                <w:rFonts w:asciiTheme="minorHAnsi" w:hAnsiTheme="minorHAnsi" w:cs="Arial"/>
                <w:sz w:val="20"/>
                <w:szCs w:val="20"/>
              </w:rPr>
              <w:t>Net movement on cash flow hedges</w:t>
            </w:r>
          </w:p>
        </w:tc>
        <w:tc>
          <w:tcPr>
            <w:tcW w:w="2160" w:type="dxa"/>
            <w:vAlign w:val="center"/>
          </w:tcPr>
          <w:p w:rsidR="00990F4A" w:rsidRPr="003E335B" w:rsidRDefault="00990F4A" w:rsidP="000D70EC">
            <w:pPr>
              <w:spacing w:after="0" w:afterAutospacing="0" w:line="240" w:lineRule="auto"/>
              <w:rPr>
                <w:rFonts w:asciiTheme="minorHAnsi" w:hAnsiTheme="minorHAnsi" w:cs="Arial"/>
                <w:sz w:val="20"/>
                <w:szCs w:val="20"/>
              </w:rPr>
            </w:pPr>
          </w:p>
        </w:tc>
        <w:tc>
          <w:tcPr>
            <w:tcW w:w="1260" w:type="dxa"/>
            <w:vAlign w:val="center"/>
          </w:tcPr>
          <w:p w:rsidR="00990F4A" w:rsidRPr="003E335B" w:rsidRDefault="002D10BE" w:rsidP="000D70EC">
            <w:pPr>
              <w:spacing w:after="0" w:afterAutospacing="0" w:line="240" w:lineRule="auto"/>
              <w:jc w:val="right"/>
              <w:rPr>
                <w:rFonts w:asciiTheme="minorHAnsi" w:hAnsiTheme="minorHAnsi" w:cs="Arial"/>
                <w:sz w:val="20"/>
                <w:szCs w:val="20"/>
              </w:rPr>
            </w:pPr>
            <w:r>
              <w:rPr>
                <w:rFonts w:asciiTheme="minorHAnsi" w:hAnsiTheme="minorHAnsi" w:cs="Arial"/>
                <w:sz w:val="20"/>
                <w:szCs w:val="20"/>
              </w:rPr>
              <w:t>50</w:t>
            </w:r>
          </w:p>
        </w:tc>
        <w:tc>
          <w:tcPr>
            <w:tcW w:w="1260" w:type="dxa"/>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(68)</w:t>
            </w:r>
          </w:p>
        </w:tc>
      </w:tr>
      <w:tr w:rsidR="00990F4A" w:rsidRPr="003E335B" w:rsidTr="00801700">
        <w:trPr>
          <w:trHeight w:val="255"/>
        </w:trPr>
        <w:tc>
          <w:tcPr>
            <w:tcW w:w="5310" w:type="dxa"/>
            <w:shd w:val="clear" w:color="auto" w:fill="B8CCE4" w:themeFill="accent1" w:themeFillTint="66"/>
            <w:vAlign w:val="center"/>
            <w:hideMark/>
          </w:tcPr>
          <w:p w:rsidR="00990F4A" w:rsidRPr="003E335B" w:rsidRDefault="00990F4A" w:rsidP="00923FB4">
            <w:pPr>
              <w:spacing w:after="0" w:afterAutospacing="0" w:line="240" w:lineRule="auto"/>
              <w:ind w:left="720"/>
              <w:rPr>
                <w:rFonts w:asciiTheme="minorHAnsi" w:hAnsiTheme="minorHAnsi" w:cs="Arial"/>
                <w:sz w:val="20"/>
                <w:szCs w:val="20"/>
              </w:rPr>
            </w:pPr>
            <w:r w:rsidRPr="003E335B">
              <w:rPr>
                <w:rFonts w:asciiTheme="minorHAnsi" w:hAnsiTheme="minorHAnsi" w:cs="Arial"/>
                <w:sz w:val="20"/>
                <w:szCs w:val="20"/>
              </w:rPr>
              <w:t>Income tax effect</w:t>
            </w:r>
          </w:p>
        </w:tc>
        <w:tc>
          <w:tcPr>
            <w:tcW w:w="2160" w:type="dxa"/>
            <w:shd w:val="clear" w:color="auto" w:fill="B8CCE4" w:themeFill="accent1" w:themeFillTint="66"/>
            <w:vAlign w:val="center"/>
          </w:tcPr>
          <w:p w:rsidR="00990F4A" w:rsidRPr="003E335B" w:rsidRDefault="00990F4A" w:rsidP="000D70EC">
            <w:pPr>
              <w:spacing w:after="0" w:afterAutospacing="0" w:line="240" w:lineRule="auto"/>
              <w:rPr>
                <w:rFonts w:asciiTheme="minorHAnsi" w:hAnsiTheme="minorHAnsi" w:cs="Arial"/>
                <w:sz w:val="20"/>
                <w:szCs w:val="20"/>
              </w:rPr>
            </w:pPr>
          </w:p>
        </w:tc>
        <w:tc>
          <w:tcPr>
            <w:tcW w:w="1260" w:type="dxa"/>
            <w:tcBorders>
              <w:bottom w:val="single" w:sz="18" w:space="0" w:color="auto"/>
            </w:tcBorders>
            <w:shd w:val="clear" w:color="auto" w:fill="B8CCE4" w:themeFill="accent1" w:themeFillTint="66"/>
            <w:vAlign w:val="center"/>
          </w:tcPr>
          <w:p w:rsidR="00990F4A"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(9)</w:t>
            </w:r>
          </w:p>
        </w:tc>
        <w:tc>
          <w:tcPr>
            <w:tcW w:w="1260" w:type="dxa"/>
            <w:tcBorders>
              <w:bottom w:val="single" w:sz="18" w:space="0" w:color="auto"/>
            </w:tcBorders>
            <w:shd w:val="clear" w:color="auto" w:fill="B8CCE4" w:themeFill="accent1" w:themeFillTint="66"/>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6</w:t>
            </w:r>
          </w:p>
        </w:tc>
      </w:tr>
      <w:tr w:rsidR="00990F4A" w:rsidRPr="003E335B" w:rsidTr="00801700">
        <w:trPr>
          <w:trHeight w:val="255"/>
        </w:trPr>
        <w:tc>
          <w:tcPr>
            <w:tcW w:w="5310" w:type="dxa"/>
            <w:vAlign w:val="center"/>
          </w:tcPr>
          <w:p w:rsidR="00990F4A" w:rsidRPr="003E335B" w:rsidRDefault="00990F4A" w:rsidP="000D70EC">
            <w:pPr>
              <w:spacing w:after="0" w:afterAutospacing="0" w:line="240" w:lineRule="auto"/>
              <w:rPr>
                <w:rFonts w:asciiTheme="minorHAnsi" w:hAnsiTheme="minorHAnsi" w:cs="Arial"/>
                <w:sz w:val="20"/>
                <w:szCs w:val="20"/>
              </w:rPr>
            </w:pPr>
          </w:p>
        </w:tc>
        <w:tc>
          <w:tcPr>
            <w:tcW w:w="2160" w:type="dxa"/>
            <w:vAlign w:val="center"/>
          </w:tcPr>
          <w:p w:rsidR="00990F4A" w:rsidRPr="003E335B" w:rsidRDefault="00990F4A" w:rsidP="000D70EC">
            <w:pPr>
              <w:spacing w:after="0" w:afterAutospacing="0" w:line="240" w:lineRule="auto"/>
              <w:rPr>
                <w:rFonts w:asciiTheme="minorHAnsi" w:hAnsiTheme="minorHAnsi" w:cs="Arial"/>
                <w:sz w:val="20"/>
                <w:szCs w:val="20"/>
              </w:rPr>
            </w:pPr>
          </w:p>
        </w:tc>
        <w:tc>
          <w:tcPr>
            <w:tcW w:w="1260" w:type="dxa"/>
            <w:tcBorders>
              <w:top w:val="single" w:sz="18" w:space="0" w:color="auto"/>
            </w:tcBorders>
            <w:vAlign w:val="center"/>
          </w:tcPr>
          <w:p w:rsidR="00990F4A" w:rsidRPr="003E335B" w:rsidRDefault="002D10BE" w:rsidP="000D70EC">
            <w:pPr>
              <w:spacing w:after="0" w:afterAutospacing="0" w:line="240" w:lineRule="auto"/>
              <w:jc w:val="right"/>
              <w:rPr>
                <w:rFonts w:asciiTheme="minorHAnsi" w:hAnsiTheme="minorHAnsi" w:cs="Arial"/>
                <w:sz w:val="20"/>
                <w:szCs w:val="20"/>
              </w:rPr>
            </w:pPr>
            <w:r>
              <w:rPr>
                <w:rFonts w:asciiTheme="minorHAnsi" w:hAnsiTheme="minorHAnsi" w:cs="Arial"/>
                <w:sz w:val="20"/>
                <w:szCs w:val="20"/>
              </w:rPr>
              <w:t>41</w:t>
            </w:r>
          </w:p>
        </w:tc>
        <w:tc>
          <w:tcPr>
            <w:tcW w:w="1260" w:type="dxa"/>
            <w:tcBorders>
              <w:top w:val="single" w:sz="18" w:space="0" w:color="auto"/>
            </w:tcBorders>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(62)</w:t>
            </w:r>
          </w:p>
        </w:tc>
      </w:tr>
      <w:tr w:rsidR="00F72C35" w:rsidRPr="00F72C35" w:rsidTr="00801700">
        <w:trPr>
          <w:trHeight w:val="255"/>
        </w:trPr>
        <w:tc>
          <w:tcPr>
            <w:tcW w:w="5310" w:type="dxa"/>
            <w:shd w:val="clear" w:color="auto" w:fill="auto"/>
            <w:vAlign w:val="center"/>
            <w:hideMark/>
          </w:tcPr>
          <w:p w:rsidR="00F72C35" w:rsidRPr="003E335B" w:rsidRDefault="00F72C35" w:rsidP="00923FB4">
            <w:pPr>
              <w:spacing w:after="0" w:afterAutospacing="0" w:line="240" w:lineRule="auto"/>
              <w:ind w:left="720"/>
              <w:rPr>
                <w:rFonts w:asciiTheme="minorHAnsi" w:hAnsiTheme="minorHAnsi" w:cs="Arial"/>
                <w:sz w:val="20"/>
                <w:szCs w:val="20"/>
              </w:rPr>
            </w:pPr>
          </w:p>
        </w:tc>
        <w:tc>
          <w:tcPr>
            <w:tcW w:w="2160" w:type="dxa"/>
            <w:shd w:val="clear" w:color="auto" w:fill="auto"/>
            <w:vAlign w:val="center"/>
          </w:tcPr>
          <w:p w:rsidR="00F72C35" w:rsidRPr="003E335B" w:rsidRDefault="00F72C35" w:rsidP="00F72C35">
            <w:pPr>
              <w:spacing w:after="0" w:afterAutospacing="0" w:line="240" w:lineRule="auto"/>
              <w:ind w:left="720"/>
              <w:rPr>
                <w:rFonts w:asciiTheme="minorHAnsi" w:hAnsiTheme="minorHAnsi" w:cs="Arial"/>
                <w:sz w:val="20"/>
                <w:szCs w:val="20"/>
              </w:rPr>
            </w:pPr>
          </w:p>
        </w:tc>
        <w:tc>
          <w:tcPr>
            <w:tcW w:w="1260" w:type="dxa"/>
            <w:shd w:val="clear" w:color="auto" w:fill="auto"/>
            <w:vAlign w:val="center"/>
          </w:tcPr>
          <w:p w:rsidR="00F72C35" w:rsidRPr="003E335B" w:rsidRDefault="00F72C35" w:rsidP="00F72C35">
            <w:pPr>
              <w:spacing w:after="0" w:afterAutospacing="0" w:line="240" w:lineRule="auto"/>
              <w:ind w:left="720"/>
              <w:rPr>
                <w:rFonts w:asciiTheme="minorHAnsi" w:hAnsiTheme="minorHAnsi" w:cs="Arial"/>
                <w:sz w:val="20"/>
                <w:szCs w:val="20"/>
              </w:rPr>
            </w:pPr>
          </w:p>
        </w:tc>
        <w:tc>
          <w:tcPr>
            <w:tcW w:w="1260" w:type="dxa"/>
            <w:shd w:val="clear" w:color="auto" w:fill="auto"/>
            <w:vAlign w:val="center"/>
            <w:hideMark/>
          </w:tcPr>
          <w:p w:rsidR="00F72C35" w:rsidRPr="003E335B" w:rsidRDefault="00F72C35" w:rsidP="00F72C35">
            <w:pPr>
              <w:spacing w:after="0" w:afterAutospacing="0" w:line="240" w:lineRule="auto"/>
              <w:ind w:left="720"/>
              <w:rPr>
                <w:rFonts w:asciiTheme="minorHAnsi" w:hAnsiTheme="minorHAnsi" w:cs="Arial"/>
                <w:sz w:val="20"/>
                <w:szCs w:val="20"/>
              </w:rPr>
            </w:pPr>
          </w:p>
        </w:tc>
      </w:tr>
      <w:tr w:rsidR="00990F4A" w:rsidRPr="003E335B" w:rsidTr="00801700">
        <w:trPr>
          <w:trHeight w:val="255"/>
        </w:trPr>
        <w:tc>
          <w:tcPr>
            <w:tcW w:w="5310" w:type="dxa"/>
            <w:shd w:val="clear" w:color="auto" w:fill="B8CCE4" w:themeFill="accent1" w:themeFillTint="66"/>
            <w:vAlign w:val="center"/>
            <w:hideMark/>
          </w:tcPr>
          <w:p w:rsidR="00990F4A" w:rsidRPr="003E335B" w:rsidRDefault="00990F4A" w:rsidP="00923FB4">
            <w:pPr>
              <w:spacing w:after="0" w:afterAutospacing="0" w:line="240" w:lineRule="auto"/>
              <w:ind w:left="720"/>
              <w:rPr>
                <w:rFonts w:asciiTheme="minorHAnsi" w:hAnsiTheme="minorHAnsi" w:cs="Arial"/>
                <w:sz w:val="20"/>
                <w:szCs w:val="20"/>
              </w:rPr>
            </w:pPr>
            <w:r w:rsidRPr="003E335B">
              <w:rPr>
                <w:rFonts w:asciiTheme="minorHAnsi" w:hAnsiTheme="minorHAnsi" w:cs="Arial"/>
                <w:sz w:val="20"/>
                <w:szCs w:val="20"/>
              </w:rPr>
              <w:t>Net (loss)/gain on available-for-sale financial assets</w:t>
            </w:r>
          </w:p>
        </w:tc>
        <w:tc>
          <w:tcPr>
            <w:tcW w:w="2160" w:type="dxa"/>
            <w:shd w:val="clear" w:color="auto" w:fill="B8CCE4" w:themeFill="accent1" w:themeFillTint="66"/>
            <w:vAlign w:val="center"/>
          </w:tcPr>
          <w:p w:rsidR="00990F4A" w:rsidRPr="003E335B" w:rsidRDefault="00990F4A" w:rsidP="000D70EC">
            <w:pPr>
              <w:spacing w:after="0" w:afterAutospacing="0" w:line="240" w:lineRule="auto"/>
              <w:rPr>
                <w:rFonts w:asciiTheme="minorHAnsi" w:hAnsiTheme="minorHAnsi" w:cs="Arial"/>
                <w:sz w:val="20"/>
                <w:szCs w:val="20"/>
              </w:rPr>
            </w:pPr>
          </w:p>
        </w:tc>
        <w:tc>
          <w:tcPr>
            <w:tcW w:w="1260" w:type="dxa"/>
            <w:shd w:val="clear" w:color="auto" w:fill="B8CCE4" w:themeFill="accent1" w:themeFillTint="66"/>
            <w:vAlign w:val="center"/>
          </w:tcPr>
          <w:p w:rsidR="00990F4A"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(28)</w:t>
            </w:r>
          </w:p>
        </w:tc>
        <w:tc>
          <w:tcPr>
            <w:tcW w:w="1260" w:type="dxa"/>
            <w:shd w:val="clear" w:color="auto" w:fill="B8CCE4" w:themeFill="accent1" w:themeFillTint="66"/>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77</w:t>
            </w:r>
          </w:p>
        </w:tc>
      </w:tr>
      <w:tr w:rsidR="00990F4A" w:rsidRPr="003E335B" w:rsidTr="00801700">
        <w:trPr>
          <w:trHeight w:val="255"/>
        </w:trPr>
        <w:tc>
          <w:tcPr>
            <w:tcW w:w="5310" w:type="dxa"/>
            <w:shd w:val="clear" w:color="auto" w:fill="auto"/>
            <w:vAlign w:val="center"/>
            <w:hideMark/>
          </w:tcPr>
          <w:p w:rsidR="00990F4A" w:rsidRPr="003E335B" w:rsidRDefault="00990F4A" w:rsidP="00923FB4">
            <w:pPr>
              <w:spacing w:after="0" w:afterAutospacing="0" w:line="240" w:lineRule="auto"/>
              <w:ind w:left="720"/>
              <w:rPr>
                <w:rFonts w:asciiTheme="minorHAnsi" w:hAnsiTheme="minorHAnsi" w:cs="Arial"/>
                <w:sz w:val="20"/>
                <w:szCs w:val="20"/>
              </w:rPr>
            </w:pPr>
            <w:r w:rsidRPr="003E335B">
              <w:rPr>
                <w:rFonts w:asciiTheme="minorHAnsi" w:hAnsiTheme="minorHAnsi" w:cs="Arial"/>
                <w:sz w:val="20"/>
                <w:szCs w:val="20"/>
              </w:rPr>
              <w:t>Income tax effect</w:t>
            </w:r>
          </w:p>
        </w:tc>
        <w:tc>
          <w:tcPr>
            <w:tcW w:w="2160" w:type="dxa"/>
            <w:shd w:val="clear" w:color="auto" w:fill="auto"/>
            <w:vAlign w:val="center"/>
          </w:tcPr>
          <w:p w:rsidR="00990F4A" w:rsidRPr="003E335B" w:rsidRDefault="00990F4A" w:rsidP="000D70EC">
            <w:pPr>
              <w:spacing w:after="0" w:afterAutospacing="0" w:line="240" w:lineRule="auto"/>
              <w:rPr>
                <w:rFonts w:asciiTheme="minorHAnsi" w:hAnsiTheme="minorHAnsi" w:cs="Arial"/>
                <w:sz w:val="20"/>
                <w:szCs w:val="20"/>
              </w:rPr>
            </w:pPr>
          </w:p>
        </w:tc>
        <w:tc>
          <w:tcPr>
            <w:tcW w:w="1260" w:type="dxa"/>
            <w:tcBorders>
              <w:bottom w:val="single" w:sz="18" w:space="0" w:color="auto"/>
            </w:tcBorders>
            <w:shd w:val="clear" w:color="auto" w:fill="auto"/>
            <w:vAlign w:val="center"/>
          </w:tcPr>
          <w:p w:rsidR="00990F4A"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w:t>
            </w:r>
          </w:p>
        </w:tc>
        <w:tc>
          <w:tcPr>
            <w:tcW w:w="1260" w:type="dxa"/>
            <w:tcBorders>
              <w:bottom w:val="single" w:sz="18" w:space="0" w:color="auto"/>
            </w:tcBorders>
            <w:shd w:val="clear" w:color="auto" w:fill="auto"/>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w:t>
            </w:r>
          </w:p>
        </w:tc>
      </w:tr>
      <w:tr w:rsidR="00990F4A" w:rsidRPr="003E335B" w:rsidTr="00801700">
        <w:trPr>
          <w:trHeight w:val="255"/>
        </w:trPr>
        <w:tc>
          <w:tcPr>
            <w:tcW w:w="5310" w:type="dxa"/>
            <w:shd w:val="clear" w:color="auto" w:fill="B8CCE4" w:themeFill="accent1" w:themeFillTint="66"/>
            <w:vAlign w:val="center"/>
          </w:tcPr>
          <w:p w:rsidR="00990F4A" w:rsidRPr="003E335B" w:rsidRDefault="00990F4A" w:rsidP="000D70EC">
            <w:pPr>
              <w:spacing w:after="0" w:afterAutospacing="0" w:line="240" w:lineRule="auto"/>
              <w:rPr>
                <w:rFonts w:asciiTheme="minorHAnsi" w:hAnsiTheme="minorHAnsi" w:cs="Arial"/>
                <w:sz w:val="20"/>
                <w:szCs w:val="20"/>
              </w:rPr>
            </w:pPr>
          </w:p>
        </w:tc>
        <w:tc>
          <w:tcPr>
            <w:tcW w:w="2160" w:type="dxa"/>
            <w:shd w:val="clear" w:color="auto" w:fill="B8CCE4" w:themeFill="accent1" w:themeFillTint="66"/>
            <w:vAlign w:val="center"/>
          </w:tcPr>
          <w:p w:rsidR="00990F4A" w:rsidRPr="003E335B" w:rsidRDefault="00990F4A" w:rsidP="000D70EC">
            <w:pPr>
              <w:spacing w:after="0" w:afterAutospacing="0" w:line="240" w:lineRule="auto"/>
              <w:rPr>
                <w:rFonts w:asciiTheme="minorHAnsi" w:hAnsiTheme="minorHAnsi" w:cs="Arial"/>
                <w:sz w:val="20"/>
                <w:szCs w:val="20"/>
              </w:rPr>
            </w:pPr>
          </w:p>
        </w:tc>
        <w:tc>
          <w:tcPr>
            <w:tcW w:w="1260" w:type="dxa"/>
            <w:tcBorders>
              <w:top w:val="single" w:sz="18" w:space="0" w:color="auto"/>
            </w:tcBorders>
            <w:shd w:val="clear" w:color="auto" w:fill="B8CCE4" w:themeFill="accent1" w:themeFillTint="66"/>
            <w:vAlign w:val="center"/>
          </w:tcPr>
          <w:p w:rsidR="00990F4A"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(27)</w:t>
            </w:r>
          </w:p>
        </w:tc>
        <w:tc>
          <w:tcPr>
            <w:tcW w:w="1260" w:type="dxa"/>
            <w:tcBorders>
              <w:top w:val="single" w:sz="18" w:space="0" w:color="auto"/>
            </w:tcBorders>
            <w:shd w:val="clear" w:color="auto" w:fill="B8CCE4" w:themeFill="accent1" w:themeFillTint="66"/>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76</w:t>
            </w:r>
          </w:p>
        </w:tc>
      </w:tr>
      <w:tr w:rsidR="00990F4A" w:rsidRPr="00923FB4" w:rsidTr="00801700">
        <w:trPr>
          <w:trHeight w:val="255"/>
        </w:trPr>
        <w:tc>
          <w:tcPr>
            <w:tcW w:w="5310" w:type="dxa"/>
            <w:shd w:val="clear" w:color="auto" w:fill="auto"/>
            <w:vAlign w:val="center"/>
            <w:hideMark/>
          </w:tcPr>
          <w:p w:rsidR="00990F4A" w:rsidRPr="00923FB4" w:rsidRDefault="00923FB4" w:rsidP="00923FB4">
            <w:pPr>
              <w:spacing w:after="0" w:afterAutospacing="0" w:line="240" w:lineRule="auto"/>
              <w:ind w:left="720"/>
              <w:rPr>
                <w:rFonts w:asciiTheme="minorHAnsi" w:hAnsiTheme="minorHAnsi" w:cs="Arial"/>
                <w:b/>
                <w:sz w:val="20"/>
                <w:szCs w:val="20"/>
              </w:rPr>
            </w:pPr>
            <w:r w:rsidRPr="00923FB4">
              <w:rPr>
                <w:rFonts w:asciiTheme="minorHAnsi" w:hAnsiTheme="minorHAnsi" w:cs="Arial"/>
                <w:b/>
                <w:sz w:val="20"/>
                <w:szCs w:val="20"/>
              </w:rPr>
              <w:t xml:space="preserve">Total </w:t>
            </w:r>
            <w:r w:rsidR="00990F4A" w:rsidRPr="00923FB4">
              <w:rPr>
                <w:rFonts w:asciiTheme="minorHAnsi" w:hAnsiTheme="minorHAnsi" w:cs="Arial"/>
                <w:b/>
                <w:sz w:val="20"/>
                <w:szCs w:val="20"/>
              </w:rPr>
              <w:t>Other comprehensive income, net of tax</w:t>
            </w:r>
          </w:p>
        </w:tc>
        <w:tc>
          <w:tcPr>
            <w:tcW w:w="2160" w:type="dxa"/>
            <w:shd w:val="clear" w:color="auto" w:fill="auto"/>
            <w:vAlign w:val="center"/>
          </w:tcPr>
          <w:p w:rsidR="00990F4A" w:rsidRPr="00923FB4" w:rsidRDefault="00990F4A" w:rsidP="000D70EC">
            <w:pPr>
              <w:spacing w:after="0" w:afterAutospacing="0" w:line="240" w:lineRule="auto"/>
              <w:rPr>
                <w:rFonts w:asciiTheme="minorHAnsi" w:hAnsiTheme="minorHAnsi" w:cs="Arial"/>
                <w:b/>
                <w:sz w:val="20"/>
                <w:szCs w:val="20"/>
              </w:rPr>
            </w:pPr>
          </w:p>
        </w:tc>
        <w:tc>
          <w:tcPr>
            <w:tcW w:w="1260" w:type="dxa"/>
            <w:tcBorders>
              <w:bottom w:val="single" w:sz="18" w:space="0" w:color="auto"/>
            </w:tcBorders>
            <w:shd w:val="clear" w:color="auto" w:fill="auto"/>
            <w:vAlign w:val="center"/>
          </w:tcPr>
          <w:p w:rsidR="00990F4A" w:rsidRPr="00923FB4" w:rsidRDefault="00FF652E" w:rsidP="000D70EC">
            <w:pPr>
              <w:spacing w:after="0" w:afterAutospacing="0" w:line="240" w:lineRule="auto"/>
              <w:jc w:val="right"/>
              <w:rPr>
                <w:rFonts w:asciiTheme="minorHAnsi" w:hAnsiTheme="minorHAnsi" w:cs="Arial"/>
                <w:b/>
                <w:sz w:val="20"/>
                <w:szCs w:val="20"/>
              </w:rPr>
            </w:pPr>
            <w:r w:rsidRPr="00923FB4">
              <w:rPr>
                <w:rFonts w:asciiTheme="minorHAnsi" w:hAnsiTheme="minorHAnsi" w:cs="Arial"/>
                <w:b/>
                <w:sz w:val="20"/>
                <w:szCs w:val="20"/>
              </w:rPr>
              <w:t>2</w:t>
            </w:r>
            <w:r w:rsidR="002D10BE">
              <w:rPr>
                <w:rFonts w:asciiTheme="minorHAnsi" w:hAnsiTheme="minorHAnsi" w:cs="Arial"/>
                <w:b/>
                <w:sz w:val="20"/>
                <w:szCs w:val="20"/>
              </w:rPr>
              <w:t>80</w:t>
            </w:r>
          </w:p>
        </w:tc>
        <w:tc>
          <w:tcPr>
            <w:tcW w:w="1260" w:type="dxa"/>
            <w:tcBorders>
              <w:bottom w:val="single" w:sz="18" w:space="0" w:color="auto"/>
            </w:tcBorders>
            <w:shd w:val="clear" w:color="auto" w:fill="auto"/>
            <w:vAlign w:val="center"/>
            <w:hideMark/>
          </w:tcPr>
          <w:p w:rsidR="00990F4A" w:rsidRPr="00923FB4" w:rsidRDefault="00990F4A" w:rsidP="000D70EC">
            <w:pPr>
              <w:spacing w:after="0" w:afterAutospacing="0" w:line="240" w:lineRule="auto"/>
              <w:jc w:val="right"/>
              <w:rPr>
                <w:rFonts w:asciiTheme="minorHAnsi" w:hAnsiTheme="minorHAnsi" w:cs="Arial"/>
                <w:b/>
                <w:sz w:val="20"/>
                <w:szCs w:val="20"/>
              </w:rPr>
            </w:pPr>
            <w:r w:rsidRPr="00923FB4">
              <w:rPr>
                <w:rFonts w:asciiTheme="minorHAnsi" w:hAnsiTheme="minorHAnsi" w:cs="Arial"/>
                <w:b/>
                <w:sz w:val="20"/>
                <w:szCs w:val="20"/>
              </w:rPr>
              <w:t>(504)</w:t>
            </w:r>
          </w:p>
        </w:tc>
      </w:tr>
      <w:tr w:rsidR="00990F4A" w:rsidRPr="003E335B" w:rsidTr="00801700">
        <w:trPr>
          <w:trHeight w:val="255"/>
        </w:trPr>
        <w:tc>
          <w:tcPr>
            <w:tcW w:w="5310" w:type="dxa"/>
            <w:shd w:val="clear" w:color="auto" w:fill="B8CCE4" w:themeFill="accent1" w:themeFillTint="66"/>
            <w:vAlign w:val="center"/>
            <w:hideMark/>
          </w:tcPr>
          <w:p w:rsidR="00990F4A" w:rsidRPr="003E335B" w:rsidRDefault="00990F4A"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Total comprehensive income, net of tax</w:t>
            </w:r>
          </w:p>
        </w:tc>
        <w:tc>
          <w:tcPr>
            <w:tcW w:w="2160" w:type="dxa"/>
            <w:shd w:val="clear" w:color="auto" w:fill="B8CCE4" w:themeFill="accent1" w:themeFillTint="66"/>
            <w:vAlign w:val="center"/>
          </w:tcPr>
          <w:p w:rsidR="00990F4A" w:rsidRPr="003E335B" w:rsidRDefault="00990F4A" w:rsidP="000D70EC">
            <w:pPr>
              <w:spacing w:after="0" w:afterAutospacing="0" w:line="240" w:lineRule="auto"/>
              <w:rPr>
                <w:rFonts w:asciiTheme="minorHAnsi" w:hAnsiTheme="minorHAnsi" w:cs="Arial"/>
                <w:b/>
                <w:sz w:val="20"/>
                <w:szCs w:val="20"/>
              </w:rPr>
            </w:pPr>
          </w:p>
        </w:tc>
        <w:tc>
          <w:tcPr>
            <w:tcW w:w="1260" w:type="dxa"/>
            <w:tcBorders>
              <w:top w:val="single" w:sz="18" w:space="0" w:color="auto"/>
              <w:bottom w:val="single" w:sz="18" w:space="0" w:color="auto"/>
            </w:tcBorders>
            <w:shd w:val="clear" w:color="auto" w:fill="B8CCE4" w:themeFill="accent1" w:themeFillTint="66"/>
            <w:vAlign w:val="center"/>
          </w:tcPr>
          <w:p w:rsidR="00990F4A" w:rsidRPr="003E335B" w:rsidRDefault="00FF652E"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72</w:t>
            </w:r>
            <w:r w:rsidR="0025257A">
              <w:rPr>
                <w:rFonts w:asciiTheme="minorHAnsi" w:hAnsiTheme="minorHAnsi" w:cs="Arial"/>
                <w:b/>
                <w:sz w:val="20"/>
                <w:szCs w:val="20"/>
              </w:rPr>
              <w:t>4</w:t>
            </w:r>
          </w:p>
        </w:tc>
        <w:tc>
          <w:tcPr>
            <w:tcW w:w="1260" w:type="dxa"/>
            <w:tcBorders>
              <w:top w:val="single" w:sz="18" w:space="0" w:color="auto"/>
              <w:bottom w:val="single" w:sz="18" w:space="0" w:color="auto"/>
            </w:tcBorders>
            <w:shd w:val="clear" w:color="auto" w:fill="B8CCE4" w:themeFill="accent1" w:themeFillTint="66"/>
            <w:vAlign w:val="center"/>
            <w:hideMark/>
          </w:tcPr>
          <w:p w:rsidR="00990F4A" w:rsidRPr="003E335B" w:rsidRDefault="00990F4A"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(290)</w:t>
            </w:r>
          </w:p>
        </w:tc>
      </w:tr>
      <w:tr w:rsidR="00990F4A" w:rsidRPr="003E335B" w:rsidTr="00801700">
        <w:trPr>
          <w:trHeight w:val="255"/>
        </w:trPr>
        <w:tc>
          <w:tcPr>
            <w:tcW w:w="5310" w:type="dxa"/>
            <w:shd w:val="clear" w:color="auto" w:fill="auto"/>
            <w:vAlign w:val="center"/>
            <w:hideMark/>
          </w:tcPr>
          <w:p w:rsidR="00990F4A" w:rsidRPr="003E335B" w:rsidRDefault="00990F4A"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Attributable to:</w:t>
            </w:r>
          </w:p>
        </w:tc>
        <w:tc>
          <w:tcPr>
            <w:tcW w:w="2160" w:type="dxa"/>
            <w:shd w:val="clear" w:color="auto" w:fill="auto"/>
            <w:vAlign w:val="center"/>
          </w:tcPr>
          <w:p w:rsidR="00990F4A" w:rsidRPr="003E335B" w:rsidRDefault="00990F4A" w:rsidP="000D70EC">
            <w:pPr>
              <w:spacing w:after="0" w:afterAutospacing="0" w:line="240" w:lineRule="auto"/>
              <w:rPr>
                <w:rFonts w:asciiTheme="minorHAnsi" w:hAnsiTheme="minorHAnsi" w:cs="Arial"/>
                <w:sz w:val="20"/>
                <w:szCs w:val="20"/>
              </w:rPr>
            </w:pPr>
          </w:p>
        </w:tc>
        <w:tc>
          <w:tcPr>
            <w:tcW w:w="1260" w:type="dxa"/>
            <w:tcBorders>
              <w:top w:val="single" w:sz="18" w:space="0" w:color="auto"/>
            </w:tcBorders>
            <w:shd w:val="clear" w:color="auto" w:fill="auto"/>
            <w:vAlign w:val="center"/>
          </w:tcPr>
          <w:p w:rsidR="00990F4A" w:rsidRPr="003E335B" w:rsidRDefault="00990F4A" w:rsidP="000D70EC">
            <w:pPr>
              <w:spacing w:after="0" w:afterAutospacing="0" w:line="240" w:lineRule="auto"/>
              <w:jc w:val="right"/>
              <w:rPr>
                <w:rFonts w:asciiTheme="minorHAnsi" w:hAnsiTheme="minorHAnsi" w:cs="Arial"/>
                <w:sz w:val="20"/>
                <w:szCs w:val="20"/>
              </w:rPr>
            </w:pPr>
          </w:p>
        </w:tc>
        <w:tc>
          <w:tcPr>
            <w:tcW w:w="1260" w:type="dxa"/>
            <w:tcBorders>
              <w:top w:val="single" w:sz="18" w:space="0" w:color="auto"/>
            </w:tcBorders>
            <w:shd w:val="clear" w:color="auto" w:fill="auto"/>
            <w:vAlign w:val="center"/>
          </w:tcPr>
          <w:p w:rsidR="00990F4A" w:rsidRPr="003E335B" w:rsidRDefault="00990F4A" w:rsidP="000D70EC">
            <w:pPr>
              <w:spacing w:after="0" w:afterAutospacing="0" w:line="240" w:lineRule="auto"/>
              <w:jc w:val="right"/>
              <w:rPr>
                <w:rFonts w:asciiTheme="minorHAnsi" w:hAnsiTheme="minorHAnsi" w:cs="Arial"/>
                <w:sz w:val="20"/>
                <w:szCs w:val="20"/>
              </w:rPr>
            </w:pPr>
          </w:p>
        </w:tc>
      </w:tr>
      <w:tr w:rsidR="00990F4A" w:rsidRPr="003E335B" w:rsidTr="00801700">
        <w:trPr>
          <w:trHeight w:val="255"/>
        </w:trPr>
        <w:tc>
          <w:tcPr>
            <w:tcW w:w="5310" w:type="dxa"/>
            <w:shd w:val="clear" w:color="auto" w:fill="B8CCE4" w:themeFill="accent1" w:themeFillTint="66"/>
            <w:vAlign w:val="center"/>
            <w:hideMark/>
          </w:tcPr>
          <w:p w:rsidR="00990F4A" w:rsidRPr="003E335B" w:rsidRDefault="00990F4A"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The equity holders of the parent</w:t>
            </w:r>
          </w:p>
        </w:tc>
        <w:tc>
          <w:tcPr>
            <w:tcW w:w="2160" w:type="dxa"/>
            <w:shd w:val="clear" w:color="auto" w:fill="B8CCE4" w:themeFill="accent1" w:themeFillTint="66"/>
            <w:vAlign w:val="center"/>
          </w:tcPr>
          <w:p w:rsidR="00990F4A" w:rsidRPr="003E335B" w:rsidRDefault="00990F4A" w:rsidP="000D70EC">
            <w:pPr>
              <w:spacing w:after="0" w:afterAutospacing="0" w:line="240" w:lineRule="auto"/>
              <w:rPr>
                <w:rFonts w:asciiTheme="minorHAnsi" w:hAnsiTheme="minorHAnsi" w:cs="Arial"/>
                <w:sz w:val="20"/>
                <w:szCs w:val="20"/>
              </w:rPr>
            </w:pPr>
          </w:p>
        </w:tc>
        <w:tc>
          <w:tcPr>
            <w:tcW w:w="1260" w:type="dxa"/>
            <w:shd w:val="clear" w:color="auto" w:fill="B8CCE4" w:themeFill="accent1" w:themeFillTint="66"/>
            <w:vAlign w:val="center"/>
          </w:tcPr>
          <w:p w:rsidR="00990F4A"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9</w:t>
            </w:r>
            <w:r w:rsidR="0025257A">
              <w:rPr>
                <w:rFonts w:asciiTheme="minorHAnsi" w:hAnsiTheme="minorHAnsi" w:cs="Arial"/>
                <w:sz w:val="20"/>
                <w:szCs w:val="20"/>
              </w:rPr>
              <w:t>10</w:t>
            </w:r>
          </w:p>
        </w:tc>
        <w:tc>
          <w:tcPr>
            <w:tcW w:w="1260" w:type="dxa"/>
            <w:shd w:val="clear" w:color="auto" w:fill="B8CCE4" w:themeFill="accent1" w:themeFillTint="66"/>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(125)</w:t>
            </w:r>
          </w:p>
        </w:tc>
      </w:tr>
      <w:tr w:rsidR="00990F4A" w:rsidRPr="003E335B" w:rsidTr="00801700">
        <w:trPr>
          <w:trHeight w:val="255"/>
        </w:trPr>
        <w:tc>
          <w:tcPr>
            <w:tcW w:w="5310" w:type="dxa"/>
            <w:shd w:val="clear" w:color="auto" w:fill="auto"/>
            <w:vAlign w:val="center"/>
            <w:hideMark/>
          </w:tcPr>
          <w:p w:rsidR="00990F4A" w:rsidRPr="003E335B" w:rsidRDefault="00990F4A"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Non-controlling interests</w:t>
            </w:r>
          </w:p>
        </w:tc>
        <w:tc>
          <w:tcPr>
            <w:tcW w:w="2160" w:type="dxa"/>
            <w:shd w:val="clear" w:color="auto" w:fill="auto"/>
            <w:vAlign w:val="center"/>
          </w:tcPr>
          <w:p w:rsidR="00990F4A" w:rsidRPr="003E335B" w:rsidRDefault="00990F4A" w:rsidP="000D70EC">
            <w:pPr>
              <w:spacing w:after="0" w:afterAutospacing="0" w:line="240" w:lineRule="auto"/>
              <w:rPr>
                <w:rFonts w:asciiTheme="minorHAnsi" w:hAnsiTheme="minorHAnsi" w:cs="Arial"/>
                <w:sz w:val="20"/>
                <w:szCs w:val="20"/>
              </w:rPr>
            </w:pPr>
          </w:p>
        </w:tc>
        <w:tc>
          <w:tcPr>
            <w:tcW w:w="1260" w:type="dxa"/>
            <w:tcBorders>
              <w:bottom w:val="single" w:sz="18" w:space="0" w:color="auto"/>
            </w:tcBorders>
            <w:shd w:val="clear" w:color="auto" w:fill="auto"/>
            <w:vAlign w:val="center"/>
          </w:tcPr>
          <w:p w:rsidR="00990F4A"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(18</w:t>
            </w:r>
            <w:r w:rsidR="000B3BDE" w:rsidRPr="003E335B">
              <w:rPr>
                <w:rFonts w:asciiTheme="minorHAnsi" w:hAnsiTheme="minorHAnsi" w:cs="Arial"/>
                <w:sz w:val="20"/>
                <w:szCs w:val="20"/>
              </w:rPr>
              <w:t>6</w:t>
            </w:r>
            <w:r w:rsidRPr="003E335B">
              <w:rPr>
                <w:rFonts w:asciiTheme="minorHAnsi" w:hAnsiTheme="minorHAnsi" w:cs="Arial"/>
                <w:sz w:val="20"/>
                <w:szCs w:val="20"/>
              </w:rPr>
              <w:t>)</w:t>
            </w:r>
          </w:p>
        </w:tc>
        <w:tc>
          <w:tcPr>
            <w:tcW w:w="1260" w:type="dxa"/>
            <w:tcBorders>
              <w:bottom w:val="single" w:sz="18" w:space="0" w:color="auto"/>
            </w:tcBorders>
            <w:shd w:val="clear" w:color="auto" w:fill="auto"/>
            <w:vAlign w:val="center"/>
            <w:hideMark/>
          </w:tcPr>
          <w:p w:rsidR="00990F4A"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(165)</w:t>
            </w:r>
          </w:p>
        </w:tc>
      </w:tr>
      <w:tr w:rsidR="00990F4A" w:rsidRPr="003E335B" w:rsidTr="00801700">
        <w:trPr>
          <w:trHeight w:val="255"/>
        </w:trPr>
        <w:tc>
          <w:tcPr>
            <w:tcW w:w="5310" w:type="dxa"/>
            <w:tcBorders>
              <w:bottom w:val="single" w:sz="18" w:space="0" w:color="auto"/>
            </w:tcBorders>
            <w:shd w:val="clear" w:color="auto" w:fill="B8CCE4" w:themeFill="accent1" w:themeFillTint="66"/>
            <w:vAlign w:val="center"/>
            <w:hideMark/>
          </w:tcPr>
          <w:p w:rsidR="00990F4A" w:rsidRPr="003E335B" w:rsidRDefault="00990F4A"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Total comprehensive income, net of tax</w:t>
            </w:r>
          </w:p>
        </w:tc>
        <w:tc>
          <w:tcPr>
            <w:tcW w:w="2160" w:type="dxa"/>
            <w:tcBorders>
              <w:bottom w:val="single" w:sz="18" w:space="0" w:color="auto"/>
            </w:tcBorders>
            <w:shd w:val="clear" w:color="auto" w:fill="B8CCE4" w:themeFill="accent1" w:themeFillTint="66"/>
            <w:vAlign w:val="center"/>
          </w:tcPr>
          <w:p w:rsidR="00990F4A" w:rsidRPr="003E335B" w:rsidRDefault="00990F4A" w:rsidP="000D70EC">
            <w:pPr>
              <w:spacing w:after="0" w:afterAutospacing="0" w:line="240" w:lineRule="auto"/>
              <w:rPr>
                <w:rFonts w:asciiTheme="minorHAnsi" w:hAnsiTheme="minorHAnsi" w:cs="Arial"/>
                <w:b/>
                <w:sz w:val="20"/>
                <w:szCs w:val="20"/>
              </w:rPr>
            </w:pPr>
          </w:p>
        </w:tc>
        <w:tc>
          <w:tcPr>
            <w:tcW w:w="1260" w:type="dxa"/>
            <w:tcBorders>
              <w:top w:val="single" w:sz="18" w:space="0" w:color="auto"/>
              <w:bottom w:val="single" w:sz="18" w:space="0" w:color="auto"/>
            </w:tcBorders>
            <w:shd w:val="clear" w:color="auto" w:fill="B8CCE4" w:themeFill="accent1" w:themeFillTint="66"/>
            <w:vAlign w:val="center"/>
          </w:tcPr>
          <w:p w:rsidR="00990F4A" w:rsidRPr="003E335B" w:rsidRDefault="00FF652E"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72</w:t>
            </w:r>
            <w:r w:rsidR="0025257A">
              <w:rPr>
                <w:rFonts w:asciiTheme="minorHAnsi" w:hAnsiTheme="minorHAnsi" w:cs="Arial"/>
                <w:b/>
                <w:sz w:val="20"/>
                <w:szCs w:val="20"/>
              </w:rPr>
              <w:t>4</w:t>
            </w:r>
          </w:p>
        </w:tc>
        <w:tc>
          <w:tcPr>
            <w:tcW w:w="1260" w:type="dxa"/>
            <w:tcBorders>
              <w:top w:val="single" w:sz="18" w:space="0" w:color="auto"/>
              <w:bottom w:val="single" w:sz="18" w:space="0" w:color="auto"/>
            </w:tcBorders>
            <w:shd w:val="clear" w:color="auto" w:fill="B8CCE4" w:themeFill="accent1" w:themeFillTint="66"/>
            <w:vAlign w:val="center"/>
            <w:hideMark/>
          </w:tcPr>
          <w:p w:rsidR="00990F4A" w:rsidRPr="003E335B" w:rsidRDefault="00990F4A"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(290)</w:t>
            </w:r>
          </w:p>
        </w:tc>
      </w:tr>
    </w:tbl>
    <w:p w:rsidR="00847BCE" w:rsidRPr="003E335B" w:rsidRDefault="00211E4C"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 xml:space="preserve">The accompanying notes are an integral part of these </w:t>
      </w:r>
      <w:r w:rsidR="005E1E77">
        <w:rPr>
          <w:rFonts w:asciiTheme="minorHAnsi" w:hAnsiTheme="minorHAnsi" w:cs="Arial"/>
          <w:sz w:val="20"/>
          <w:szCs w:val="20"/>
        </w:rPr>
        <w:t>Semi-Annual</w:t>
      </w:r>
      <w:r w:rsidRPr="003E335B">
        <w:rPr>
          <w:rFonts w:asciiTheme="minorHAnsi" w:hAnsiTheme="minorHAnsi" w:cs="Arial"/>
          <w:sz w:val="20"/>
          <w:szCs w:val="20"/>
        </w:rPr>
        <w:t xml:space="preserve"> </w:t>
      </w:r>
      <w:r w:rsidR="005E1E77">
        <w:rPr>
          <w:rFonts w:asciiTheme="minorHAnsi" w:hAnsiTheme="minorHAnsi" w:cs="Arial"/>
          <w:sz w:val="20"/>
          <w:szCs w:val="20"/>
        </w:rPr>
        <w:t>Financial Statements</w:t>
      </w:r>
    </w:p>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br w:type="page"/>
      </w:r>
      <w:bookmarkStart w:id="31" w:name="_Toc265058912"/>
      <w:bookmarkStart w:id="32" w:name="_Toc258421324"/>
      <w:bookmarkStart w:id="33" w:name="_Toc257898964"/>
    </w:p>
    <w:p w:rsidR="00847BCE" w:rsidRPr="003E335B" w:rsidRDefault="00847BCE" w:rsidP="000D70EC">
      <w:pPr>
        <w:pStyle w:val="Title2"/>
        <w:spacing w:before="0" w:after="100" w:line="240" w:lineRule="auto"/>
        <w:rPr>
          <w:rFonts w:asciiTheme="minorHAnsi" w:hAnsiTheme="minorHAnsi"/>
          <w:sz w:val="20"/>
          <w:szCs w:val="20"/>
        </w:rPr>
      </w:pPr>
      <w:bookmarkStart w:id="34" w:name="_Toc297204167"/>
      <w:bookmarkStart w:id="35" w:name="_Toc300834227"/>
      <w:r w:rsidRPr="003E335B">
        <w:rPr>
          <w:rFonts w:asciiTheme="minorHAnsi" w:hAnsiTheme="minorHAnsi"/>
          <w:sz w:val="20"/>
          <w:szCs w:val="20"/>
        </w:rPr>
        <w:lastRenderedPageBreak/>
        <w:t>Consolidated statement of financial position</w:t>
      </w:r>
      <w:bookmarkEnd w:id="31"/>
      <w:bookmarkEnd w:id="32"/>
      <w:bookmarkEnd w:id="33"/>
      <w:bookmarkEnd w:id="34"/>
      <w:bookmarkEnd w:id="35"/>
    </w:p>
    <w:tbl>
      <w:tblPr>
        <w:tblW w:w="9990" w:type="dxa"/>
        <w:tblInd w:w="108" w:type="dxa"/>
        <w:tblLook w:val="04A0"/>
      </w:tblPr>
      <w:tblGrid>
        <w:gridCol w:w="5213"/>
        <w:gridCol w:w="828"/>
        <w:gridCol w:w="1974"/>
        <w:gridCol w:w="1975"/>
      </w:tblGrid>
      <w:tr w:rsidR="00335724" w:rsidRPr="003E335B" w:rsidTr="00801700">
        <w:trPr>
          <w:trHeight w:val="255"/>
        </w:trPr>
        <w:tc>
          <w:tcPr>
            <w:tcW w:w="5213" w:type="dxa"/>
            <w:hideMark/>
          </w:tcPr>
          <w:p w:rsidR="00335724" w:rsidRPr="003E335B" w:rsidRDefault="00335724" w:rsidP="000D70EC">
            <w:pPr>
              <w:spacing w:after="0" w:afterAutospacing="0" w:line="240" w:lineRule="auto"/>
              <w:rPr>
                <w:rFonts w:asciiTheme="minorHAnsi" w:hAnsiTheme="minorHAnsi" w:cs="Arial"/>
                <w:sz w:val="20"/>
                <w:szCs w:val="20"/>
              </w:rPr>
            </w:pPr>
            <w:bookmarkStart w:id="36" w:name="_Toc254686815"/>
            <w:bookmarkStart w:id="37" w:name="_Toc239128597"/>
          </w:p>
        </w:tc>
        <w:tc>
          <w:tcPr>
            <w:tcW w:w="828" w:type="dxa"/>
            <w:vAlign w:val="center"/>
            <w:hideMark/>
          </w:tcPr>
          <w:p w:rsidR="00335724" w:rsidRPr="003E335B" w:rsidRDefault="00335724" w:rsidP="000D70EC">
            <w:pPr>
              <w:spacing w:after="0" w:afterAutospacing="0" w:line="240" w:lineRule="auto"/>
              <w:jc w:val="center"/>
              <w:rPr>
                <w:rFonts w:asciiTheme="minorHAnsi" w:hAnsiTheme="minorHAnsi" w:cs="Arial"/>
                <w:sz w:val="20"/>
                <w:szCs w:val="20"/>
              </w:rPr>
            </w:pPr>
          </w:p>
        </w:tc>
        <w:tc>
          <w:tcPr>
            <w:tcW w:w="1974" w:type="dxa"/>
            <w:tcBorders>
              <w:bottom w:val="single" w:sz="18" w:space="0" w:color="auto"/>
            </w:tcBorders>
            <w:vAlign w:val="bottom"/>
            <w:hideMark/>
          </w:tcPr>
          <w:p w:rsidR="00335724" w:rsidRPr="003E335B" w:rsidRDefault="00335724" w:rsidP="000D70EC">
            <w:pPr>
              <w:spacing w:after="0" w:afterAutospacing="0" w:line="240" w:lineRule="auto"/>
              <w:jc w:val="center"/>
              <w:rPr>
                <w:rFonts w:asciiTheme="minorHAnsi" w:hAnsiTheme="minorHAnsi" w:cs="Arial"/>
                <w:sz w:val="20"/>
                <w:szCs w:val="20"/>
              </w:rPr>
            </w:pPr>
            <w:r w:rsidRPr="003E335B">
              <w:rPr>
                <w:rFonts w:asciiTheme="minorHAnsi" w:hAnsiTheme="minorHAnsi" w:cs="Arial"/>
                <w:sz w:val="20"/>
                <w:szCs w:val="20"/>
              </w:rPr>
              <w:t>(unaudited)</w:t>
            </w:r>
          </w:p>
        </w:tc>
        <w:tc>
          <w:tcPr>
            <w:tcW w:w="1975" w:type="dxa"/>
            <w:tcBorders>
              <w:bottom w:val="single" w:sz="18" w:space="0" w:color="auto"/>
            </w:tcBorders>
            <w:vAlign w:val="bottom"/>
            <w:hideMark/>
          </w:tcPr>
          <w:p w:rsidR="00335724" w:rsidRPr="003E335B" w:rsidRDefault="00335724" w:rsidP="000D70EC">
            <w:pPr>
              <w:spacing w:after="0" w:afterAutospacing="0" w:line="240" w:lineRule="auto"/>
              <w:jc w:val="center"/>
              <w:rPr>
                <w:rFonts w:asciiTheme="minorHAnsi" w:hAnsiTheme="minorHAnsi" w:cs="Arial"/>
                <w:sz w:val="20"/>
                <w:szCs w:val="20"/>
              </w:rPr>
            </w:pPr>
            <w:r w:rsidRPr="003E335B">
              <w:rPr>
                <w:rFonts w:asciiTheme="minorHAnsi" w:hAnsiTheme="minorHAnsi" w:cs="Arial"/>
                <w:sz w:val="20"/>
                <w:szCs w:val="20"/>
              </w:rPr>
              <w:t>(audited)</w:t>
            </w:r>
          </w:p>
        </w:tc>
      </w:tr>
      <w:tr w:rsidR="00847BCE" w:rsidRPr="003E335B" w:rsidTr="00801700">
        <w:trPr>
          <w:trHeight w:val="255"/>
        </w:trPr>
        <w:tc>
          <w:tcPr>
            <w:tcW w:w="5213" w:type="dxa"/>
            <w:tcBorders>
              <w:bottom w:val="single" w:sz="18" w:space="0" w:color="auto"/>
            </w:tcBorders>
            <w:vAlign w:val="bottom"/>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828" w:type="dxa"/>
            <w:tcBorders>
              <w:bottom w:val="single" w:sz="18" w:space="0" w:color="auto"/>
            </w:tcBorders>
            <w:vAlign w:val="bottom"/>
            <w:hideMark/>
          </w:tcPr>
          <w:p w:rsidR="00847BCE" w:rsidRPr="003E335B" w:rsidRDefault="00847BCE" w:rsidP="000D70EC">
            <w:pPr>
              <w:spacing w:after="0" w:afterAutospacing="0" w:line="240" w:lineRule="auto"/>
              <w:jc w:val="center"/>
              <w:rPr>
                <w:rFonts w:asciiTheme="minorHAnsi" w:hAnsiTheme="minorHAnsi" w:cs="Arial"/>
                <w:sz w:val="20"/>
                <w:szCs w:val="20"/>
              </w:rPr>
            </w:pPr>
            <w:r w:rsidRPr="003E335B">
              <w:rPr>
                <w:rFonts w:asciiTheme="minorHAnsi" w:hAnsiTheme="minorHAnsi" w:cs="Arial"/>
                <w:sz w:val="20"/>
                <w:szCs w:val="20"/>
              </w:rPr>
              <w:t>Notes</w:t>
            </w:r>
          </w:p>
        </w:tc>
        <w:tc>
          <w:tcPr>
            <w:tcW w:w="1974" w:type="dxa"/>
            <w:tcBorders>
              <w:top w:val="single" w:sz="18" w:space="0" w:color="auto"/>
              <w:bottom w:val="single" w:sz="18" w:space="0" w:color="auto"/>
            </w:tcBorders>
            <w:vAlign w:val="bottom"/>
            <w:hideMark/>
          </w:tcPr>
          <w:p w:rsidR="00847BCE" w:rsidRPr="003E335B" w:rsidRDefault="00990F4A" w:rsidP="000D70EC">
            <w:pPr>
              <w:spacing w:after="0" w:afterAutospacing="0" w:line="240" w:lineRule="auto"/>
              <w:jc w:val="center"/>
              <w:rPr>
                <w:rFonts w:asciiTheme="minorHAnsi" w:hAnsiTheme="minorHAnsi" w:cs="Arial"/>
                <w:sz w:val="20"/>
                <w:szCs w:val="20"/>
              </w:rPr>
            </w:pPr>
            <w:r w:rsidRPr="003E335B">
              <w:rPr>
                <w:rFonts w:asciiTheme="minorHAnsi" w:hAnsiTheme="minorHAnsi" w:cs="Arial"/>
                <w:sz w:val="20"/>
                <w:szCs w:val="20"/>
              </w:rPr>
              <w:t>July 2, 201</w:t>
            </w:r>
            <w:r w:rsidR="007E6F93" w:rsidRPr="003E335B">
              <w:rPr>
                <w:rFonts w:asciiTheme="minorHAnsi" w:hAnsiTheme="minorHAnsi" w:cs="Arial"/>
                <w:sz w:val="20"/>
                <w:szCs w:val="20"/>
              </w:rPr>
              <w:t>1</w:t>
            </w:r>
          </w:p>
        </w:tc>
        <w:tc>
          <w:tcPr>
            <w:tcW w:w="1975" w:type="dxa"/>
            <w:tcBorders>
              <w:top w:val="single" w:sz="18" w:space="0" w:color="auto"/>
              <w:bottom w:val="single" w:sz="18" w:space="0" w:color="auto"/>
            </w:tcBorders>
            <w:vAlign w:val="bottom"/>
            <w:hideMark/>
          </w:tcPr>
          <w:p w:rsidR="00847BCE" w:rsidRPr="003E335B" w:rsidRDefault="00847BCE" w:rsidP="000D70EC">
            <w:pPr>
              <w:spacing w:after="0" w:afterAutospacing="0" w:line="240" w:lineRule="auto"/>
              <w:jc w:val="center"/>
              <w:rPr>
                <w:rFonts w:asciiTheme="minorHAnsi" w:hAnsiTheme="minorHAnsi" w:cs="Arial"/>
                <w:sz w:val="20"/>
                <w:szCs w:val="20"/>
              </w:rPr>
            </w:pPr>
            <w:r w:rsidRPr="003E335B">
              <w:rPr>
                <w:rFonts w:asciiTheme="minorHAnsi" w:hAnsiTheme="minorHAnsi" w:cs="Arial"/>
                <w:sz w:val="20"/>
                <w:szCs w:val="20"/>
              </w:rPr>
              <w:t>December 31, 20</w:t>
            </w:r>
            <w:r w:rsidR="00990F4A" w:rsidRPr="003E335B">
              <w:rPr>
                <w:rFonts w:asciiTheme="minorHAnsi" w:hAnsiTheme="minorHAnsi" w:cs="Arial"/>
                <w:sz w:val="20"/>
                <w:szCs w:val="20"/>
              </w:rPr>
              <w:t>10</w:t>
            </w:r>
          </w:p>
        </w:tc>
      </w:tr>
      <w:tr w:rsidR="00847BCE" w:rsidRPr="003E335B" w:rsidTr="00801700">
        <w:trPr>
          <w:trHeight w:val="255"/>
        </w:trPr>
        <w:tc>
          <w:tcPr>
            <w:tcW w:w="5213" w:type="dxa"/>
            <w:tcBorders>
              <w:top w:val="single" w:sz="18" w:space="0" w:color="auto"/>
            </w:tcBorders>
            <w:vAlign w:val="center"/>
            <w:hideMark/>
          </w:tcPr>
          <w:p w:rsidR="00847BCE" w:rsidRPr="003E335B" w:rsidRDefault="00847BCE"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Assets</w:t>
            </w:r>
          </w:p>
        </w:tc>
        <w:tc>
          <w:tcPr>
            <w:tcW w:w="828" w:type="dxa"/>
            <w:tcBorders>
              <w:top w:val="single" w:sz="18" w:space="0" w:color="auto"/>
            </w:tcBorders>
            <w:vAlign w:val="center"/>
          </w:tcPr>
          <w:p w:rsidR="00847BCE" w:rsidRPr="003E335B" w:rsidRDefault="00847BCE" w:rsidP="000D70EC">
            <w:pPr>
              <w:spacing w:after="0" w:afterAutospacing="0" w:line="240" w:lineRule="auto"/>
              <w:jc w:val="center"/>
              <w:rPr>
                <w:rFonts w:asciiTheme="minorHAnsi" w:hAnsiTheme="minorHAnsi" w:cs="Arial"/>
                <w:b/>
                <w:sz w:val="20"/>
                <w:szCs w:val="20"/>
              </w:rPr>
            </w:pPr>
          </w:p>
        </w:tc>
        <w:tc>
          <w:tcPr>
            <w:tcW w:w="1974" w:type="dxa"/>
            <w:tcBorders>
              <w:top w:val="single" w:sz="18" w:space="0" w:color="auto"/>
            </w:tcBorders>
            <w:vAlign w:val="center"/>
          </w:tcPr>
          <w:p w:rsidR="00847BCE" w:rsidRPr="003E335B" w:rsidRDefault="00847BCE" w:rsidP="000D70EC">
            <w:pPr>
              <w:spacing w:after="0" w:afterAutospacing="0" w:line="240" w:lineRule="auto"/>
              <w:jc w:val="right"/>
              <w:rPr>
                <w:rFonts w:asciiTheme="minorHAnsi" w:hAnsiTheme="minorHAnsi" w:cs="Arial"/>
                <w:b/>
                <w:sz w:val="20"/>
                <w:szCs w:val="20"/>
              </w:rPr>
            </w:pPr>
          </w:p>
        </w:tc>
        <w:tc>
          <w:tcPr>
            <w:tcW w:w="1975" w:type="dxa"/>
            <w:tcBorders>
              <w:top w:val="single" w:sz="18" w:space="0" w:color="auto"/>
            </w:tcBorders>
            <w:vAlign w:val="center"/>
          </w:tcPr>
          <w:p w:rsidR="00847BCE" w:rsidRPr="003E335B" w:rsidRDefault="00847BCE" w:rsidP="000D70EC">
            <w:pPr>
              <w:spacing w:after="0" w:afterAutospacing="0" w:line="240" w:lineRule="auto"/>
              <w:jc w:val="right"/>
              <w:rPr>
                <w:rFonts w:asciiTheme="minorHAnsi" w:hAnsiTheme="minorHAnsi" w:cs="Arial"/>
                <w:b/>
                <w:sz w:val="20"/>
                <w:szCs w:val="20"/>
              </w:rPr>
            </w:pPr>
          </w:p>
        </w:tc>
      </w:tr>
      <w:tr w:rsidR="00847BCE" w:rsidRPr="003E335B" w:rsidTr="00801700">
        <w:trPr>
          <w:trHeight w:val="255"/>
        </w:trPr>
        <w:tc>
          <w:tcPr>
            <w:tcW w:w="5213" w:type="dxa"/>
            <w:shd w:val="clear" w:color="auto" w:fill="B8CCE4" w:themeFill="accent1" w:themeFillTint="66"/>
            <w:vAlign w:val="center"/>
            <w:hideMark/>
          </w:tcPr>
          <w:p w:rsidR="00847BCE" w:rsidRPr="003E335B" w:rsidRDefault="00847BCE"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Non-current assets</w:t>
            </w:r>
          </w:p>
        </w:tc>
        <w:tc>
          <w:tcPr>
            <w:tcW w:w="828" w:type="dxa"/>
            <w:shd w:val="clear" w:color="auto" w:fill="B8CCE4" w:themeFill="accent1" w:themeFillTint="66"/>
            <w:vAlign w:val="center"/>
          </w:tcPr>
          <w:p w:rsidR="00847BCE" w:rsidRPr="003E335B" w:rsidRDefault="00847BCE" w:rsidP="000D70EC">
            <w:pPr>
              <w:spacing w:after="0" w:afterAutospacing="0" w:line="240" w:lineRule="auto"/>
              <w:jc w:val="center"/>
              <w:rPr>
                <w:rFonts w:asciiTheme="minorHAnsi" w:hAnsiTheme="minorHAnsi" w:cs="Arial"/>
                <w:b/>
                <w:sz w:val="20"/>
                <w:szCs w:val="20"/>
              </w:rPr>
            </w:pPr>
          </w:p>
        </w:tc>
        <w:tc>
          <w:tcPr>
            <w:tcW w:w="1974" w:type="dxa"/>
            <w:shd w:val="clear" w:color="auto" w:fill="B8CCE4" w:themeFill="accent1" w:themeFillTint="66"/>
            <w:vAlign w:val="center"/>
          </w:tcPr>
          <w:p w:rsidR="00847BCE" w:rsidRPr="003E335B" w:rsidRDefault="00847BCE" w:rsidP="000D70EC">
            <w:pPr>
              <w:spacing w:after="0" w:afterAutospacing="0" w:line="240" w:lineRule="auto"/>
              <w:jc w:val="right"/>
              <w:rPr>
                <w:rFonts w:asciiTheme="minorHAnsi" w:hAnsiTheme="minorHAnsi" w:cs="Arial"/>
                <w:b/>
                <w:sz w:val="20"/>
                <w:szCs w:val="20"/>
              </w:rPr>
            </w:pPr>
          </w:p>
        </w:tc>
        <w:tc>
          <w:tcPr>
            <w:tcW w:w="1975" w:type="dxa"/>
            <w:shd w:val="clear" w:color="auto" w:fill="B8CCE4" w:themeFill="accent1" w:themeFillTint="66"/>
            <w:vAlign w:val="center"/>
          </w:tcPr>
          <w:p w:rsidR="00847BCE" w:rsidRPr="003E335B" w:rsidRDefault="00847BCE" w:rsidP="000D70EC">
            <w:pPr>
              <w:spacing w:after="0" w:afterAutospacing="0" w:line="240" w:lineRule="auto"/>
              <w:jc w:val="right"/>
              <w:rPr>
                <w:rFonts w:asciiTheme="minorHAnsi" w:hAnsiTheme="minorHAnsi" w:cs="Arial"/>
                <w:b/>
                <w:sz w:val="20"/>
                <w:szCs w:val="20"/>
              </w:rPr>
            </w:pPr>
          </w:p>
        </w:tc>
      </w:tr>
      <w:tr w:rsidR="00847BCE" w:rsidRPr="003E335B" w:rsidTr="00801700">
        <w:trPr>
          <w:trHeight w:val="255"/>
        </w:trPr>
        <w:tc>
          <w:tcPr>
            <w:tcW w:w="5213" w:type="dxa"/>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Property, plant and equipment</w:t>
            </w:r>
          </w:p>
        </w:tc>
        <w:tc>
          <w:tcPr>
            <w:tcW w:w="828" w:type="dxa"/>
            <w:vAlign w:val="center"/>
          </w:tcPr>
          <w:p w:rsidR="00847BCE" w:rsidRPr="00E254DE" w:rsidRDefault="0090791A" w:rsidP="000D70EC">
            <w:pPr>
              <w:spacing w:after="0" w:afterAutospacing="0" w:line="240" w:lineRule="auto"/>
              <w:jc w:val="center"/>
              <w:rPr>
                <w:rFonts w:asciiTheme="minorHAnsi" w:hAnsiTheme="minorHAnsi" w:cs="Arial"/>
                <w:b/>
                <w:sz w:val="20"/>
                <w:szCs w:val="20"/>
              </w:rPr>
            </w:pPr>
            <w:r w:rsidRPr="0090791A">
              <w:rPr>
                <w:rFonts w:asciiTheme="minorHAnsi" w:hAnsiTheme="minorHAnsi" w:cs="Arial"/>
                <w:b/>
                <w:sz w:val="20"/>
                <w:szCs w:val="20"/>
              </w:rPr>
              <w:t>8</w:t>
            </w:r>
          </w:p>
        </w:tc>
        <w:tc>
          <w:tcPr>
            <w:tcW w:w="1974" w:type="dxa"/>
            <w:vAlign w:val="center"/>
          </w:tcPr>
          <w:p w:rsidR="00847BCE"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4,566</w:t>
            </w:r>
          </w:p>
        </w:tc>
        <w:tc>
          <w:tcPr>
            <w:tcW w:w="1975" w:type="dxa"/>
            <w:vAlign w:val="center"/>
            <w:hideMark/>
          </w:tcPr>
          <w:p w:rsidR="00847BCE" w:rsidRPr="003E335B" w:rsidRDefault="00847BC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4,1</w:t>
            </w:r>
            <w:r w:rsidR="00990F4A" w:rsidRPr="003E335B">
              <w:rPr>
                <w:rFonts w:asciiTheme="minorHAnsi" w:hAnsiTheme="minorHAnsi" w:cs="Arial"/>
                <w:sz w:val="20"/>
                <w:szCs w:val="20"/>
              </w:rPr>
              <w:t>17</w:t>
            </w:r>
          </w:p>
        </w:tc>
      </w:tr>
      <w:tr w:rsidR="00847BCE" w:rsidRPr="003E335B" w:rsidTr="00801700">
        <w:trPr>
          <w:trHeight w:val="255"/>
        </w:trPr>
        <w:tc>
          <w:tcPr>
            <w:tcW w:w="5213" w:type="dxa"/>
            <w:shd w:val="clear" w:color="auto" w:fill="B8CCE4" w:themeFill="accent1" w:themeFillTint="66"/>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Goodwill</w:t>
            </w:r>
          </w:p>
        </w:tc>
        <w:tc>
          <w:tcPr>
            <w:tcW w:w="828" w:type="dxa"/>
            <w:shd w:val="clear" w:color="auto" w:fill="B8CCE4" w:themeFill="accent1" w:themeFillTint="66"/>
            <w:vAlign w:val="center"/>
          </w:tcPr>
          <w:p w:rsidR="00847BCE" w:rsidRPr="00E254DE" w:rsidRDefault="0090791A" w:rsidP="000D70EC">
            <w:pPr>
              <w:spacing w:after="0" w:afterAutospacing="0" w:line="240" w:lineRule="auto"/>
              <w:jc w:val="center"/>
              <w:rPr>
                <w:rFonts w:asciiTheme="minorHAnsi" w:hAnsiTheme="minorHAnsi" w:cs="Arial"/>
                <w:b/>
                <w:sz w:val="20"/>
                <w:szCs w:val="20"/>
              </w:rPr>
            </w:pPr>
            <w:r w:rsidRPr="0090791A">
              <w:rPr>
                <w:rFonts w:asciiTheme="minorHAnsi" w:hAnsiTheme="minorHAnsi" w:cs="Arial"/>
                <w:b/>
                <w:sz w:val="20"/>
                <w:szCs w:val="20"/>
              </w:rPr>
              <w:t>9</w:t>
            </w:r>
          </w:p>
        </w:tc>
        <w:tc>
          <w:tcPr>
            <w:tcW w:w="1974" w:type="dxa"/>
            <w:shd w:val="clear" w:color="auto" w:fill="B8CCE4" w:themeFill="accent1" w:themeFillTint="66"/>
            <w:vAlign w:val="center"/>
          </w:tcPr>
          <w:p w:rsidR="00847BCE"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992</w:t>
            </w:r>
          </w:p>
        </w:tc>
        <w:tc>
          <w:tcPr>
            <w:tcW w:w="1975" w:type="dxa"/>
            <w:shd w:val="clear" w:color="auto" w:fill="B8CCE4" w:themeFill="accent1" w:themeFillTint="66"/>
            <w:vAlign w:val="center"/>
            <w:hideMark/>
          </w:tcPr>
          <w:p w:rsidR="00847BCE" w:rsidRPr="003E335B" w:rsidRDefault="00847BC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9</w:t>
            </w:r>
            <w:r w:rsidR="00990F4A" w:rsidRPr="003E335B">
              <w:rPr>
                <w:rFonts w:asciiTheme="minorHAnsi" w:hAnsiTheme="minorHAnsi" w:cs="Arial"/>
                <w:sz w:val="20"/>
                <w:szCs w:val="20"/>
              </w:rPr>
              <w:t>72</w:t>
            </w:r>
          </w:p>
        </w:tc>
      </w:tr>
      <w:tr w:rsidR="00847BCE" w:rsidRPr="003E335B" w:rsidTr="00801700">
        <w:trPr>
          <w:trHeight w:val="255"/>
        </w:trPr>
        <w:tc>
          <w:tcPr>
            <w:tcW w:w="5213" w:type="dxa"/>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Intangible assets</w:t>
            </w:r>
          </w:p>
        </w:tc>
        <w:tc>
          <w:tcPr>
            <w:tcW w:w="828" w:type="dxa"/>
            <w:vAlign w:val="center"/>
          </w:tcPr>
          <w:p w:rsidR="00847BCE" w:rsidRPr="00E254DE" w:rsidRDefault="0090791A" w:rsidP="000D70EC">
            <w:pPr>
              <w:spacing w:after="0" w:afterAutospacing="0" w:line="240" w:lineRule="auto"/>
              <w:jc w:val="center"/>
              <w:rPr>
                <w:rFonts w:asciiTheme="minorHAnsi" w:hAnsiTheme="minorHAnsi" w:cs="Arial"/>
                <w:b/>
                <w:sz w:val="20"/>
                <w:szCs w:val="20"/>
              </w:rPr>
            </w:pPr>
            <w:r w:rsidRPr="0090791A">
              <w:rPr>
                <w:rFonts w:asciiTheme="minorHAnsi" w:hAnsiTheme="minorHAnsi" w:cs="Arial"/>
                <w:b/>
                <w:sz w:val="20"/>
                <w:szCs w:val="20"/>
              </w:rPr>
              <w:t>8</w:t>
            </w:r>
          </w:p>
        </w:tc>
        <w:tc>
          <w:tcPr>
            <w:tcW w:w="1974" w:type="dxa"/>
            <w:vAlign w:val="center"/>
          </w:tcPr>
          <w:p w:rsidR="00847BCE"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2,127</w:t>
            </w:r>
          </w:p>
        </w:tc>
        <w:tc>
          <w:tcPr>
            <w:tcW w:w="1975" w:type="dxa"/>
            <w:vAlign w:val="center"/>
            <w:hideMark/>
          </w:tcPr>
          <w:p w:rsidR="00847BCE"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2,060</w:t>
            </w:r>
          </w:p>
        </w:tc>
      </w:tr>
      <w:tr w:rsidR="00847BCE" w:rsidRPr="003E335B" w:rsidTr="00801700">
        <w:trPr>
          <w:trHeight w:val="255"/>
        </w:trPr>
        <w:tc>
          <w:tcPr>
            <w:tcW w:w="5213" w:type="dxa"/>
            <w:shd w:val="clear" w:color="auto" w:fill="B8CCE4" w:themeFill="accent1" w:themeFillTint="66"/>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Investments in associates</w:t>
            </w:r>
            <w:r w:rsidR="00892B65" w:rsidRPr="003E335B">
              <w:rPr>
                <w:rFonts w:asciiTheme="minorHAnsi" w:hAnsiTheme="minorHAnsi" w:cs="Arial"/>
                <w:sz w:val="20"/>
                <w:szCs w:val="20"/>
              </w:rPr>
              <w:t xml:space="preserve"> and jointly controlled entities</w:t>
            </w:r>
          </w:p>
        </w:tc>
        <w:tc>
          <w:tcPr>
            <w:tcW w:w="828" w:type="dxa"/>
            <w:shd w:val="clear" w:color="auto" w:fill="B8CCE4" w:themeFill="accent1" w:themeFillTint="66"/>
            <w:vAlign w:val="center"/>
          </w:tcPr>
          <w:p w:rsidR="00847BCE" w:rsidRPr="00E254DE" w:rsidRDefault="0090791A" w:rsidP="000D70EC">
            <w:pPr>
              <w:spacing w:after="0" w:afterAutospacing="0" w:line="240" w:lineRule="auto"/>
              <w:jc w:val="center"/>
              <w:rPr>
                <w:rFonts w:asciiTheme="minorHAnsi" w:hAnsiTheme="minorHAnsi" w:cs="Arial"/>
                <w:b/>
                <w:sz w:val="20"/>
                <w:szCs w:val="20"/>
              </w:rPr>
            </w:pPr>
            <w:r w:rsidRPr="0090791A">
              <w:rPr>
                <w:rFonts w:asciiTheme="minorHAnsi" w:hAnsiTheme="minorHAnsi" w:cs="Arial"/>
                <w:b/>
                <w:sz w:val="20"/>
                <w:szCs w:val="20"/>
              </w:rPr>
              <w:t>6</w:t>
            </w:r>
          </w:p>
        </w:tc>
        <w:tc>
          <w:tcPr>
            <w:tcW w:w="1974" w:type="dxa"/>
            <w:shd w:val="clear" w:color="auto" w:fill="B8CCE4" w:themeFill="accent1" w:themeFillTint="66"/>
            <w:vAlign w:val="center"/>
          </w:tcPr>
          <w:p w:rsidR="00847BCE"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116</w:t>
            </w:r>
          </w:p>
        </w:tc>
        <w:tc>
          <w:tcPr>
            <w:tcW w:w="1975" w:type="dxa"/>
            <w:shd w:val="clear" w:color="auto" w:fill="B8CCE4" w:themeFill="accent1" w:themeFillTint="66"/>
            <w:vAlign w:val="center"/>
            <w:hideMark/>
          </w:tcPr>
          <w:p w:rsidR="00847BCE"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133</w:t>
            </w:r>
          </w:p>
        </w:tc>
      </w:tr>
      <w:tr w:rsidR="00847BCE" w:rsidRPr="003E335B" w:rsidTr="00801700">
        <w:trPr>
          <w:trHeight w:val="255"/>
        </w:trPr>
        <w:tc>
          <w:tcPr>
            <w:tcW w:w="5213" w:type="dxa"/>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Other non-current financial assets</w:t>
            </w:r>
          </w:p>
        </w:tc>
        <w:tc>
          <w:tcPr>
            <w:tcW w:w="828" w:type="dxa"/>
            <w:vAlign w:val="center"/>
          </w:tcPr>
          <w:p w:rsidR="00847BCE" w:rsidRPr="00E254DE" w:rsidRDefault="00F857DE" w:rsidP="000D70EC">
            <w:pPr>
              <w:spacing w:after="0" w:afterAutospacing="0" w:line="240" w:lineRule="auto"/>
              <w:jc w:val="center"/>
              <w:rPr>
                <w:rFonts w:asciiTheme="minorHAnsi" w:hAnsiTheme="minorHAnsi" w:cs="Arial"/>
                <w:b/>
                <w:sz w:val="20"/>
                <w:szCs w:val="20"/>
              </w:rPr>
            </w:pPr>
            <w:r>
              <w:rPr>
                <w:rFonts w:asciiTheme="minorHAnsi" w:hAnsiTheme="minorHAnsi" w:cs="Arial"/>
                <w:b/>
                <w:sz w:val="20"/>
                <w:szCs w:val="20"/>
              </w:rPr>
              <w:t>10</w:t>
            </w:r>
          </w:p>
        </w:tc>
        <w:tc>
          <w:tcPr>
            <w:tcW w:w="1974" w:type="dxa"/>
            <w:vAlign w:val="center"/>
          </w:tcPr>
          <w:p w:rsidR="00847BCE"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60</w:t>
            </w:r>
          </w:p>
        </w:tc>
        <w:tc>
          <w:tcPr>
            <w:tcW w:w="1975" w:type="dxa"/>
            <w:vAlign w:val="center"/>
            <w:hideMark/>
          </w:tcPr>
          <w:p w:rsidR="00847BCE"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125</w:t>
            </w:r>
          </w:p>
        </w:tc>
      </w:tr>
      <w:tr w:rsidR="00847BCE" w:rsidRPr="003E335B" w:rsidTr="00801700">
        <w:trPr>
          <w:trHeight w:val="255"/>
        </w:trPr>
        <w:tc>
          <w:tcPr>
            <w:tcW w:w="5213" w:type="dxa"/>
            <w:shd w:val="clear" w:color="auto" w:fill="B8CCE4" w:themeFill="accent1" w:themeFillTint="66"/>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Deferred tax assets</w:t>
            </w:r>
          </w:p>
        </w:tc>
        <w:tc>
          <w:tcPr>
            <w:tcW w:w="828" w:type="dxa"/>
            <w:shd w:val="clear" w:color="auto" w:fill="B8CCE4" w:themeFill="accent1" w:themeFillTint="66"/>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shd w:val="clear" w:color="auto" w:fill="B8CCE4" w:themeFill="accent1" w:themeFillTint="66"/>
            <w:vAlign w:val="center"/>
          </w:tcPr>
          <w:p w:rsidR="00847BCE"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5</w:t>
            </w:r>
            <w:r w:rsidR="0025257A">
              <w:rPr>
                <w:rFonts w:asciiTheme="minorHAnsi" w:hAnsiTheme="minorHAnsi" w:cs="Arial"/>
                <w:sz w:val="20"/>
                <w:szCs w:val="20"/>
              </w:rPr>
              <w:t>45</w:t>
            </w:r>
          </w:p>
        </w:tc>
        <w:tc>
          <w:tcPr>
            <w:tcW w:w="1975" w:type="dxa"/>
            <w:shd w:val="clear" w:color="auto" w:fill="B8CCE4" w:themeFill="accent1" w:themeFillTint="66"/>
            <w:vAlign w:val="center"/>
            <w:hideMark/>
          </w:tcPr>
          <w:p w:rsidR="00847BCE"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548</w:t>
            </w:r>
          </w:p>
        </w:tc>
      </w:tr>
      <w:tr w:rsidR="00847BCE" w:rsidRPr="003E335B" w:rsidTr="00801700">
        <w:trPr>
          <w:trHeight w:val="255"/>
        </w:trPr>
        <w:tc>
          <w:tcPr>
            <w:tcW w:w="5213" w:type="dxa"/>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Other non-current assets</w:t>
            </w:r>
          </w:p>
        </w:tc>
        <w:tc>
          <w:tcPr>
            <w:tcW w:w="828" w:type="dxa"/>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tcBorders>
              <w:bottom w:val="single" w:sz="18" w:space="0" w:color="auto"/>
            </w:tcBorders>
            <w:vAlign w:val="center"/>
          </w:tcPr>
          <w:p w:rsidR="00847BCE"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375</w:t>
            </w:r>
          </w:p>
        </w:tc>
        <w:tc>
          <w:tcPr>
            <w:tcW w:w="1975" w:type="dxa"/>
            <w:tcBorders>
              <w:bottom w:val="single" w:sz="18" w:space="0" w:color="auto"/>
            </w:tcBorders>
            <w:vAlign w:val="center"/>
            <w:hideMark/>
          </w:tcPr>
          <w:p w:rsidR="00847BCE"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326</w:t>
            </w:r>
          </w:p>
        </w:tc>
      </w:tr>
      <w:tr w:rsidR="00847BCE" w:rsidRPr="003E335B" w:rsidTr="00801700">
        <w:trPr>
          <w:trHeight w:val="255"/>
        </w:trPr>
        <w:tc>
          <w:tcPr>
            <w:tcW w:w="5213" w:type="dxa"/>
            <w:shd w:val="clear" w:color="auto" w:fill="B8CCE4" w:themeFill="accent1" w:themeFillTint="66"/>
            <w:vAlign w:val="center"/>
            <w:hideMark/>
          </w:tcPr>
          <w:p w:rsidR="00847BCE" w:rsidRPr="003E335B" w:rsidRDefault="00847BCE"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Total non-current assets</w:t>
            </w:r>
          </w:p>
        </w:tc>
        <w:tc>
          <w:tcPr>
            <w:tcW w:w="828" w:type="dxa"/>
            <w:shd w:val="clear" w:color="auto" w:fill="B8CCE4" w:themeFill="accent1" w:themeFillTint="66"/>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tcBorders>
              <w:top w:val="single" w:sz="18" w:space="0" w:color="auto"/>
            </w:tcBorders>
            <w:shd w:val="clear" w:color="auto" w:fill="B8CCE4" w:themeFill="accent1" w:themeFillTint="66"/>
            <w:vAlign w:val="center"/>
          </w:tcPr>
          <w:p w:rsidR="00847BCE" w:rsidRPr="003E335B" w:rsidRDefault="00FF652E"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8,78</w:t>
            </w:r>
            <w:r w:rsidR="0025257A">
              <w:rPr>
                <w:rFonts w:asciiTheme="minorHAnsi" w:hAnsiTheme="minorHAnsi" w:cs="Arial"/>
                <w:b/>
                <w:sz w:val="20"/>
                <w:szCs w:val="20"/>
              </w:rPr>
              <w:t>1</w:t>
            </w:r>
          </w:p>
        </w:tc>
        <w:tc>
          <w:tcPr>
            <w:tcW w:w="1975" w:type="dxa"/>
            <w:tcBorders>
              <w:top w:val="single" w:sz="18" w:space="0" w:color="auto"/>
            </w:tcBorders>
            <w:shd w:val="clear" w:color="auto" w:fill="B8CCE4" w:themeFill="accent1" w:themeFillTint="66"/>
            <w:vAlign w:val="center"/>
            <w:hideMark/>
          </w:tcPr>
          <w:p w:rsidR="00847BCE" w:rsidRPr="003E335B" w:rsidRDefault="00990F4A"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8,281</w:t>
            </w:r>
          </w:p>
        </w:tc>
      </w:tr>
      <w:tr w:rsidR="00847BCE" w:rsidRPr="003E335B" w:rsidTr="00801700">
        <w:trPr>
          <w:trHeight w:val="255"/>
        </w:trPr>
        <w:tc>
          <w:tcPr>
            <w:tcW w:w="5213" w:type="dxa"/>
            <w:vAlign w:val="center"/>
            <w:hideMark/>
          </w:tcPr>
          <w:p w:rsidR="00847BCE" w:rsidRPr="003E335B" w:rsidRDefault="00847BCE"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Current assets</w:t>
            </w:r>
          </w:p>
        </w:tc>
        <w:tc>
          <w:tcPr>
            <w:tcW w:w="828" w:type="dxa"/>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vAlign w:val="center"/>
          </w:tcPr>
          <w:p w:rsidR="00847BCE" w:rsidRPr="003E335B" w:rsidRDefault="00847BCE" w:rsidP="000D70EC">
            <w:pPr>
              <w:spacing w:after="0" w:afterAutospacing="0" w:line="240" w:lineRule="auto"/>
              <w:jc w:val="right"/>
              <w:rPr>
                <w:rFonts w:asciiTheme="minorHAnsi" w:hAnsiTheme="minorHAnsi" w:cs="Arial"/>
                <w:b/>
                <w:sz w:val="20"/>
                <w:szCs w:val="20"/>
              </w:rPr>
            </w:pPr>
          </w:p>
        </w:tc>
        <w:tc>
          <w:tcPr>
            <w:tcW w:w="1975" w:type="dxa"/>
            <w:vAlign w:val="center"/>
          </w:tcPr>
          <w:p w:rsidR="00847BCE" w:rsidRPr="003E335B" w:rsidRDefault="00847BCE" w:rsidP="000D70EC">
            <w:pPr>
              <w:spacing w:after="0" w:afterAutospacing="0" w:line="240" w:lineRule="auto"/>
              <w:jc w:val="right"/>
              <w:rPr>
                <w:rFonts w:asciiTheme="minorHAnsi" w:hAnsiTheme="minorHAnsi" w:cs="Arial"/>
                <w:b/>
                <w:sz w:val="20"/>
                <w:szCs w:val="20"/>
              </w:rPr>
            </w:pPr>
          </w:p>
        </w:tc>
      </w:tr>
      <w:tr w:rsidR="00847BCE" w:rsidRPr="003E335B" w:rsidTr="00801700">
        <w:trPr>
          <w:trHeight w:val="255"/>
        </w:trPr>
        <w:tc>
          <w:tcPr>
            <w:tcW w:w="5213" w:type="dxa"/>
            <w:shd w:val="clear" w:color="auto" w:fill="B8CCE4" w:themeFill="accent1" w:themeFillTint="66"/>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Inventories</w:t>
            </w:r>
          </w:p>
        </w:tc>
        <w:tc>
          <w:tcPr>
            <w:tcW w:w="828" w:type="dxa"/>
            <w:shd w:val="clear" w:color="auto" w:fill="B8CCE4" w:themeFill="accent1" w:themeFillTint="66"/>
            <w:vAlign w:val="center"/>
          </w:tcPr>
          <w:p w:rsidR="00847BCE" w:rsidRPr="00E254DE" w:rsidRDefault="0090791A" w:rsidP="000D70EC">
            <w:pPr>
              <w:spacing w:after="0" w:afterAutospacing="0" w:line="240" w:lineRule="auto"/>
              <w:jc w:val="center"/>
              <w:rPr>
                <w:rFonts w:asciiTheme="minorHAnsi" w:hAnsiTheme="minorHAnsi" w:cs="Arial"/>
                <w:b/>
                <w:sz w:val="20"/>
                <w:szCs w:val="20"/>
              </w:rPr>
            </w:pPr>
            <w:r w:rsidRPr="0090791A">
              <w:rPr>
                <w:rFonts w:asciiTheme="minorHAnsi" w:hAnsiTheme="minorHAnsi" w:cs="Arial"/>
                <w:b/>
                <w:sz w:val="20"/>
                <w:szCs w:val="20"/>
              </w:rPr>
              <w:t>11</w:t>
            </w:r>
          </w:p>
        </w:tc>
        <w:tc>
          <w:tcPr>
            <w:tcW w:w="1974" w:type="dxa"/>
            <w:shd w:val="clear" w:color="auto" w:fill="B8CCE4" w:themeFill="accent1" w:themeFillTint="66"/>
            <w:vAlign w:val="center"/>
          </w:tcPr>
          <w:p w:rsidR="00847BCE"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1,755</w:t>
            </w:r>
          </w:p>
        </w:tc>
        <w:tc>
          <w:tcPr>
            <w:tcW w:w="1975" w:type="dxa"/>
            <w:shd w:val="clear" w:color="auto" w:fill="B8CCE4" w:themeFill="accent1" w:themeFillTint="66"/>
            <w:vAlign w:val="center"/>
            <w:hideMark/>
          </w:tcPr>
          <w:p w:rsidR="00847BCE" w:rsidRPr="003E335B" w:rsidRDefault="00847BC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w:t>
            </w:r>
            <w:r w:rsidR="00990F4A" w:rsidRPr="003E335B">
              <w:rPr>
                <w:rFonts w:asciiTheme="minorHAnsi" w:hAnsiTheme="minorHAnsi" w:cs="Arial"/>
                <w:sz w:val="20"/>
                <w:szCs w:val="20"/>
              </w:rPr>
              <w:t>497</w:t>
            </w:r>
          </w:p>
        </w:tc>
      </w:tr>
      <w:tr w:rsidR="00847BCE" w:rsidRPr="003E335B" w:rsidTr="00801700">
        <w:trPr>
          <w:trHeight w:val="255"/>
        </w:trPr>
        <w:tc>
          <w:tcPr>
            <w:tcW w:w="5213" w:type="dxa"/>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Trade accounts receivable</w:t>
            </w:r>
            <w:r w:rsidR="00923FB4">
              <w:rPr>
                <w:rFonts w:asciiTheme="minorHAnsi" w:hAnsiTheme="minorHAnsi" w:cs="Arial"/>
                <w:sz w:val="20"/>
                <w:szCs w:val="20"/>
              </w:rPr>
              <w:t>, net</w:t>
            </w:r>
          </w:p>
        </w:tc>
        <w:tc>
          <w:tcPr>
            <w:tcW w:w="828" w:type="dxa"/>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vAlign w:val="center"/>
          </w:tcPr>
          <w:p w:rsidR="00847BCE"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1,302</w:t>
            </w:r>
          </w:p>
        </w:tc>
        <w:tc>
          <w:tcPr>
            <w:tcW w:w="1975" w:type="dxa"/>
            <w:vAlign w:val="center"/>
            <w:hideMark/>
          </w:tcPr>
          <w:p w:rsidR="00847BCE" w:rsidRPr="003E335B" w:rsidRDefault="00847BC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w:t>
            </w:r>
            <w:r w:rsidR="00990F4A" w:rsidRPr="003E335B">
              <w:rPr>
                <w:rFonts w:asciiTheme="minorHAnsi" w:hAnsiTheme="minorHAnsi" w:cs="Arial"/>
                <w:sz w:val="20"/>
                <w:szCs w:val="20"/>
              </w:rPr>
              <w:t>230</w:t>
            </w:r>
          </w:p>
        </w:tc>
      </w:tr>
      <w:tr w:rsidR="00847BCE" w:rsidRPr="003E335B" w:rsidTr="00801700">
        <w:trPr>
          <w:trHeight w:val="255"/>
        </w:trPr>
        <w:tc>
          <w:tcPr>
            <w:tcW w:w="5213" w:type="dxa"/>
            <w:shd w:val="clear" w:color="auto" w:fill="B8CCE4" w:themeFill="accent1" w:themeFillTint="66"/>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Other current financial assets</w:t>
            </w:r>
          </w:p>
        </w:tc>
        <w:tc>
          <w:tcPr>
            <w:tcW w:w="828" w:type="dxa"/>
            <w:shd w:val="clear" w:color="auto" w:fill="B8CCE4" w:themeFill="accent1" w:themeFillTint="66"/>
            <w:vAlign w:val="center"/>
          </w:tcPr>
          <w:p w:rsidR="00847BCE" w:rsidRPr="00E254DE" w:rsidRDefault="00F857DE" w:rsidP="000D70EC">
            <w:pPr>
              <w:spacing w:after="0" w:afterAutospacing="0" w:line="240" w:lineRule="auto"/>
              <w:jc w:val="center"/>
              <w:rPr>
                <w:rFonts w:asciiTheme="minorHAnsi" w:hAnsiTheme="minorHAnsi" w:cs="Arial"/>
                <w:b/>
                <w:sz w:val="20"/>
                <w:szCs w:val="20"/>
              </w:rPr>
            </w:pPr>
            <w:r>
              <w:rPr>
                <w:rFonts w:asciiTheme="minorHAnsi" w:hAnsiTheme="minorHAnsi" w:cs="Arial"/>
                <w:b/>
                <w:sz w:val="20"/>
                <w:szCs w:val="20"/>
              </w:rPr>
              <w:t>10</w:t>
            </w:r>
          </w:p>
        </w:tc>
        <w:tc>
          <w:tcPr>
            <w:tcW w:w="1974" w:type="dxa"/>
            <w:shd w:val="clear" w:color="auto" w:fill="B8CCE4" w:themeFill="accent1" w:themeFillTint="66"/>
            <w:vAlign w:val="center"/>
          </w:tcPr>
          <w:p w:rsidR="00847BCE"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667</w:t>
            </w:r>
          </w:p>
        </w:tc>
        <w:tc>
          <w:tcPr>
            <w:tcW w:w="1975" w:type="dxa"/>
            <w:shd w:val="clear" w:color="auto" w:fill="B8CCE4" w:themeFill="accent1" w:themeFillTint="66"/>
            <w:vAlign w:val="center"/>
            <w:hideMark/>
          </w:tcPr>
          <w:p w:rsidR="00847BCE" w:rsidRPr="003E335B" w:rsidRDefault="00847BC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w:t>
            </w:r>
            <w:r w:rsidR="00990F4A" w:rsidRPr="003E335B">
              <w:rPr>
                <w:rFonts w:asciiTheme="minorHAnsi" w:hAnsiTheme="minorHAnsi" w:cs="Arial"/>
                <w:sz w:val="20"/>
                <w:szCs w:val="20"/>
              </w:rPr>
              <w:t>211</w:t>
            </w:r>
          </w:p>
        </w:tc>
      </w:tr>
      <w:tr w:rsidR="00847BCE" w:rsidRPr="003E335B" w:rsidTr="00801700">
        <w:trPr>
          <w:trHeight w:val="255"/>
        </w:trPr>
        <w:tc>
          <w:tcPr>
            <w:tcW w:w="5213" w:type="dxa"/>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Other receivable and assets</w:t>
            </w:r>
          </w:p>
        </w:tc>
        <w:tc>
          <w:tcPr>
            <w:tcW w:w="828" w:type="dxa"/>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vAlign w:val="center"/>
          </w:tcPr>
          <w:p w:rsidR="00847BCE"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6</w:t>
            </w:r>
            <w:r w:rsidR="0025257A">
              <w:rPr>
                <w:rFonts w:asciiTheme="minorHAnsi" w:hAnsiTheme="minorHAnsi" w:cs="Arial"/>
                <w:sz w:val="20"/>
                <w:szCs w:val="20"/>
              </w:rPr>
              <w:t>62</w:t>
            </w:r>
          </w:p>
        </w:tc>
        <w:tc>
          <w:tcPr>
            <w:tcW w:w="1975" w:type="dxa"/>
            <w:vAlign w:val="center"/>
            <w:hideMark/>
          </w:tcPr>
          <w:p w:rsidR="00847BCE"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524</w:t>
            </w:r>
          </w:p>
        </w:tc>
      </w:tr>
      <w:tr w:rsidR="00847BCE" w:rsidRPr="003E335B" w:rsidTr="00801700">
        <w:trPr>
          <w:trHeight w:val="255"/>
        </w:trPr>
        <w:tc>
          <w:tcPr>
            <w:tcW w:w="5213" w:type="dxa"/>
            <w:shd w:val="clear" w:color="auto" w:fill="B8CCE4" w:themeFill="accent1" w:themeFillTint="66"/>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Cash and cash equivalents</w:t>
            </w:r>
          </w:p>
        </w:tc>
        <w:tc>
          <w:tcPr>
            <w:tcW w:w="828" w:type="dxa"/>
            <w:shd w:val="clear" w:color="auto" w:fill="B8CCE4" w:themeFill="accent1" w:themeFillTint="66"/>
            <w:vAlign w:val="center"/>
          </w:tcPr>
          <w:p w:rsidR="00847BCE" w:rsidRPr="00E254DE" w:rsidRDefault="0090791A" w:rsidP="000D70EC">
            <w:pPr>
              <w:spacing w:after="0" w:afterAutospacing="0" w:line="240" w:lineRule="auto"/>
              <w:jc w:val="center"/>
              <w:rPr>
                <w:rFonts w:asciiTheme="minorHAnsi" w:hAnsiTheme="minorHAnsi" w:cs="Arial"/>
                <w:b/>
                <w:sz w:val="20"/>
                <w:szCs w:val="20"/>
              </w:rPr>
            </w:pPr>
            <w:r w:rsidRPr="0090791A">
              <w:rPr>
                <w:rFonts w:asciiTheme="minorHAnsi" w:hAnsiTheme="minorHAnsi" w:cs="Arial"/>
                <w:b/>
                <w:sz w:val="20"/>
                <w:szCs w:val="20"/>
              </w:rPr>
              <w:t>12</w:t>
            </w:r>
          </w:p>
        </w:tc>
        <w:tc>
          <w:tcPr>
            <w:tcW w:w="1974" w:type="dxa"/>
            <w:tcBorders>
              <w:bottom w:val="single" w:sz="18" w:space="0" w:color="auto"/>
            </w:tcBorders>
            <w:shd w:val="clear" w:color="auto" w:fill="B8CCE4" w:themeFill="accent1" w:themeFillTint="66"/>
            <w:vAlign w:val="center"/>
          </w:tcPr>
          <w:p w:rsidR="00847BCE"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2,355</w:t>
            </w:r>
          </w:p>
        </w:tc>
        <w:tc>
          <w:tcPr>
            <w:tcW w:w="1975" w:type="dxa"/>
            <w:tcBorders>
              <w:bottom w:val="single" w:sz="18" w:space="0" w:color="auto"/>
            </w:tcBorders>
            <w:shd w:val="clear" w:color="auto" w:fill="B8CCE4" w:themeFill="accent1" w:themeFillTint="66"/>
            <w:vAlign w:val="center"/>
            <w:hideMark/>
          </w:tcPr>
          <w:p w:rsidR="00847BCE" w:rsidRPr="003E335B" w:rsidRDefault="00847BC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w:t>
            </w:r>
            <w:r w:rsidR="00990F4A" w:rsidRPr="003E335B">
              <w:rPr>
                <w:rFonts w:asciiTheme="minorHAnsi" w:hAnsiTheme="minorHAnsi" w:cs="Arial"/>
                <w:sz w:val="20"/>
                <w:szCs w:val="20"/>
              </w:rPr>
              <w:t>892</w:t>
            </w:r>
          </w:p>
        </w:tc>
      </w:tr>
      <w:tr w:rsidR="00847BCE" w:rsidRPr="003E335B" w:rsidTr="00801700">
        <w:trPr>
          <w:trHeight w:val="255"/>
        </w:trPr>
        <w:tc>
          <w:tcPr>
            <w:tcW w:w="5213" w:type="dxa"/>
            <w:vAlign w:val="center"/>
            <w:hideMark/>
          </w:tcPr>
          <w:p w:rsidR="00847BCE" w:rsidRPr="003E335B" w:rsidRDefault="00847BCE"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Total current assets</w:t>
            </w:r>
          </w:p>
        </w:tc>
        <w:tc>
          <w:tcPr>
            <w:tcW w:w="828" w:type="dxa"/>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tcBorders>
              <w:top w:val="single" w:sz="18" w:space="0" w:color="auto"/>
            </w:tcBorders>
            <w:vAlign w:val="center"/>
          </w:tcPr>
          <w:p w:rsidR="00847BCE" w:rsidRPr="003E335B" w:rsidRDefault="00FF652E"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6,7</w:t>
            </w:r>
            <w:r w:rsidR="0025257A">
              <w:rPr>
                <w:rFonts w:asciiTheme="minorHAnsi" w:hAnsiTheme="minorHAnsi" w:cs="Arial"/>
                <w:b/>
                <w:sz w:val="20"/>
                <w:szCs w:val="20"/>
              </w:rPr>
              <w:t>41</w:t>
            </w:r>
          </w:p>
        </w:tc>
        <w:tc>
          <w:tcPr>
            <w:tcW w:w="1975" w:type="dxa"/>
            <w:tcBorders>
              <w:top w:val="single" w:sz="18" w:space="0" w:color="auto"/>
            </w:tcBorders>
            <w:vAlign w:val="center"/>
            <w:hideMark/>
          </w:tcPr>
          <w:p w:rsidR="00847BCE" w:rsidRPr="003E335B" w:rsidRDefault="00990F4A"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6,354</w:t>
            </w:r>
          </w:p>
        </w:tc>
      </w:tr>
      <w:tr w:rsidR="00847BCE" w:rsidRPr="003E335B" w:rsidTr="00801700">
        <w:trPr>
          <w:trHeight w:val="255"/>
        </w:trPr>
        <w:tc>
          <w:tcPr>
            <w:tcW w:w="5213" w:type="dxa"/>
            <w:shd w:val="clear" w:color="auto" w:fill="B8CCE4" w:themeFill="accent1" w:themeFillTint="66"/>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Assets held for sale</w:t>
            </w:r>
          </w:p>
        </w:tc>
        <w:tc>
          <w:tcPr>
            <w:tcW w:w="828" w:type="dxa"/>
            <w:shd w:val="clear" w:color="auto" w:fill="B8CCE4" w:themeFill="accent1" w:themeFillTint="66"/>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tcBorders>
              <w:bottom w:val="single" w:sz="18" w:space="0" w:color="auto"/>
            </w:tcBorders>
            <w:shd w:val="clear" w:color="auto" w:fill="B8CCE4" w:themeFill="accent1" w:themeFillTint="66"/>
            <w:vAlign w:val="center"/>
          </w:tcPr>
          <w:p w:rsidR="00847BCE"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29</w:t>
            </w:r>
          </w:p>
        </w:tc>
        <w:tc>
          <w:tcPr>
            <w:tcW w:w="1975" w:type="dxa"/>
            <w:tcBorders>
              <w:bottom w:val="single" w:sz="18" w:space="0" w:color="auto"/>
            </w:tcBorders>
            <w:shd w:val="clear" w:color="auto" w:fill="B8CCE4" w:themeFill="accent1" w:themeFillTint="66"/>
            <w:vAlign w:val="center"/>
            <w:hideMark/>
          </w:tcPr>
          <w:p w:rsidR="00847BCE"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29</w:t>
            </w:r>
          </w:p>
        </w:tc>
      </w:tr>
      <w:tr w:rsidR="00847BCE" w:rsidRPr="003E335B" w:rsidTr="00801700">
        <w:trPr>
          <w:trHeight w:val="255"/>
        </w:trPr>
        <w:tc>
          <w:tcPr>
            <w:tcW w:w="5213" w:type="dxa"/>
            <w:vAlign w:val="center"/>
            <w:hideMark/>
          </w:tcPr>
          <w:p w:rsidR="00847BCE" w:rsidRPr="003E335B" w:rsidRDefault="00847BCE"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Total assets</w:t>
            </w:r>
          </w:p>
        </w:tc>
        <w:tc>
          <w:tcPr>
            <w:tcW w:w="828" w:type="dxa"/>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tcBorders>
              <w:top w:val="single" w:sz="18" w:space="0" w:color="auto"/>
            </w:tcBorders>
            <w:vAlign w:val="center"/>
          </w:tcPr>
          <w:p w:rsidR="00847BCE" w:rsidRPr="003E335B" w:rsidRDefault="00FF652E"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15,551</w:t>
            </w:r>
          </w:p>
        </w:tc>
        <w:tc>
          <w:tcPr>
            <w:tcW w:w="1975" w:type="dxa"/>
            <w:tcBorders>
              <w:top w:val="single" w:sz="18" w:space="0" w:color="auto"/>
            </w:tcBorders>
            <w:vAlign w:val="center"/>
            <w:hideMark/>
          </w:tcPr>
          <w:p w:rsidR="00847BCE" w:rsidRPr="003E335B" w:rsidRDefault="00847BCE"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14,</w:t>
            </w:r>
            <w:r w:rsidR="00990F4A" w:rsidRPr="003E335B">
              <w:rPr>
                <w:rFonts w:asciiTheme="minorHAnsi" w:hAnsiTheme="minorHAnsi" w:cs="Arial"/>
                <w:b/>
                <w:sz w:val="20"/>
                <w:szCs w:val="20"/>
              </w:rPr>
              <w:t>664</w:t>
            </w:r>
          </w:p>
        </w:tc>
      </w:tr>
      <w:tr w:rsidR="00923FB4" w:rsidRPr="003E335B" w:rsidTr="00801700">
        <w:trPr>
          <w:trHeight w:val="255"/>
        </w:trPr>
        <w:tc>
          <w:tcPr>
            <w:tcW w:w="5213" w:type="dxa"/>
            <w:shd w:val="clear" w:color="auto" w:fill="auto"/>
            <w:vAlign w:val="center"/>
            <w:hideMark/>
          </w:tcPr>
          <w:p w:rsidR="00923FB4" w:rsidRPr="003E335B" w:rsidRDefault="00923FB4" w:rsidP="000D70EC">
            <w:pPr>
              <w:spacing w:after="0" w:afterAutospacing="0" w:line="240" w:lineRule="auto"/>
              <w:rPr>
                <w:rFonts w:asciiTheme="minorHAnsi" w:hAnsiTheme="minorHAnsi" w:cs="Arial"/>
                <w:b/>
                <w:sz w:val="20"/>
                <w:szCs w:val="20"/>
              </w:rPr>
            </w:pPr>
          </w:p>
        </w:tc>
        <w:tc>
          <w:tcPr>
            <w:tcW w:w="828" w:type="dxa"/>
            <w:shd w:val="clear" w:color="auto" w:fill="auto"/>
            <w:vAlign w:val="center"/>
          </w:tcPr>
          <w:p w:rsidR="00923FB4" w:rsidRPr="00E254DE" w:rsidRDefault="00923FB4" w:rsidP="000D70EC">
            <w:pPr>
              <w:spacing w:after="0" w:afterAutospacing="0" w:line="240" w:lineRule="auto"/>
              <w:jc w:val="center"/>
              <w:rPr>
                <w:rFonts w:asciiTheme="minorHAnsi" w:hAnsiTheme="minorHAnsi" w:cs="Arial"/>
                <w:b/>
                <w:sz w:val="20"/>
                <w:szCs w:val="20"/>
              </w:rPr>
            </w:pPr>
          </w:p>
        </w:tc>
        <w:tc>
          <w:tcPr>
            <w:tcW w:w="1974" w:type="dxa"/>
            <w:shd w:val="clear" w:color="auto" w:fill="auto"/>
            <w:vAlign w:val="center"/>
          </w:tcPr>
          <w:p w:rsidR="00923FB4" w:rsidRPr="003E335B" w:rsidRDefault="00923FB4" w:rsidP="000D70EC">
            <w:pPr>
              <w:spacing w:after="0" w:afterAutospacing="0" w:line="240" w:lineRule="auto"/>
              <w:jc w:val="right"/>
              <w:rPr>
                <w:rFonts w:asciiTheme="minorHAnsi" w:hAnsiTheme="minorHAnsi" w:cs="Arial"/>
                <w:b/>
                <w:sz w:val="20"/>
                <w:szCs w:val="20"/>
              </w:rPr>
            </w:pPr>
          </w:p>
        </w:tc>
        <w:tc>
          <w:tcPr>
            <w:tcW w:w="1975" w:type="dxa"/>
            <w:shd w:val="clear" w:color="auto" w:fill="auto"/>
            <w:vAlign w:val="center"/>
          </w:tcPr>
          <w:p w:rsidR="00923FB4" w:rsidRPr="003E335B" w:rsidRDefault="00923FB4" w:rsidP="000D70EC">
            <w:pPr>
              <w:spacing w:after="0" w:afterAutospacing="0" w:line="240" w:lineRule="auto"/>
              <w:jc w:val="right"/>
              <w:rPr>
                <w:rFonts w:asciiTheme="minorHAnsi" w:hAnsiTheme="minorHAnsi" w:cs="Arial"/>
                <w:b/>
                <w:sz w:val="20"/>
                <w:szCs w:val="20"/>
              </w:rPr>
            </w:pPr>
          </w:p>
        </w:tc>
      </w:tr>
      <w:tr w:rsidR="00847BCE" w:rsidRPr="003E335B" w:rsidTr="00801700">
        <w:trPr>
          <w:trHeight w:val="255"/>
        </w:trPr>
        <w:tc>
          <w:tcPr>
            <w:tcW w:w="5213" w:type="dxa"/>
            <w:shd w:val="clear" w:color="auto" w:fill="B8CCE4" w:themeFill="accent1" w:themeFillTint="66"/>
            <w:vAlign w:val="center"/>
            <w:hideMark/>
          </w:tcPr>
          <w:p w:rsidR="00847BCE" w:rsidRPr="003E335B" w:rsidRDefault="00847BCE"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Equity</w:t>
            </w:r>
          </w:p>
        </w:tc>
        <w:tc>
          <w:tcPr>
            <w:tcW w:w="828" w:type="dxa"/>
            <w:shd w:val="clear" w:color="auto" w:fill="B8CCE4" w:themeFill="accent1" w:themeFillTint="66"/>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shd w:val="clear" w:color="auto" w:fill="B8CCE4" w:themeFill="accent1" w:themeFillTint="66"/>
            <w:vAlign w:val="center"/>
          </w:tcPr>
          <w:p w:rsidR="00847BCE" w:rsidRPr="003E335B" w:rsidRDefault="00847BCE" w:rsidP="000D70EC">
            <w:pPr>
              <w:spacing w:after="0" w:afterAutospacing="0" w:line="240" w:lineRule="auto"/>
              <w:jc w:val="right"/>
              <w:rPr>
                <w:rFonts w:asciiTheme="minorHAnsi" w:hAnsiTheme="minorHAnsi" w:cs="Arial"/>
                <w:b/>
                <w:sz w:val="20"/>
                <w:szCs w:val="20"/>
              </w:rPr>
            </w:pPr>
          </w:p>
        </w:tc>
        <w:tc>
          <w:tcPr>
            <w:tcW w:w="1975" w:type="dxa"/>
            <w:shd w:val="clear" w:color="auto" w:fill="B8CCE4" w:themeFill="accent1" w:themeFillTint="66"/>
            <w:vAlign w:val="center"/>
          </w:tcPr>
          <w:p w:rsidR="00847BCE" w:rsidRPr="003E335B" w:rsidRDefault="00847BCE" w:rsidP="000D70EC">
            <w:pPr>
              <w:spacing w:after="0" w:afterAutospacing="0" w:line="240" w:lineRule="auto"/>
              <w:jc w:val="right"/>
              <w:rPr>
                <w:rFonts w:asciiTheme="minorHAnsi" w:hAnsiTheme="minorHAnsi" w:cs="Arial"/>
                <w:b/>
                <w:sz w:val="20"/>
                <w:szCs w:val="20"/>
              </w:rPr>
            </w:pPr>
          </w:p>
        </w:tc>
      </w:tr>
      <w:tr w:rsidR="00335724" w:rsidRPr="003E335B" w:rsidTr="00801700">
        <w:trPr>
          <w:trHeight w:val="255"/>
        </w:trPr>
        <w:tc>
          <w:tcPr>
            <w:tcW w:w="6041" w:type="dxa"/>
            <w:gridSpan w:val="2"/>
            <w:vAlign w:val="center"/>
            <w:hideMark/>
          </w:tcPr>
          <w:p w:rsidR="00335724" w:rsidRPr="00E254DE" w:rsidRDefault="0090791A" w:rsidP="000D70EC">
            <w:pPr>
              <w:spacing w:after="0" w:afterAutospacing="0" w:line="240" w:lineRule="auto"/>
              <w:rPr>
                <w:rFonts w:asciiTheme="minorHAnsi" w:hAnsiTheme="minorHAnsi" w:cs="Arial"/>
                <w:b/>
                <w:sz w:val="20"/>
                <w:szCs w:val="20"/>
              </w:rPr>
            </w:pPr>
            <w:r w:rsidRPr="0090791A">
              <w:rPr>
                <w:rFonts w:asciiTheme="minorHAnsi" w:hAnsiTheme="minorHAnsi" w:cs="Arial"/>
                <w:b/>
                <w:sz w:val="20"/>
                <w:szCs w:val="20"/>
              </w:rPr>
              <w:t>Equity attributable to the equity holders of the parent</w:t>
            </w:r>
          </w:p>
        </w:tc>
        <w:tc>
          <w:tcPr>
            <w:tcW w:w="1974" w:type="dxa"/>
            <w:vAlign w:val="center"/>
          </w:tcPr>
          <w:p w:rsidR="00335724"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9,3</w:t>
            </w:r>
            <w:r w:rsidR="0025257A">
              <w:rPr>
                <w:rFonts w:asciiTheme="minorHAnsi" w:hAnsiTheme="minorHAnsi" w:cs="Arial"/>
                <w:sz w:val="20"/>
                <w:szCs w:val="20"/>
              </w:rPr>
              <w:t>21</w:t>
            </w:r>
          </w:p>
        </w:tc>
        <w:tc>
          <w:tcPr>
            <w:tcW w:w="1975" w:type="dxa"/>
            <w:vAlign w:val="center"/>
            <w:hideMark/>
          </w:tcPr>
          <w:p w:rsidR="00335724" w:rsidRPr="003E335B" w:rsidRDefault="00335724"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8,</w:t>
            </w:r>
            <w:r w:rsidR="00990F4A" w:rsidRPr="003E335B">
              <w:rPr>
                <w:rFonts w:asciiTheme="minorHAnsi" w:hAnsiTheme="minorHAnsi" w:cs="Arial"/>
                <w:sz w:val="20"/>
                <w:szCs w:val="20"/>
              </w:rPr>
              <w:t>751</w:t>
            </w:r>
          </w:p>
        </w:tc>
      </w:tr>
      <w:tr w:rsidR="00847BCE" w:rsidRPr="003E335B" w:rsidTr="00801700">
        <w:trPr>
          <w:trHeight w:val="255"/>
        </w:trPr>
        <w:tc>
          <w:tcPr>
            <w:tcW w:w="5213" w:type="dxa"/>
            <w:shd w:val="clear" w:color="auto" w:fill="B8CCE4" w:themeFill="accent1" w:themeFillTint="66"/>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Non-controlling interests</w:t>
            </w:r>
          </w:p>
        </w:tc>
        <w:tc>
          <w:tcPr>
            <w:tcW w:w="828" w:type="dxa"/>
            <w:shd w:val="clear" w:color="auto" w:fill="B8CCE4" w:themeFill="accent1" w:themeFillTint="66"/>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tcBorders>
              <w:bottom w:val="single" w:sz="18" w:space="0" w:color="auto"/>
            </w:tcBorders>
            <w:shd w:val="clear" w:color="auto" w:fill="B8CCE4" w:themeFill="accent1" w:themeFillTint="66"/>
            <w:vAlign w:val="center"/>
          </w:tcPr>
          <w:p w:rsidR="00847BCE"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819</w:t>
            </w:r>
          </w:p>
        </w:tc>
        <w:tc>
          <w:tcPr>
            <w:tcW w:w="1975" w:type="dxa"/>
            <w:tcBorders>
              <w:bottom w:val="single" w:sz="18" w:space="0" w:color="auto"/>
            </w:tcBorders>
            <w:shd w:val="clear" w:color="auto" w:fill="B8CCE4" w:themeFill="accent1" w:themeFillTint="66"/>
            <w:vAlign w:val="center"/>
            <w:hideMark/>
          </w:tcPr>
          <w:p w:rsidR="00847BCE"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996</w:t>
            </w:r>
          </w:p>
        </w:tc>
      </w:tr>
      <w:tr w:rsidR="00847BCE" w:rsidRPr="003E335B" w:rsidTr="00801700">
        <w:trPr>
          <w:trHeight w:val="255"/>
        </w:trPr>
        <w:tc>
          <w:tcPr>
            <w:tcW w:w="5213" w:type="dxa"/>
            <w:shd w:val="clear" w:color="auto" w:fill="auto"/>
            <w:vAlign w:val="center"/>
            <w:hideMark/>
          </w:tcPr>
          <w:p w:rsidR="00847BCE" w:rsidRPr="003E335B" w:rsidRDefault="00847BCE"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Total equity</w:t>
            </w:r>
          </w:p>
        </w:tc>
        <w:tc>
          <w:tcPr>
            <w:tcW w:w="828" w:type="dxa"/>
            <w:shd w:val="clear" w:color="auto" w:fill="auto"/>
            <w:vAlign w:val="center"/>
          </w:tcPr>
          <w:p w:rsidR="00847BCE" w:rsidRPr="00E254DE" w:rsidRDefault="0090791A" w:rsidP="000D70EC">
            <w:pPr>
              <w:spacing w:after="0" w:afterAutospacing="0" w:line="240" w:lineRule="auto"/>
              <w:jc w:val="center"/>
              <w:rPr>
                <w:rFonts w:asciiTheme="minorHAnsi" w:hAnsiTheme="minorHAnsi" w:cs="Arial"/>
                <w:b/>
                <w:sz w:val="20"/>
                <w:szCs w:val="20"/>
              </w:rPr>
            </w:pPr>
            <w:r>
              <w:rPr>
                <w:rFonts w:asciiTheme="minorHAnsi" w:hAnsiTheme="minorHAnsi" w:cs="Arial"/>
                <w:b/>
                <w:sz w:val="20"/>
                <w:szCs w:val="20"/>
              </w:rPr>
              <w:t>14</w:t>
            </w:r>
          </w:p>
        </w:tc>
        <w:tc>
          <w:tcPr>
            <w:tcW w:w="1974" w:type="dxa"/>
            <w:tcBorders>
              <w:top w:val="single" w:sz="18" w:space="0" w:color="auto"/>
            </w:tcBorders>
            <w:shd w:val="clear" w:color="auto" w:fill="auto"/>
            <w:vAlign w:val="center"/>
          </w:tcPr>
          <w:p w:rsidR="00847BCE" w:rsidRPr="003E335B" w:rsidRDefault="00FF652E"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10,</w:t>
            </w:r>
            <w:r w:rsidR="0025257A">
              <w:rPr>
                <w:rFonts w:asciiTheme="minorHAnsi" w:hAnsiTheme="minorHAnsi" w:cs="Arial"/>
                <w:b/>
                <w:sz w:val="20"/>
                <w:szCs w:val="20"/>
              </w:rPr>
              <w:t>140</w:t>
            </w:r>
          </w:p>
        </w:tc>
        <w:tc>
          <w:tcPr>
            <w:tcW w:w="1975" w:type="dxa"/>
            <w:tcBorders>
              <w:top w:val="single" w:sz="18" w:space="0" w:color="auto"/>
            </w:tcBorders>
            <w:shd w:val="clear" w:color="auto" w:fill="auto"/>
            <w:vAlign w:val="center"/>
            <w:hideMark/>
          </w:tcPr>
          <w:p w:rsidR="00847BCE" w:rsidRPr="003E335B" w:rsidRDefault="00847BCE"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9,</w:t>
            </w:r>
            <w:r w:rsidR="00990F4A" w:rsidRPr="003E335B">
              <w:rPr>
                <w:rFonts w:asciiTheme="minorHAnsi" w:hAnsiTheme="minorHAnsi" w:cs="Arial"/>
                <w:b/>
                <w:sz w:val="20"/>
                <w:szCs w:val="20"/>
              </w:rPr>
              <w:t>747</w:t>
            </w:r>
          </w:p>
        </w:tc>
      </w:tr>
      <w:tr w:rsidR="00847BCE" w:rsidRPr="003E335B" w:rsidTr="00801700">
        <w:trPr>
          <w:trHeight w:val="255"/>
        </w:trPr>
        <w:tc>
          <w:tcPr>
            <w:tcW w:w="5213" w:type="dxa"/>
            <w:shd w:val="clear" w:color="auto" w:fill="B8CCE4" w:themeFill="accent1" w:themeFillTint="66"/>
            <w:vAlign w:val="center"/>
            <w:hideMark/>
          </w:tcPr>
          <w:p w:rsidR="00847BCE" w:rsidRPr="003E335B" w:rsidRDefault="00847BCE"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Non-current liabilities</w:t>
            </w:r>
          </w:p>
        </w:tc>
        <w:tc>
          <w:tcPr>
            <w:tcW w:w="828" w:type="dxa"/>
            <w:shd w:val="clear" w:color="auto" w:fill="B8CCE4" w:themeFill="accent1" w:themeFillTint="66"/>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shd w:val="clear" w:color="auto" w:fill="B8CCE4" w:themeFill="accent1" w:themeFillTint="66"/>
            <w:vAlign w:val="center"/>
          </w:tcPr>
          <w:p w:rsidR="00847BCE" w:rsidRPr="003E335B" w:rsidRDefault="00847BCE" w:rsidP="000D70EC">
            <w:pPr>
              <w:spacing w:after="0" w:afterAutospacing="0" w:line="240" w:lineRule="auto"/>
              <w:jc w:val="right"/>
              <w:rPr>
                <w:rFonts w:asciiTheme="minorHAnsi" w:hAnsiTheme="minorHAnsi" w:cs="Arial"/>
                <w:b/>
                <w:sz w:val="20"/>
                <w:szCs w:val="20"/>
              </w:rPr>
            </w:pPr>
          </w:p>
        </w:tc>
        <w:tc>
          <w:tcPr>
            <w:tcW w:w="1975" w:type="dxa"/>
            <w:shd w:val="clear" w:color="auto" w:fill="B8CCE4" w:themeFill="accent1" w:themeFillTint="66"/>
            <w:vAlign w:val="center"/>
          </w:tcPr>
          <w:p w:rsidR="00847BCE" w:rsidRPr="003E335B" w:rsidRDefault="00847BCE" w:rsidP="000D70EC">
            <w:pPr>
              <w:spacing w:after="0" w:afterAutospacing="0" w:line="240" w:lineRule="auto"/>
              <w:jc w:val="right"/>
              <w:rPr>
                <w:rFonts w:asciiTheme="minorHAnsi" w:hAnsiTheme="minorHAnsi" w:cs="Arial"/>
                <w:b/>
                <w:sz w:val="20"/>
                <w:szCs w:val="20"/>
              </w:rPr>
            </w:pPr>
          </w:p>
        </w:tc>
      </w:tr>
      <w:tr w:rsidR="00847BCE" w:rsidRPr="003E335B" w:rsidTr="00801700">
        <w:trPr>
          <w:trHeight w:val="255"/>
        </w:trPr>
        <w:tc>
          <w:tcPr>
            <w:tcW w:w="5213" w:type="dxa"/>
            <w:shd w:val="clear" w:color="auto" w:fill="auto"/>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Interest-bearing loans and borrowings</w:t>
            </w:r>
          </w:p>
        </w:tc>
        <w:tc>
          <w:tcPr>
            <w:tcW w:w="828" w:type="dxa"/>
            <w:shd w:val="clear" w:color="auto" w:fill="auto"/>
            <w:vAlign w:val="center"/>
          </w:tcPr>
          <w:p w:rsidR="00847BCE" w:rsidRPr="00E254DE" w:rsidRDefault="00F857DE" w:rsidP="000D70EC">
            <w:pPr>
              <w:spacing w:after="0" w:afterAutospacing="0" w:line="240" w:lineRule="auto"/>
              <w:jc w:val="center"/>
              <w:rPr>
                <w:rFonts w:asciiTheme="minorHAnsi" w:hAnsiTheme="minorHAnsi" w:cs="Arial"/>
                <w:b/>
                <w:sz w:val="20"/>
                <w:szCs w:val="20"/>
              </w:rPr>
            </w:pPr>
            <w:r>
              <w:rPr>
                <w:rFonts w:asciiTheme="minorHAnsi" w:hAnsiTheme="minorHAnsi" w:cs="Arial"/>
                <w:b/>
                <w:sz w:val="20"/>
                <w:szCs w:val="20"/>
              </w:rPr>
              <w:t>10</w:t>
            </w:r>
          </w:p>
        </w:tc>
        <w:tc>
          <w:tcPr>
            <w:tcW w:w="1974" w:type="dxa"/>
            <w:shd w:val="clear" w:color="auto" w:fill="auto"/>
            <w:vAlign w:val="center"/>
          </w:tcPr>
          <w:p w:rsidR="00847BCE"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1,073</w:t>
            </w:r>
          </w:p>
        </w:tc>
        <w:tc>
          <w:tcPr>
            <w:tcW w:w="1975" w:type="dxa"/>
            <w:shd w:val="clear" w:color="auto" w:fill="auto"/>
            <w:vAlign w:val="center"/>
            <w:hideMark/>
          </w:tcPr>
          <w:p w:rsidR="00847BCE" w:rsidRPr="003E335B" w:rsidRDefault="00990F4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1,091</w:t>
            </w:r>
          </w:p>
        </w:tc>
      </w:tr>
      <w:tr w:rsidR="00847BCE" w:rsidRPr="003E335B" w:rsidTr="00801700">
        <w:trPr>
          <w:trHeight w:val="255"/>
        </w:trPr>
        <w:tc>
          <w:tcPr>
            <w:tcW w:w="5213" w:type="dxa"/>
            <w:shd w:val="clear" w:color="auto" w:fill="B8CCE4" w:themeFill="accent1" w:themeFillTint="66"/>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Employee benefits</w:t>
            </w:r>
          </w:p>
        </w:tc>
        <w:tc>
          <w:tcPr>
            <w:tcW w:w="828" w:type="dxa"/>
            <w:shd w:val="clear" w:color="auto" w:fill="B8CCE4" w:themeFill="accent1" w:themeFillTint="66"/>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shd w:val="clear" w:color="auto" w:fill="B8CCE4" w:themeFill="accent1" w:themeFillTint="66"/>
            <w:vAlign w:val="center"/>
          </w:tcPr>
          <w:p w:rsidR="00847BCE" w:rsidRPr="003E335B" w:rsidRDefault="00E806ED" w:rsidP="000D70EC">
            <w:pPr>
              <w:spacing w:after="0" w:afterAutospacing="0" w:line="240" w:lineRule="auto"/>
              <w:jc w:val="right"/>
              <w:rPr>
                <w:rFonts w:asciiTheme="minorHAnsi" w:hAnsiTheme="minorHAnsi" w:cs="Arial"/>
                <w:sz w:val="20"/>
                <w:szCs w:val="20"/>
              </w:rPr>
            </w:pPr>
            <w:r>
              <w:rPr>
                <w:rFonts w:asciiTheme="minorHAnsi" w:hAnsiTheme="minorHAnsi" w:cs="Arial"/>
                <w:sz w:val="20"/>
                <w:szCs w:val="20"/>
              </w:rPr>
              <w:t>331</w:t>
            </w:r>
          </w:p>
        </w:tc>
        <w:tc>
          <w:tcPr>
            <w:tcW w:w="1975" w:type="dxa"/>
            <w:shd w:val="clear" w:color="auto" w:fill="B8CCE4" w:themeFill="accent1" w:themeFillTint="66"/>
            <w:vAlign w:val="center"/>
            <w:hideMark/>
          </w:tcPr>
          <w:p w:rsidR="00847BCE" w:rsidRPr="003E335B" w:rsidRDefault="00847BC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2</w:t>
            </w:r>
            <w:r w:rsidR="00990F4A" w:rsidRPr="003E335B">
              <w:rPr>
                <w:rFonts w:asciiTheme="minorHAnsi" w:hAnsiTheme="minorHAnsi" w:cs="Arial"/>
                <w:sz w:val="20"/>
                <w:szCs w:val="20"/>
              </w:rPr>
              <w:t>96</w:t>
            </w:r>
          </w:p>
        </w:tc>
      </w:tr>
      <w:tr w:rsidR="00847BCE" w:rsidRPr="003E335B" w:rsidTr="00801700">
        <w:trPr>
          <w:trHeight w:val="255"/>
        </w:trPr>
        <w:tc>
          <w:tcPr>
            <w:tcW w:w="5213" w:type="dxa"/>
            <w:shd w:val="clear" w:color="auto" w:fill="auto"/>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Deferred tax liabilities</w:t>
            </w:r>
          </w:p>
        </w:tc>
        <w:tc>
          <w:tcPr>
            <w:tcW w:w="828" w:type="dxa"/>
            <w:shd w:val="clear" w:color="auto" w:fill="auto"/>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shd w:val="clear" w:color="auto" w:fill="auto"/>
            <w:vAlign w:val="center"/>
          </w:tcPr>
          <w:p w:rsidR="00847BCE"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196</w:t>
            </w:r>
          </w:p>
        </w:tc>
        <w:tc>
          <w:tcPr>
            <w:tcW w:w="1975" w:type="dxa"/>
            <w:shd w:val="clear" w:color="auto" w:fill="auto"/>
            <w:vAlign w:val="center"/>
            <w:hideMark/>
          </w:tcPr>
          <w:p w:rsidR="00847BCE" w:rsidRPr="003E335B" w:rsidRDefault="00847BC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2</w:t>
            </w:r>
            <w:r w:rsidR="00990F4A" w:rsidRPr="003E335B">
              <w:rPr>
                <w:rFonts w:asciiTheme="minorHAnsi" w:hAnsiTheme="minorHAnsi" w:cs="Arial"/>
                <w:sz w:val="20"/>
                <w:szCs w:val="20"/>
              </w:rPr>
              <w:t>07</w:t>
            </w:r>
          </w:p>
        </w:tc>
      </w:tr>
      <w:tr w:rsidR="00847BCE" w:rsidRPr="003E335B" w:rsidTr="00801700">
        <w:trPr>
          <w:trHeight w:val="255"/>
        </w:trPr>
        <w:tc>
          <w:tcPr>
            <w:tcW w:w="5213" w:type="dxa"/>
            <w:shd w:val="clear" w:color="auto" w:fill="B8CCE4" w:themeFill="accent1" w:themeFillTint="66"/>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Non-current provisions</w:t>
            </w:r>
          </w:p>
        </w:tc>
        <w:tc>
          <w:tcPr>
            <w:tcW w:w="828" w:type="dxa"/>
            <w:shd w:val="clear" w:color="auto" w:fill="B8CCE4" w:themeFill="accent1" w:themeFillTint="66"/>
            <w:vAlign w:val="center"/>
          </w:tcPr>
          <w:p w:rsidR="00847BCE" w:rsidRPr="00E254DE" w:rsidRDefault="0090791A" w:rsidP="000D70EC">
            <w:pPr>
              <w:spacing w:after="0" w:afterAutospacing="0" w:line="240" w:lineRule="auto"/>
              <w:jc w:val="center"/>
              <w:rPr>
                <w:rFonts w:asciiTheme="minorHAnsi" w:hAnsiTheme="minorHAnsi" w:cs="Arial"/>
                <w:b/>
                <w:sz w:val="20"/>
                <w:szCs w:val="20"/>
              </w:rPr>
            </w:pPr>
            <w:r w:rsidRPr="0090791A">
              <w:rPr>
                <w:rFonts w:asciiTheme="minorHAnsi" w:hAnsiTheme="minorHAnsi" w:cs="Arial"/>
                <w:b/>
                <w:sz w:val="20"/>
                <w:szCs w:val="20"/>
              </w:rPr>
              <w:t>15</w:t>
            </w:r>
          </w:p>
        </w:tc>
        <w:tc>
          <w:tcPr>
            <w:tcW w:w="1974" w:type="dxa"/>
            <w:shd w:val="clear" w:color="auto" w:fill="B8CCE4" w:themeFill="accent1" w:themeFillTint="66"/>
            <w:vAlign w:val="center"/>
          </w:tcPr>
          <w:p w:rsidR="00847BCE"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182</w:t>
            </w:r>
          </w:p>
        </w:tc>
        <w:tc>
          <w:tcPr>
            <w:tcW w:w="1975" w:type="dxa"/>
            <w:shd w:val="clear" w:color="auto" w:fill="B8CCE4" w:themeFill="accent1" w:themeFillTint="66"/>
            <w:vAlign w:val="center"/>
            <w:hideMark/>
          </w:tcPr>
          <w:p w:rsidR="00847BCE" w:rsidRPr="003E335B" w:rsidRDefault="00847BC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13</w:t>
            </w:r>
            <w:r w:rsidR="00990F4A" w:rsidRPr="003E335B">
              <w:rPr>
                <w:rFonts w:asciiTheme="minorHAnsi" w:hAnsiTheme="minorHAnsi" w:cs="Arial"/>
                <w:sz w:val="20"/>
                <w:szCs w:val="20"/>
              </w:rPr>
              <w:t>5</w:t>
            </w:r>
          </w:p>
        </w:tc>
      </w:tr>
      <w:tr w:rsidR="00847BCE" w:rsidRPr="003E335B" w:rsidTr="00801700">
        <w:trPr>
          <w:trHeight w:val="255"/>
        </w:trPr>
        <w:tc>
          <w:tcPr>
            <w:tcW w:w="5213" w:type="dxa"/>
            <w:shd w:val="clear" w:color="auto" w:fill="auto"/>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Other non-current liabilities</w:t>
            </w:r>
          </w:p>
        </w:tc>
        <w:tc>
          <w:tcPr>
            <w:tcW w:w="828" w:type="dxa"/>
            <w:shd w:val="clear" w:color="auto" w:fill="auto"/>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tcBorders>
              <w:bottom w:val="single" w:sz="18" w:space="0" w:color="auto"/>
            </w:tcBorders>
            <w:shd w:val="clear" w:color="auto" w:fill="auto"/>
            <w:vAlign w:val="center"/>
          </w:tcPr>
          <w:p w:rsidR="00847BCE" w:rsidRPr="003E335B" w:rsidRDefault="00E806ED" w:rsidP="00E806ED">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w:t>
            </w:r>
            <w:r>
              <w:rPr>
                <w:rFonts w:asciiTheme="minorHAnsi" w:hAnsiTheme="minorHAnsi" w:cs="Arial"/>
                <w:sz w:val="20"/>
                <w:szCs w:val="20"/>
              </w:rPr>
              <w:t>14</w:t>
            </w:r>
          </w:p>
        </w:tc>
        <w:tc>
          <w:tcPr>
            <w:tcW w:w="1975" w:type="dxa"/>
            <w:tcBorders>
              <w:bottom w:val="single" w:sz="18" w:space="0" w:color="auto"/>
            </w:tcBorders>
            <w:shd w:val="clear" w:color="auto" w:fill="auto"/>
            <w:vAlign w:val="center"/>
            <w:hideMark/>
          </w:tcPr>
          <w:p w:rsidR="00847BCE" w:rsidRPr="003E335B" w:rsidRDefault="0013752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124</w:t>
            </w:r>
          </w:p>
        </w:tc>
      </w:tr>
      <w:tr w:rsidR="00847BCE" w:rsidRPr="003E335B" w:rsidTr="00801700">
        <w:trPr>
          <w:trHeight w:val="255"/>
        </w:trPr>
        <w:tc>
          <w:tcPr>
            <w:tcW w:w="5213" w:type="dxa"/>
            <w:shd w:val="clear" w:color="auto" w:fill="B8CCE4" w:themeFill="accent1" w:themeFillTint="66"/>
            <w:vAlign w:val="center"/>
            <w:hideMark/>
          </w:tcPr>
          <w:p w:rsidR="00847BCE" w:rsidRPr="003E335B" w:rsidRDefault="00847BCE"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Total non-current liabilities</w:t>
            </w:r>
          </w:p>
        </w:tc>
        <w:tc>
          <w:tcPr>
            <w:tcW w:w="828" w:type="dxa"/>
            <w:shd w:val="clear" w:color="auto" w:fill="B8CCE4" w:themeFill="accent1" w:themeFillTint="66"/>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tcBorders>
              <w:top w:val="single" w:sz="18" w:space="0" w:color="auto"/>
            </w:tcBorders>
            <w:shd w:val="clear" w:color="auto" w:fill="B8CCE4" w:themeFill="accent1" w:themeFillTint="66"/>
            <w:vAlign w:val="center"/>
          </w:tcPr>
          <w:p w:rsidR="00847BCE" w:rsidRPr="003E335B" w:rsidRDefault="00FF652E"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1,896</w:t>
            </w:r>
          </w:p>
        </w:tc>
        <w:tc>
          <w:tcPr>
            <w:tcW w:w="1975" w:type="dxa"/>
            <w:tcBorders>
              <w:top w:val="single" w:sz="18" w:space="0" w:color="auto"/>
            </w:tcBorders>
            <w:shd w:val="clear" w:color="auto" w:fill="B8CCE4" w:themeFill="accent1" w:themeFillTint="66"/>
            <w:vAlign w:val="center"/>
            <w:hideMark/>
          </w:tcPr>
          <w:p w:rsidR="00847BCE" w:rsidRPr="003E335B" w:rsidRDefault="0013752A"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1,853</w:t>
            </w:r>
          </w:p>
        </w:tc>
      </w:tr>
      <w:tr w:rsidR="00847BCE" w:rsidRPr="003E335B" w:rsidTr="00801700">
        <w:trPr>
          <w:trHeight w:val="255"/>
        </w:trPr>
        <w:tc>
          <w:tcPr>
            <w:tcW w:w="5213" w:type="dxa"/>
            <w:shd w:val="clear" w:color="auto" w:fill="auto"/>
            <w:vAlign w:val="center"/>
            <w:hideMark/>
          </w:tcPr>
          <w:p w:rsidR="00847BCE" w:rsidRPr="003E335B" w:rsidRDefault="00847BCE"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Current liabilities</w:t>
            </w:r>
          </w:p>
        </w:tc>
        <w:tc>
          <w:tcPr>
            <w:tcW w:w="828" w:type="dxa"/>
            <w:shd w:val="clear" w:color="auto" w:fill="auto"/>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shd w:val="clear" w:color="auto" w:fill="auto"/>
            <w:vAlign w:val="center"/>
          </w:tcPr>
          <w:p w:rsidR="00847BCE" w:rsidRPr="003E335B" w:rsidRDefault="00847BCE" w:rsidP="000D70EC">
            <w:pPr>
              <w:spacing w:after="0" w:afterAutospacing="0" w:line="240" w:lineRule="auto"/>
              <w:jc w:val="right"/>
              <w:rPr>
                <w:rFonts w:asciiTheme="minorHAnsi" w:hAnsiTheme="minorHAnsi" w:cs="Arial"/>
                <w:b/>
                <w:sz w:val="20"/>
                <w:szCs w:val="20"/>
              </w:rPr>
            </w:pPr>
          </w:p>
        </w:tc>
        <w:tc>
          <w:tcPr>
            <w:tcW w:w="1975" w:type="dxa"/>
            <w:shd w:val="clear" w:color="auto" w:fill="auto"/>
            <w:vAlign w:val="center"/>
          </w:tcPr>
          <w:p w:rsidR="00847BCE" w:rsidRPr="003E335B" w:rsidRDefault="00847BCE" w:rsidP="000D70EC">
            <w:pPr>
              <w:spacing w:after="0" w:afterAutospacing="0" w:line="240" w:lineRule="auto"/>
              <w:jc w:val="right"/>
              <w:rPr>
                <w:rFonts w:asciiTheme="minorHAnsi" w:hAnsiTheme="minorHAnsi" w:cs="Arial"/>
                <w:b/>
                <w:sz w:val="20"/>
                <w:szCs w:val="20"/>
              </w:rPr>
            </w:pPr>
          </w:p>
        </w:tc>
      </w:tr>
      <w:tr w:rsidR="00847BCE" w:rsidRPr="003E335B" w:rsidTr="00801700">
        <w:trPr>
          <w:trHeight w:val="255"/>
        </w:trPr>
        <w:tc>
          <w:tcPr>
            <w:tcW w:w="5213" w:type="dxa"/>
            <w:shd w:val="clear" w:color="auto" w:fill="B8CCE4" w:themeFill="accent1" w:themeFillTint="66"/>
            <w:vAlign w:val="center"/>
            <w:hideMark/>
          </w:tcPr>
          <w:p w:rsidR="00847BCE" w:rsidRPr="003E335B" w:rsidRDefault="00DC4940"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Current i</w:t>
            </w:r>
            <w:r w:rsidR="00847BCE" w:rsidRPr="003E335B">
              <w:rPr>
                <w:rFonts w:asciiTheme="minorHAnsi" w:hAnsiTheme="minorHAnsi" w:cs="Arial"/>
                <w:sz w:val="20"/>
                <w:szCs w:val="20"/>
              </w:rPr>
              <w:t xml:space="preserve">nterest-bearing loans and </w:t>
            </w:r>
            <w:r w:rsidR="000377B6" w:rsidRPr="003E335B">
              <w:rPr>
                <w:rFonts w:asciiTheme="minorHAnsi" w:hAnsiTheme="minorHAnsi" w:cs="Arial"/>
                <w:sz w:val="20"/>
                <w:szCs w:val="20"/>
              </w:rPr>
              <w:t xml:space="preserve">borrowings </w:t>
            </w:r>
          </w:p>
        </w:tc>
        <w:tc>
          <w:tcPr>
            <w:tcW w:w="828" w:type="dxa"/>
            <w:shd w:val="clear" w:color="auto" w:fill="B8CCE4" w:themeFill="accent1" w:themeFillTint="66"/>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shd w:val="clear" w:color="auto" w:fill="B8CCE4" w:themeFill="accent1" w:themeFillTint="66"/>
            <w:vAlign w:val="center"/>
          </w:tcPr>
          <w:p w:rsidR="00847BCE" w:rsidRPr="003E335B" w:rsidRDefault="00FF652E" w:rsidP="005808E5">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77</w:t>
            </w:r>
            <w:r w:rsidR="005808E5">
              <w:rPr>
                <w:rFonts w:asciiTheme="minorHAnsi" w:hAnsiTheme="minorHAnsi" w:cs="Arial"/>
                <w:sz w:val="20"/>
                <w:szCs w:val="20"/>
              </w:rPr>
              <w:t>5</w:t>
            </w:r>
          </w:p>
        </w:tc>
        <w:tc>
          <w:tcPr>
            <w:tcW w:w="1975" w:type="dxa"/>
            <w:shd w:val="clear" w:color="auto" w:fill="B8CCE4" w:themeFill="accent1" w:themeFillTint="66"/>
            <w:vAlign w:val="center"/>
            <w:hideMark/>
          </w:tcPr>
          <w:p w:rsidR="00847BCE" w:rsidRPr="003E335B" w:rsidRDefault="0013752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655</w:t>
            </w:r>
          </w:p>
        </w:tc>
      </w:tr>
      <w:tr w:rsidR="00847BCE" w:rsidRPr="003E335B" w:rsidTr="00801700">
        <w:trPr>
          <w:trHeight w:val="255"/>
        </w:trPr>
        <w:tc>
          <w:tcPr>
            <w:tcW w:w="5213" w:type="dxa"/>
            <w:shd w:val="clear" w:color="auto" w:fill="auto"/>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Trade accounts payable</w:t>
            </w:r>
          </w:p>
        </w:tc>
        <w:tc>
          <w:tcPr>
            <w:tcW w:w="828" w:type="dxa"/>
            <w:shd w:val="clear" w:color="auto" w:fill="auto"/>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shd w:val="clear" w:color="auto" w:fill="auto"/>
            <w:vAlign w:val="center"/>
          </w:tcPr>
          <w:p w:rsidR="00847BCE"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1,310</w:t>
            </w:r>
          </w:p>
        </w:tc>
        <w:tc>
          <w:tcPr>
            <w:tcW w:w="1975" w:type="dxa"/>
            <w:shd w:val="clear" w:color="auto" w:fill="auto"/>
            <w:vAlign w:val="center"/>
            <w:hideMark/>
          </w:tcPr>
          <w:p w:rsidR="00847BCE" w:rsidRPr="003E335B" w:rsidRDefault="0013752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1,233</w:t>
            </w:r>
          </w:p>
        </w:tc>
      </w:tr>
      <w:tr w:rsidR="00847BCE" w:rsidRPr="003E335B" w:rsidTr="00801700">
        <w:trPr>
          <w:trHeight w:val="255"/>
        </w:trPr>
        <w:tc>
          <w:tcPr>
            <w:tcW w:w="5213" w:type="dxa"/>
            <w:shd w:val="clear" w:color="auto" w:fill="B8CCE4" w:themeFill="accent1" w:themeFillTint="66"/>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Other payables and accrued liabilities</w:t>
            </w:r>
          </w:p>
        </w:tc>
        <w:tc>
          <w:tcPr>
            <w:tcW w:w="828" w:type="dxa"/>
            <w:shd w:val="clear" w:color="auto" w:fill="B8CCE4" w:themeFill="accent1" w:themeFillTint="66"/>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shd w:val="clear" w:color="auto" w:fill="B8CCE4" w:themeFill="accent1" w:themeFillTint="66"/>
            <w:vAlign w:val="center"/>
          </w:tcPr>
          <w:p w:rsidR="00847BCE"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663</w:t>
            </w:r>
          </w:p>
        </w:tc>
        <w:tc>
          <w:tcPr>
            <w:tcW w:w="1975" w:type="dxa"/>
            <w:shd w:val="clear" w:color="auto" w:fill="B8CCE4" w:themeFill="accent1" w:themeFillTint="66"/>
            <w:vAlign w:val="center"/>
            <w:hideMark/>
          </w:tcPr>
          <w:p w:rsidR="00847BCE" w:rsidRPr="003E335B" w:rsidRDefault="0013752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359</w:t>
            </w:r>
          </w:p>
        </w:tc>
      </w:tr>
      <w:tr w:rsidR="00847BCE" w:rsidRPr="003E335B" w:rsidTr="00801700">
        <w:trPr>
          <w:trHeight w:val="255"/>
        </w:trPr>
        <w:tc>
          <w:tcPr>
            <w:tcW w:w="5213" w:type="dxa"/>
            <w:shd w:val="clear" w:color="auto" w:fill="auto"/>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Employee benefits – current portion</w:t>
            </w:r>
          </w:p>
        </w:tc>
        <w:tc>
          <w:tcPr>
            <w:tcW w:w="828" w:type="dxa"/>
            <w:shd w:val="clear" w:color="auto" w:fill="auto"/>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shd w:val="clear" w:color="auto" w:fill="auto"/>
            <w:vAlign w:val="center"/>
          </w:tcPr>
          <w:p w:rsidR="00847BCE"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554</w:t>
            </w:r>
          </w:p>
        </w:tc>
        <w:tc>
          <w:tcPr>
            <w:tcW w:w="1975" w:type="dxa"/>
            <w:shd w:val="clear" w:color="auto" w:fill="auto"/>
            <w:vAlign w:val="center"/>
            <w:hideMark/>
          </w:tcPr>
          <w:p w:rsidR="00847BCE" w:rsidRPr="003E335B" w:rsidRDefault="00116480"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5</w:t>
            </w:r>
            <w:r w:rsidR="0013752A" w:rsidRPr="003E335B">
              <w:rPr>
                <w:rFonts w:asciiTheme="minorHAnsi" w:hAnsiTheme="minorHAnsi" w:cs="Arial"/>
                <w:sz w:val="20"/>
                <w:szCs w:val="20"/>
              </w:rPr>
              <w:t>66</w:t>
            </w:r>
          </w:p>
        </w:tc>
      </w:tr>
      <w:tr w:rsidR="00847BCE" w:rsidRPr="003E335B" w:rsidTr="00801700">
        <w:trPr>
          <w:trHeight w:val="255"/>
        </w:trPr>
        <w:tc>
          <w:tcPr>
            <w:tcW w:w="5213" w:type="dxa"/>
            <w:shd w:val="clear" w:color="auto" w:fill="B8CCE4" w:themeFill="accent1" w:themeFillTint="66"/>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Current provisions</w:t>
            </w:r>
          </w:p>
        </w:tc>
        <w:tc>
          <w:tcPr>
            <w:tcW w:w="828" w:type="dxa"/>
            <w:shd w:val="clear" w:color="auto" w:fill="B8CCE4" w:themeFill="accent1" w:themeFillTint="66"/>
            <w:vAlign w:val="center"/>
          </w:tcPr>
          <w:p w:rsidR="00847BCE" w:rsidRPr="00E254DE" w:rsidRDefault="0090791A" w:rsidP="000D70EC">
            <w:pPr>
              <w:spacing w:after="0" w:afterAutospacing="0" w:line="240" w:lineRule="auto"/>
              <w:jc w:val="center"/>
              <w:rPr>
                <w:rFonts w:asciiTheme="minorHAnsi" w:hAnsiTheme="minorHAnsi" w:cs="Arial"/>
                <w:b/>
                <w:sz w:val="20"/>
                <w:szCs w:val="20"/>
              </w:rPr>
            </w:pPr>
            <w:r w:rsidRPr="0090791A">
              <w:rPr>
                <w:rFonts w:asciiTheme="minorHAnsi" w:hAnsiTheme="minorHAnsi" w:cs="Arial"/>
                <w:b/>
                <w:sz w:val="20"/>
                <w:szCs w:val="20"/>
              </w:rPr>
              <w:t>15</w:t>
            </w:r>
          </w:p>
        </w:tc>
        <w:tc>
          <w:tcPr>
            <w:tcW w:w="1974" w:type="dxa"/>
            <w:shd w:val="clear" w:color="auto" w:fill="B8CCE4" w:themeFill="accent1" w:themeFillTint="66"/>
            <w:vAlign w:val="center"/>
          </w:tcPr>
          <w:p w:rsidR="00847BCE"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101</w:t>
            </w:r>
          </w:p>
        </w:tc>
        <w:tc>
          <w:tcPr>
            <w:tcW w:w="1975" w:type="dxa"/>
            <w:shd w:val="clear" w:color="auto" w:fill="B8CCE4" w:themeFill="accent1" w:themeFillTint="66"/>
            <w:vAlign w:val="center"/>
            <w:hideMark/>
          </w:tcPr>
          <w:p w:rsidR="00847BCE" w:rsidRPr="003E335B" w:rsidRDefault="0013752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156</w:t>
            </w:r>
          </w:p>
        </w:tc>
      </w:tr>
      <w:tr w:rsidR="00847BCE" w:rsidRPr="003E335B" w:rsidTr="00801700">
        <w:trPr>
          <w:trHeight w:val="255"/>
        </w:trPr>
        <w:tc>
          <w:tcPr>
            <w:tcW w:w="5213" w:type="dxa"/>
            <w:shd w:val="clear" w:color="auto" w:fill="auto"/>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Other current financial liabilities</w:t>
            </w:r>
          </w:p>
        </w:tc>
        <w:tc>
          <w:tcPr>
            <w:tcW w:w="828" w:type="dxa"/>
            <w:shd w:val="clear" w:color="auto" w:fill="auto"/>
            <w:vAlign w:val="center"/>
          </w:tcPr>
          <w:p w:rsidR="00847BCE" w:rsidRPr="00E254DE" w:rsidRDefault="00F857DE" w:rsidP="000D70EC">
            <w:pPr>
              <w:spacing w:after="0" w:afterAutospacing="0" w:line="240" w:lineRule="auto"/>
              <w:jc w:val="center"/>
              <w:rPr>
                <w:rFonts w:asciiTheme="minorHAnsi" w:hAnsiTheme="minorHAnsi" w:cs="Arial"/>
                <w:b/>
                <w:sz w:val="20"/>
                <w:szCs w:val="20"/>
              </w:rPr>
            </w:pPr>
            <w:r>
              <w:rPr>
                <w:rFonts w:asciiTheme="minorHAnsi" w:hAnsiTheme="minorHAnsi" w:cs="Arial"/>
                <w:b/>
                <w:sz w:val="20"/>
                <w:szCs w:val="20"/>
              </w:rPr>
              <w:t>10</w:t>
            </w:r>
          </w:p>
        </w:tc>
        <w:tc>
          <w:tcPr>
            <w:tcW w:w="1974" w:type="dxa"/>
            <w:shd w:val="clear" w:color="auto" w:fill="auto"/>
            <w:vAlign w:val="center"/>
          </w:tcPr>
          <w:p w:rsidR="00847BCE"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2</w:t>
            </w:r>
          </w:p>
        </w:tc>
        <w:tc>
          <w:tcPr>
            <w:tcW w:w="1975" w:type="dxa"/>
            <w:shd w:val="clear" w:color="auto" w:fill="auto"/>
            <w:vAlign w:val="center"/>
            <w:hideMark/>
          </w:tcPr>
          <w:p w:rsidR="00847BCE" w:rsidRPr="003E335B" w:rsidRDefault="0013752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11</w:t>
            </w:r>
          </w:p>
        </w:tc>
      </w:tr>
      <w:tr w:rsidR="00847BCE" w:rsidRPr="003E335B" w:rsidTr="00801700">
        <w:trPr>
          <w:trHeight w:val="255"/>
        </w:trPr>
        <w:tc>
          <w:tcPr>
            <w:tcW w:w="5213" w:type="dxa"/>
            <w:shd w:val="clear" w:color="auto" w:fill="B8CCE4" w:themeFill="accent1" w:themeFillTint="66"/>
            <w:vAlign w:val="center"/>
            <w:hideMark/>
          </w:tcPr>
          <w:p w:rsidR="00847BCE" w:rsidRPr="003E335B" w:rsidRDefault="00847BCE"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Income tax payable</w:t>
            </w:r>
          </w:p>
        </w:tc>
        <w:tc>
          <w:tcPr>
            <w:tcW w:w="828" w:type="dxa"/>
            <w:shd w:val="clear" w:color="auto" w:fill="B8CCE4" w:themeFill="accent1" w:themeFillTint="66"/>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tcBorders>
              <w:bottom w:val="single" w:sz="18" w:space="0" w:color="auto"/>
            </w:tcBorders>
            <w:shd w:val="clear" w:color="auto" w:fill="B8CCE4" w:themeFill="accent1" w:themeFillTint="66"/>
            <w:vAlign w:val="center"/>
          </w:tcPr>
          <w:p w:rsidR="00847BCE" w:rsidRPr="003E335B" w:rsidRDefault="00FF652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110</w:t>
            </w:r>
          </w:p>
        </w:tc>
        <w:tc>
          <w:tcPr>
            <w:tcW w:w="1975" w:type="dxa"/>
            <w:tcBorders>
              <w:bottom w:val="single" w:sz="18" w:space="0" w:color="auto"/>
            </w:tcBorders>
            <w:shd w:val="clear" w:color="auto" w:fill="B8CCE4" w:themeFill="accent1" w:themeFillTint="66"/>
            <w:vAlign w:val="center"/>
            <w:hideMark/>
          </w:tcPr>
          <w:p w:rsidR="00847BCE" w:rsidRPr="003E335B" w:rsidRDefault="0013752A"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84</w:t>
            </w:r>
          </w:p>
        </w:tc>
      </w:tr>
      <w:tr w:rsidR="00847BCE" w:rsidRPr="003E335B" w:rsidTr="00801700">
        <w:trPr>
          <w:trHeight w:val="255"/>
        </w:trPr>
        <w:tc>
          <w:tcPr>
            <w:tcW w:w="5213" w:type="dxa"/>
            <w:shd w:val="clear" w:color="auto" w:fill="auto"/>
            <w:vAlign w:val="center"/>
            <w:hideMark/>
          </w:tcPr>
          <w:p w:rsidR="00847BCE" w:rsidRPr="003E335B" w:rsidRDefault="00847BCE"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Total current liabilities</w:t>
            </w:r>
          </w:p>
        </w:tc>
        <w:tc>
          <w:tcPr>
            <w:tcW w:w="828" w:type="dxa"/>
            <w:shd w:val="clear" w:color="auto" w:fill="auto"/>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tcBorders>
              <w:top w:val="single" w:sz="18" w:space="0" w:color="auto"/>
              <w:bottom w:val="single" w:sz="18" w:space="0" w:color="auto"/>
            </w:tcBorders>
            <w:shd w:val="clear" w:color="auto" w:fill="auto"/>
            <w:vAlign w:val="center"/>
          </w:tcPr>
          <w:p w:rsidR="00847BCE" w:rsidRPr="003E335B" w:rsidRDefault="00FF652E"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3,51</w:t>
            </w:r>
            <w:r w:rsidR="00923FB4">
              <w:rPr>
                <w:rFonts w:asciiTheme="minorHAnsi" w:hAnsiTheme="minorHAnsi" w:cs="Arial"/>
                <w:b/>
                <w:sz w:val="20"/>
                <w:szCs w:val="20"/>
              </w:rPr>
              <w:t>5</w:t>
            </w:r>
          </w:p>
        </w:tc>
        <w:tc>
          <w:tcPr>
            <w:tcW w:w="1975" w:type="dxa"/>
            <w:tcBorders>
              <w:top w:val="single" w:sz="18" w:space="0" w:color="auto"/>
              <w:bottom w:val="single" w:sz="18" w:space="0" w:color="auto"/>
            </w:tcBorders>
            <w:shd w:val="clear" w:color="auto" w:fill="auto"/>
            <w:vAlign w:val="center"/>
            <w:hideMark/>
          </w:tcPr>
          <w:p w:rsidR="00847BCE" w:rsidRPr="003E335B" w:rsidRDefault="0013752A"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3,064</w:t>
            </w:r>
          </w:p>
        </w:tc>
      </w:tr>
      <w:tr w:rsidR="00847BCE" w:rsidRPr="003E335B" w:rsidTr="00801700">
        <w:trPr>
          <w:trHeight w:val="255"/>
        </w:trPr>
        <w:tc>
          <w:tcPr>
            <w:tcW w:w="5213" w:type="dxa"/>
            <w:tcBorders>
              <w:bottom w:val="single" w:sz="18" w:space="0" w:color="auto"/>
            </w:tcBorders>
            <w:shd w:val="clear" w:color="auto" w:fill="B8CCE4" w:themeFill="accent1" w:themeFillTint="66"/>
            <w:vAlign w:val="center"/>
            <w:hideMark/>
          </w:tcPr>
          <w:p w:rsidR="00847BCE" w:rsidRPr="003E335B" w:rsidRDefault="00847BCE"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Total equity and liabilities</w:t>
            </w:r>
          </w:p>
        </w:tc>
        <w:tc>
          <w:tcPr>
            <w:tcW w:w="828" w:type="dxa"/>
            <w:tcBorders>
              <w:bottom w:val="single" w:sz="18" w:space="0" w:color="auto"/>
            </w:tcBorders>
            <w:shd w:val="clear" w:color="auto" w:fill="B8CCE4" w:themeFill="accent1" w:themeFillTint="66"/>
            <w:vAlign w:val="center"/>
          </w:tcPr>
          <w:p w:rsidR="00847BCE" w:rsidRPr="00E254DE" w:rsidRDefault="00847BCE" w:rsidP="000D70EC">
            <w:pPr>
              <w:spacing w:after="0" w:afterAutospacing="0" w:line="240" w:lineRule="auto"/>
              <w:jc w:val="center"/>
              <w:rPr>
                <w:rFonts w:asciiTheme="minorHAnsi" w:hAnsiTheme="minorHAnsi" w:cs="Arial"/>
                <w:b/>
                <w:sz w:val="20"/>
                <w:szCs w:val="20"/>
              </w:rPr>
            </w:pPr>
          </w:p>
        </w:tc>
        <w:tc>
          <w:tcPr>
            <w:tcW w:w="1974" w:type="dxa"/>
            <w:tcBorders>
              <w:top w:val="single" w:sz="18" w:space="0" w:color="auto"/>
              <w:bottom w:val="single" w:sz="18" w:space="0" w:color="auto"/>
            </w:tcBorders>
            <w:shd w:val="clear" w:color="auto" w:fill="B8CCE4" w:themeFill="accent1" w:themeFillTint="66"/>
            <w:vAlign w:val="center"/>
          </w:tcPr>
          <w:p w:rsidR="00847BCE" w:rsidRPr="003E335B" w:rsidRDefault="00FF652E"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15,551</w:t>
            </w:r>
          </w:p>
        </w:tc>
        <w:tc>
          <w:tcPr>
            <w:tcW w:w="1975" w:type="dxa"/>
            <w:tcBorders>
              <w:top w:val="single" w:sz="18" w:space="0" w:color="auto"/>
              <w:bottom w:val="single" w:sz="18" w:space="0" w:color="auto"/>
            </w:tcBorders>
            <w:shd w:val="clear" w:color="auto" w:fill="B8CCE4" w:themeFill="accent1" w:themeFillTint="66"/>
            <w:vAlign w:val="center"/>
            <w:hideMark/>
          </w:tcPr>
          <w:p w:rsidR="00847BCE" w:rsidRPr="003E335B" w:rsidRDefault="00847BCE"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14,</w:t>
            </w:r>
            <w:r w:rsidR="0013752A" w:rsidRPr="003E335B">
              <w:rPr>
                <w:rFonts w:asciiTheme="minorHAnsi" w:hAnsiTheme="minorHAnsi" w:cs="Arial"/>
                <w:b/>
                <w:sz w:val="20"/>
                <w:szCs w:val="20"/>
              </w:rPr>
              <w:t>664</w:t>
            </w:r>
          </w:p>
        </w:tc>
      </w:tr>
    </w:tbl>
    <w:p w:rsidR="00847BCE" w:rsidRPr="003E335B" w:rsidRDefault="00211E4C" w:rsidP="000D70EC">
      <w:pPr>
        <w:spacing w:after="0" w:afterAutospacing="0" w:line="240" w:lineRule="auto"/>
        <w:rPr>
          <w:rFonts w:asciiTheme="minorHAnsi" w:hAnsiTheme="minorHAnsi" w:cs="Arial"/>
          <w:sz w:val="20"/>
          <w:szCs w:val="20"/>
        </w:rPr>
      </w:pPr>
      <w:bookmarkStart w:id="38" w:name="_Toc265058913"/>
      <w:bookmarkStart w:id="39" w:name="_Toc258421325"/>
      <w:bookmarkStart w:id="40" w:name="_Toc257898965"/>
      <w:r w:rsidRPr="003E335B">
        <w:rPr>
          <w:rFonts w:asciiTheme="minorHAnsi" w:hAnsiTheme="minorHAnsi" w:cs="Arial"/>
          <w:sz w:val="20"/>
          <w:szCs w:val="20"/>
        </w:rPr>
        <w:t xml:space="preserve">The accompanying notes are an integral part of these </w:t>
      </w:r>
      <w:r w:rsidR="005E1E77">
        <w:rPr>
          <w:rFonts w:asciiTheme="minorHAnsi" w:hAnsiTheme="minorHAnsi" w:cs="Arial"/>
          <w:sz w:val="20"/>
          <w:szCs w:val="20"/>
        </w:rPr>
        <w:t>Semi-Annual</w:t>
      </w:r>
      <w:r w:rsidRPr="003E335B">
        <w:rPr>
          <w:rFonts w:asciiTheme="minorHAnsi" w:hAnsiTheme="minorHAnsi" w:cs="Arial"/>
          <w:sz w:val="20"/>
          <w:szCs w:val="20"/>
        </w:rPr>
        <w:t xml:space="preserve"> </w:t>
      </w:r>
      <w:r w:rsidR="005E1E77">
        <w:rPr>
          <w:rFonts w:asciiTheme="minorHAnsi" w:hAnsiTheme="minorHAnsi" w:cs="Arial"/>
          <w:sz w:val="20"/>
          <w:szCs w:val="20"/>
        </w:rPr>
        <w:t>Financial Statements</w:t>
      </w:r>
    </w:p>
    <w:p w:rsidR="00E101FC" w:rsidRPr="003E335B" w:rsidRDefault="00E101FC" w:rsidP="000D70EC">
      <w:pPr>
        <w:spacing w:after="100" w:line="240" w:lineRule="auto"/>
        <w:rPr>
          <w:rFonts w:asciiTheme="minorHAnsi" w:hAnsiTheme="minorHAnsi" w:cs="Arial"/>
          <w:sz w:val="20"/>
          <w:szCs w:val="20"/>
        </w:rPr>
        <w:sectPr w:rsidR="00E101FC" w:rsidRPr="003E335B" w:rsidSect="007D1EF2">
          <w:headerReference w:type="default" r:id="rId13"/>
          <w:pgSz w:w="12240" w:h="15840"/>
          <w:pgMar w:top="1260" w:right="1185" w:bottom="284" w:left="1185" w:header="284" w:footer="284" w:gutter="0"/>
          <w:cols w:space="708"/>
          <w:docGrid w:linePitch="360"/>
        </w:sectPr>
      </w:pPr>
    </w:p>
    <w:p w:rsidR="00847BCE" w:rsidRPr="003E335B" w:rsidRDefault="00847BCE" w:rsidP="000D70EC">
      <w:pPr>
        <w:pStyle w:val="Title2"/>
        <w:spacing w:before="0" w:after="100" w:line="240" w:lineRule="auto"/>
        <w:ind w:left="1440"/>
        <w:rPr>
          <w:rFonts w:asciiTheme="minorHAnsi" w:hAnsiTheme="minorHAnsi"/>
          <w:sz w:val="20"/>
          <w:szCs w:val="20"/>
        </w:rPr>
      </w:pPr>
      <w:bookmarkStart w:id="41" w:name="_Toc297204168"/>
      <w:bookmarkStart w:id="42" w:name="_Toc300834228"/>
      <w:r w:rsidRPr="003E335B">
        <w:rPr>
          <w:rFonts w:asciiTheme="minorHAnsi" w:hAnsiTheme="minorHAnsi"/>
          <w:sz w:val="20"/>
          <w:szCs w:val="20"/>
        </w:rPr>
        <w:lastRenderedPageBreak/>
        <w:t>Consolidated statement of changes in equity</w:t>
      </w:r>
      <w:bookmarkEnd w:id="38"/>
      <w:bookmarkEnd w:id="39"/>
      <w:bookmarkEnd w:id="40"/>
      <w:bookmarkEnd w:id="41"/>
      <w:bookmarkEnd w:id="42"/>
    </w:p>
    <w:p w:rsidR="00847BCE" w:rsidRPr="003E335B" w:rsidRDefault="00847BCE" w:rsidP="000D70EC">
      <w:pPr>
        <w:spacing w:after="100" w:line="240" w:lineRule="auto"/>
        <w:ind w:firstLine="720"/>
        <w:rPr>
          <w:rFonts w:asciiTheme="minorHAnsi" w:hAnsiTheme="minorHAnsi" w:cs="Arial"/>
          <w:sz w:val="20"/>
          <w:szCs w:val="20"/>
        </w:rPr>
      </w:pPr>
      <w:r w:rsidRPr="003E335B">
        <w:rPr>
          <w:rFonts w:asciiTheme="minorHAnsi" w:hAnsiTheme="minorHAnsi" w:cs="Arial"/>
          <w:sz w:val="20"/>
          <w:szCs w:val="20"/>
        </w:rPr>
        <w:t>For the six months ended Ju</w:t>
      </w:r>
      <w:r w:rsidR="0013752A" w:rsidRPr="003E335B">
        <w:rPr>
          <w:rFonts w:asciiTheme="minorHAnsi" w:hAnsiTheme="minorHAnsi" w:cs="Arial"/>
          <w:sz w:val="20"/>
          <w:szCs w:val="20"/>
        </w:rPr>
        <w:t>ly 2,</w:t>
      </w:r>
      <w:r w:rsidRPr="003E335B">
        <w:rPr>
          <w:rFonts w:asciiTheme="minorHAnsi" w:hAnsiTheme="minorHAnsi" w:cs="Arial"/>
          <w:sz w:val="20"/>
          <w:szCs w:val="20"/>
        </w:rPr>
        <w:t xml:space="preserve"> 20</w:t>
      </w:r>
      <w:r w:rsidR="0013752A" w:rsidRPr="003E335B">
        <w:rPr>
          <w:rFonts w:asciiTheme="minorHAnsi" w:hAnsiTheme="minorHAnsi" w:cs="Arial"/>
          <w:sz w:val="20"/>
          <w:szCs w:val="20"/>
        </w:rPr>
        <w:t>11</w:t>
      </w:r>
    </w:p>
    <w:tbl>
      <w:tblPr>
        <w:tblW w:w="0" w:type="auto"/>
        <w:tblInd w:w="828" w:type="dxa"/>
        <w:tblLayout w:type="fixed"/>
        <w:tblLook w:val="04A0"/>
      </w:tblPr>
      <w:tblGrid>
        <w:gridCol w:w="2880"/>
        <w:gridCol w:w="900"/>
        <w:gridCol w:w="1375"/>
        <w:gridCol w:w="1376"/>
        <w:gridCol w:w="1376"/>
        <w:gridCol w:w="1375"/>
        <w:gridCol w:w="1376"/>
        <w:gridCol w:w="1376"/>
        <w:gridCol w:w="1376"/>
      </w:tblGrid>
      <w:tr w:rsidR="00C769AC" w:rsidRPr="003E335B" w:rsidTr="00C769AC">
        <w:tc>
          <w:tcPr>
            <w:tcW w:w="2880" w:type="dxa"/>
            <w:vMerge w:val="restart"/>
            <w:vAlign w:val="bottom"/>
            <w:hideMark/>
          </w:tcPr>
          <w:p w:rsidR="00C769AC" w:rsidRPr="003E335B" w:rsidRDefault="00C769A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900" w:type="dxa"/>
            <w:vAlign w:val="bottom"/>
          </w:tcPr>
          <w:p w:rsidR="00C769AC" w:rsidRPr="003E335B" w:rsidRDefault="00C769AC" w:rsidP="000D70EC">
            <w:pPr>
              <w:spacing w:after="100" w:line="240" w:lineRule="auto"/>
              <w:jc w:val="center"/>
              <w:rPr>
                <w:rFonts w:asciiTheme="minorHAnsi" w:hAnsiTheme="minorHAnsi" w:cs="Arial"/>
                <w:sz w:val="20"/>
                <w:szCs w:val="20"/>
              </w:rPr>
            </w:pPr>
          </w:p>
        </w:tc>
        <w:tc>
          <w:tcPr>
            <w:tcW w:w="6878" w:type="dxa"/>
            <w:gridSpan w:val="5"/>
            <w:tcBorders>
              <w:bottom w:val="single" w:sz="18" w:space="0" w:color="auto"/>
            </w:tcBorders>
            <w:vAlign w:val="bottom"/>
          </w:tcPr>
          <w:p w:rsidR="00C769AC" w:rsidRPr="003E335B" w:rsidRDefault="00C769AC"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Equity attributable to the equity holders of the parent</w:t>
            </w:r>
          </w:p>
        </w:tc>
        <w:tc>
          <w:tcPr>
            <w:tcW w:w="1376" w:type="dxa"/>
            <w:vAlign w:val="bottom"/>
          </w:tcPr>
          <w:p w:rsidR="00C769AC" w:rsidRPr="003E335B" w:rsidRDefault="00C769AC" w:rsidP="000D70EC">
            <w:pPr>
              <w:spacing w:after="100" w:line="240" w:lineRule="auto"/>
              <w:jc w:val="center"/>
              <w:rPr>
                <w:rFonts w:asciiTheme="minorHAnsi" w:hAnsiTheme="minorHAnsi" w:cs="Arial"/>
                <w:sz w:val="20"/>
                <w:szCs w:val="20"/>
              </w:rPr>
            </w:pPr>
          </w:p>
        </w:tc>
        <w:tc>
          <w:tcPr>
            <w:tcW w:w="1376" w:type="dxa"/>
            <w:vAlign w:val="bottom"/>
          </w:tcPr>
          <w:p w:rsidR="00C769AC" w:rsidRPr="003E335B" w:rsidRDefault="00C769AC" w:rsidP="000D70EC">
            <w:pPr>
              <w:spacing w:after="100" w:line="240" w:lineRule="auto"/>
              <w:jc w:val="center"/>
              <w:rPr>
                <w:rFonts w:asciiTheme="minorHAnsi" w:hAnsiTheme="minorHAnsi" w:cs="Arial"/>
                <w:sz w:val="20"/>
                <w:szCs w:val="20"/>
              </w:rPr>
            </w:pPr>
          </w:p>
        </w:tc>
      </w:tr>
      <w:tr w:rsidR="003E06EF" w:rsidRPr="003E335B" w:rsidTr="00C769AC">
        <w:tc>
          <w:tcPr>
            <w:tcW w:w="2880" w:type="dxa"/>
            <w:vMerge/>
            <w:tcBorders>
              <w:bottom w:val="single" w:sz="18" w:space="0" w:color="auto"/>
            </w:tcBorders>
            <w:vAlign w:val="bottom"/>
          </w:tcPr>
          <w:p w:rsidR="003E06EF" w:rsidRPr="003E335B" w:rsidRDefault="003E06EF" w:rsidP="000D70EC">
            <w:pPr>
              <w:spacing w:after="100" w:line="240" w:lineRule="auto"/>
              <w:jc w:val="center"/>
              <w:rPr>
                <w:rFonts w:asciiTheme="minorHAnsi" w:hAnsiTheme="minorHAnsi" w:cs="Arial"/>
                <w:sz w:val="20"/>
                <w:szCs w:val="20"/>
              </w:rPr>
            </w:pPr>
          </w:p>
        </w:tc>
        <w:tc>
          <w:tcPr>
            <w:tcW w:w="900" w:type="dxa"/>
            <w:tcBorders>
              <w:bottom w:val="single" w:sz="18" w:space="0" w:color="auto"/>
            </w:tcBorders>
            <w:vAlign w:val="bottom"/>
            <w:hideMark/>
          </w:tcPr>
          <w:p w:rsidR="003E06EF" w:rsidRPr="003E335B" w:rsidRDefault="003E06EF" w:rsidP="000D70EC">
            <w:pPr>
              <w:spacing w:after="100" w:line="240" w:lineRule="auto"/>
              <w:jc w:val="center"/>
              <w:rPr>
                <w:rFonts w:asciiTheme="minorHAnsi" w:hAnsiTheme="minorHAnsi" w:cs="Arial"/>
                <w:sz w:val="20"/>
                <w:szCs w:val="20"/>
              </w:rPr>
            </w:pPr>
          </w:p>
        </w:tc>
        <w:tc>
          <w:tcPr>
            <w:tcW w:w="1375" w:type="dxa"/>
            <w:tcBorders>
              <w:top w:val="single" w:sz="18" w:space="0" w:color="auto"/>
              <w:bottom w:val="single" w:sz="18" w:space="0" w:color="auto"/>
            </w:tcBorders>
            <w:vAlign w:val="bottom"/>
            <w:hideMark/>
          </w:tcPr>
          <w:p w:rsidR="003E06EF" w:rsidRPr="003E335B" w:rsidRDefault="003E06EF"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Ordinary shares</w:t>
            </w:r>
          </w:p>
        </w:tc>
        <w:tc>
          <w:tcPr>
            <w:tcW w:w="1376" w:type="dxa"/>
            <w:tcBorders>
              <w:top w:val="single" w:sz="18" w:space="0" w:color="auto"/>
              <w:bottom w:val="single" w:sz="18" w:space="0" w:color="auto"/>
            </w:tcBorders>
            <w:vAlign w:val="bottom"/>
            <w:hideMark/>
          </w:tcPr>
          <w:p w:rsidR="003E06EF" w:rsidRPr="003E335B" w:rsidRDefault="003E06EF"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Capital surplus</w:t>
            </w:r>
          </w:p>
        </w:tc>
        <w:tc>
          <w:tcPr>
            <w:tcW w:w="1376" w:type="dxa"/>
            <w:tcBorders>
              <w:top w:val="single" w:sz="18" w:space="0" w:color="auto"/>
              <w:bottom w:val="single" w:sz="18" w:space="0" w:color="auto"/>
            </w:tcBorders>
            <w:vAlign w:val="bottom"/>
            <w:hideMark/>
          </w:tcPr>
          <w:p w:rsidR="003E06EF" w:rsidRPr="003E335B" w:rsidRDefault="003E06EF"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Treasury shares</w:t>
            </w:r>
          </w:p>
        </w:tc>
        <w:tc>
          <w:tcPr>
            <w:tcW w:w="1375" w:type="dxa"/>
            <w:tcBorders>
              <w:top w:val="single" w:sz="18" w:space="0" w:color="auto"/>
              <w:bottom w:val="single" w:sz="18" w:space="0" w:color="auto"/>
            </w:tcBorders>
            <w:vAlign w:val="bottom"/>
            <w:hideMark/>
          </w:tcPr>
          <w:p w:rsidR="003E06EF" w:rsidRPr="003E335B" w:rsidRDefault="003E06EF"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Other reserves</w:t>
            </w:r>
          </w:p>
        </w:tc>
        <w:tc>
          <w:tcPr>
            <w:tcW w:w="1376" w:type="dxa"/>
            <w:tcBorders>
              <w:top w:val="single" w:sz="18" w:space="0" w:color="auto"/>
              <w:bottom w:val="single" w:sz="18" w:space="0" w:color="auto"/>
            </w:tcBorders>
            <w:vAlign w:val="bottom"/>
            <w:hideMark/>
          </w:tcPr>
          <w:p w:rsidR="003E06EF" w:rsidRPr="003E335B" w:rsidRDefault="003E06EF"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Retained earnings</w:t>
            </w:r>
          </w:p>
        </w:tc>
        <w:tc>
          <w:tcPr>
            <w:tcW w:w="1376" w:type="dxa"/>
            <w:tcBorders>
              <w:bottom w:val="single" w:sz="18" w:space="0" w:color="auto"/>
            </w:tcBorders>
            <w:vAlign w:val="bottom"/>
            <w:hideMark/>
          </w:tcPr>
          <w:p w:rsidR="003E06EF" w:rsidRPr="003E335B" w:rsidRDefault="003E06EF"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Non-controlling interests</w:t>
            </w:r>
          </w:p>
        </w:tc>
        <w:tc>
          <w:tcPr>
            <w:tcW w:w="1376" w:type="dxa"/>
            <w:tcBorders>
              <w:bottom w:val="single" w:sz="18" w:space="0" w:color="auto"/>
            </w:tcBorders>
            <w:vAlign w:val="bottom"/>
            <w:hideMark/>
          </w:tcPr>
          <w:p w:rsidR="003E06EF" w:rsidRPr="003E335B" w:rsidRDefault="003E06EF"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Total equity</w:t>
            </w:r>
          </w:p>
        </w:tc>
      </w:tr>
      <w:tr w:rsidR="003E06EF" w:rsidRPr="003E335B" w:rsidTr="00C769AC">
        <w:tc>
          <w:tcPr>
            <w:tcW w:w="3780" w:type="dxa"/>
            <w:gridSpan w:val="2"/>
            <w:tcBorders>
              <w:top w:val="single" w:sz="18" w:space="0" w:color="auto"/>
            </w:tcBorders>
            <w:hideMark/>
          </w:tcPr>
          <w:p w:rsidR="003E06EF" w:rsidRPr="003E335B" w:rsidRDefault="003E06EF"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As at January 1, 20</w:t>
            </w:r>
            <w:r w:rsidR="0013752A" w:rsidRPr="003E335B">
              <w:rPr>
                <w:rFonts w:asciiTheme="minorHAnsi" w:hAnsiTheme="minorHAnsi" w:cs="Arial"/>
                <w:b/>
                <w:sz w:val="20"/>
                <w:szCs w:val="20"/>
              </w:rPr>
              <w:t>11</w:t>
            </w:r>
            <w:r w:rsidRPr="003E335B">
              <w:rPr>
                <w:rFonts w:asciiTheme="minorHAnsi" w:hAnsiTheme="minorHAnsi" w:cs="Arial"/>
                <w:b/>
                <w:sz w:val="20"/>
                <w:szCs w:val="20"/>
              </w:rPr>
              <w:t xml:space="preserve"> (audited)</w:t>
            </w:r>
          </w:p>
        </w:tc>
        <w:tc>
          <w:tcPr>
            <w:tcW w:w="1375" w:type="dxa"/>
            <w:tcBorders>
              <w:top w:val="single" w:sz="18" w:space="0" w:color="auto"/>
            </w:tcBorders>
            <w:vAlign w:val="center"/>
            <w:hideMark/>
          </w:tcPr>
          <w:p w:rsidR="003E06EF" w:rsidRPr="003E335B" w:rsidRDefault="003E06EF"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1,156</w:t>
            </w:r>
          </w:p>
        </w:tc>
        <w:tc>
          <w:tcPr>
            <w:tcW w:w="1376" w:type="dxa"/>
            <w:tcBorders>
              <w:top w:val="single" w:sz="18" w:space="0" w:color="auto"/>
            </w:tcBorders>
            <w:vAlign w:val="center"/>
            <w:hideMark/>
          </w:tcPr>
          <w:p w:rsidR="003E06EF" w:rsidRPr="003E335B" w:rsidRDefault="003E06EF"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2,</w:t>
            </w:r>
            <w:r w:rsidR="0013752A" w:rsidRPr="003E335B">
              <w:rPr>
                <w:rFonts w:asciiTheme="minorHAnsi" w:hAnsiTheme="minorHAnsi" w:cs="Arial"/>
                <w:b/>
                <w:sz w:val="20"/>
                <w:szCs w:val="20"/>
              </w:rPr>
              <w:t>433</w:t>
            </w:r>
          </w:p>
        </w:tc>
        <w:tc>
          <w:tcPr>
            <w:tcW w:w="1376" w:type="dxa"/>
            <w:tcBorders>
              <w:top w:val="single" w:sz="18" w:space="0" w:color="auto"/>
            </w:tcBorders>
            <w:vAlign w:val="center"/>
            <w:hideMark/>
          </w:tcPr>
          <w:p w:rsidR="003E06EF" w:rsidRPr="003E335B" w:rsidRDefault="003E06EF"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w:t>
            </w:r>
            <w:r w:rsidR="0013752A" w:rsidRPr="003E335B">
              <w:rPr>
                <w:rFonts w:asciiTheme="minorHAnsi" w:hAnsiTheme="minorHAnsi" w:cs="Arial"/>
                <w:b/>
                <w:sz w:val="20"/>
                <w:szCs w:val="20"/>
              </w:rPr>
              <w:t>304</w:t>
            </w:r>
            <w:r w:rsidRPr="003E335B">
              <w:rPr>
                <w:rFonts w:asciiTheme="minorHAnsi" w:hAnsiTheme="minorHAnsi" w:cs="Arial"/>
                <w:b/>
                <w:sz w:val="20"/>
                <w:szCs w:val="20"/>
              </w:rPr>
              <w:t>)</w:t>
            </w:r>
          </w:p>
        </w:tc>
        <w:tc>
          <w:tcPr>
            <w:tcW w:w="1375" w:type="dxa"/>
            <w:tcBorders>
              <w:top w:val="single" w:sz="18" w:space="0" w:color="auto"/>
            </w:tcBorders>
            <w:vAlign w:val="center"/>
            <w:hideMark/>
          </w:tcPr>
          <w:p w:rsidR="003E06EF" w:rsidRPr="003E335B" w:rsidRDefault="003E06EF"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w:t>
            </w:r>
            <w:r w:rsidR="0013752A" w:rsidRPr="003E335B">
              <w:rPr>
                <w:rFonts w:asciiTheme="minorHAnsi" w:hAnsiTheme="minorHAnsi" w:cs="Arial"/>
                <w:b/>
                <w:sz w:val="20"/>
                <w:szCs w:val="20"/>
              </w:rPr>
              <w:t>631</w:t>
            </w:r>
          </w:p>
        </w:tc>
        <w:tc>
          <w:tcPr>
            <w:tcW w:w="1376" w:type="dxa"/>
            <w:tcBorders>
              <w:top w:val="single" w:sz="18" w:space="0" w:color="auto"/>
            </w:tcBorders>
            <w:vAlign w:val="center"/>
            <w:hideMark/>
          </w:tcPr>
          <w:p w:rsidR="003E06EF" w:rsidRPr="003E335B" w:rsidRDefault="0013752A"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3,835</w:t>
            </w:r>
          </w:p>
        </w:tc>
        <w:tc>
          <w:tcPr>
            <w:tcW w:w="1376" w:type="dxa"/>
            <w:tcBorders>
              <w:top w:val="single" w:sz="18" w:space="0" w:color="auto"/>
            </w:tcBorders>
            <w:vAlign w:val="center"/>
            <w:hideMark/>
          </w:tcPr>
          <w:p w:rsidR="003E06EF" w:rsidRPr="003E335B" w:rsidRDefault="0013752A"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996</w:t>
            </w:r>
          </w:p>
        </w:tc>
        <w:tc>
          <w:tcPr>
            <w:tcW w:w="1376" w:type="dxa"/>
            <w:tcBorders>
              <w:top w:val="single" w:sz="18" w:space="0" w:color="auto"/>
            </w:tcBorders>
            <w:vAlign w:val="center"/>
            <w:hideMark/>
          </w:tcPr>
          <w:p w:rsidR="003E06EF" w:rsidRPr="003E335B" w:rsidRDefault="003E06EF"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9,</w:t>
            </w:r>
            <w:r w:rsidR="0013752A" w:rsidRPr="003E335B">
              <w:rPr>
                <w:rFonts w:asciiTheme="minorHAnsi" w:hAnsiTheme="minorHAnsi" w:cs="Arial"/>
                <w:b/>
                <w:sz w:val="20"/>
                <w:szCs w:val="20"/>
              </w:rPr>
              <w:t>747</w:t>
            </w:r>
          </w:p>
        </w:tc>
      </w:tr>
      <w:tr w:rsidR="00847BCE" w:rsidRPr="003E335B" w:rsidTr="00C769AC">
        <w:tc>
          <w:tcPr>
            <w:tcW w:w="2880"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Net result</w:t>
            </w:r>
          </w:p>
        </w:tc>
        <w:tc>
          <w:tcPr>
            <w:tcW w:w="900" w:type="dxa"/>
            <w:shd w:val="clear" w:color="auto" w:fill="B8CCE4" w:themeFill="accent1" w:themeFillTint="66"/>
          </w:tcPr>
          <w:p w:rsidR="00847BCE" w:rsidRPr="003E335B" w:rsidRDefault="00847BCE" w:rsidP="000D70EC">
            <w:pPr>
              <w:spacing w:after="100" w:line="240" w:lineRule="auto"/>
              <w:rPr>
                <w:rFonts w:asciiTheme="minorHAnsi" w:hAnsiTheme="minorHAnsi" w:cs="Arial"/>
                <w:sz w:val="20"/>
                <w:szCs w:val="20"/>
              </w:rPr>
            </w:pPr>
          </w:p>
        </w:tc>
        <w:tc>
          <w:tcPr>
            <w:tcW w:w="1375" w:type="dxa"/>
            <w:shd w:val="clear" w:color="auto" w:fill="B8CCE4" w:themeFill="accent1" w:themeFillTint="66"/>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6" w:type="dxa"/>
            <w:shd w:val="clear" w:color="auto" w:fill="B8CCE4" w:themeFill="accent1" w:themeFillTint="66"/>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6" w:type="dxa"/>
            <w:shd w:val="clear" w:color="auto" w:fill="B8CCE4" w:themeFill="accent1" w:themeFillTint="66"/>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5" w:type="dxa"/>
            <w:shd w:val="clear" w:color="auto" w:fill="B8CCE4" w:themeFill="accent1" w:themeFillTint="66"/>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6" w:type="dxa"/>
            <w:shd w:val="clear" w:color="auto" w:fill="B8CCE4" w:themeFill="accent1" w:themeFillTint="66"/>
            <w:vAlign w:val="center"/>
            <w:hideMark/>
          </w:tcPr>
          <w:p w:rsidR="00847BCE" w:rsidRPr="003E335B" w:rsidRDefault="00FF652E"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6</w:t>
            </w:r>
            <w:r w:rsidR="002D10BE">
              <w:rPr>
                <w:rFonts w:asciiTheme="minorHAnsi" w:hAnsiTheme="minorHAnsi" w:cs="Arial"/>
                <w:sz w:val="20"/>
                <w:szCs w:val="20"/>
              </w:rPr>
              <w:t>38</w:t>
            </w:r>
          </w:p>
        </w:tc>
        <w:tc>
          <w:tcPr>
            <w:tcW w:w="1376" w:type="dxa"/>
            <w:shd w:val="clear" w:color="auto" w:fill="B8CCE4" w:themeFill="accent1" w:themeFillTint="66"/>
            <w:vAlign w:val="center"/>
            <w:hideMark/>
          </w:tcPr>
          <w:p w:rsidR="00847BCE" w:rsidRPr="003E335B" w:rsidRDefault="00FF652E"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(194)</w:t>
            </w:r>
          </w:p>
        </w:tc>
        <w:tc>
          <w:tcPr>
            <w:tcW w:w="1376" w:type="dxa"/>
            <w:shd w:val="clear" w:color="auto" w:fill="B8CCE4" w:themeFill="accent1" w:themeFillTint="66"/>
            <w:vAlign w:val="center"/>
            <w:hideMark/>
          </w:tcPr>
          <w:p w:rsidR="00847BCE" w:rsidRPr="003E335B" w:rsidRDefault="00FF652E"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4</w:t>
            </w:r>
            <w:r w:rsidR="005808E5">
              <w:rPr>
                <w:rFonts w:asciiTheme="minorHAnsi" w:hAnsiTheme="minorHAnsi" w:cs="Arial"/>
                <w:sz w:val="20"/>
                <w:szCs w:val="20"/>
              </w:rPr>
              <w:t>4</w:t>
            </w:r>
            <w:r w:rsidR="002D10BE">
              <w:rPr>
                <w:rFonts w:asciiTheme="minorHAnsi" w:hAnsiTheme="minorHAnsi" w:cs="Arial"/>
                <w:sz w:val="20"/>
                <w:szCs w:val="20"/>
              </w:rPr>
              <w:t>4</w:t>
            </w:r>
          </w:p>
        </w:tc>
      </w:tr>
      <w:tr w:rsidR="00847BCE" w:rsidRPr="003E335B" w:rsidTr="00C769AC">
        <w:tc>
          <w:tcPr>
            <w:tcW w:w="2880" w:type="dxa"/>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Other comprehensive income, net of tax</w:t>
            </w:r>
          </w:p>
        </w:tc>
        <w:tc>
          <w:tcPr>
            <w:tcW w:w="900" w:type="dxa"/>
            <w:vAlign w:val="center"/>
          </w:tcPr>
          <w:p w:rsidR="00847BCE" w:rsidRPr="003E335B" w:rsidRDefault="00847BCE" w:rsidP="000D70EC">
            <w:pPr>
              <w:spacing w:after="100" w:line="240" w:lineRule="auto"/>
              <w:rPr>
                <w:rFonts w:asciiTheme="minorHAnsi" w:hAnsiTheme="minorHAnsi" w:cs="Arial"/>
                <w:sz w:val="20"/>
                <w:szCs w:val="20"/>
              </w:rPr>
            </w:pPr>
          </w:p>
        </w:tc>
        <w:tc>
          <w:tcPr>
            <w:tcW w:w="1375" w:type="dxa"/>
            <w:tcBorders>
              <w:bottom w:val="single" w:sz="18" w:space="0" w:color="auto"/>
            </w:tcBorders>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6" w:type="dxa"/>
            <w:tcBorders>
              <w:bottom w:val="single" w:sz="18" w:space="0" w:color="auto"/>
            </w:tcBorders>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6" w:type="dxa"/>
            <w:tcBorders>
              <w:bottom w:val="single" w:sz="18" w:space="0" w:color="auto"/>
            </w:tcBorders>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5" w:type="dxa"/>
            <w:tcBorders>
              <w:bottom w:val="single" w:sz="18" w:space="0" w:color="auto"/>
            </w:tcBorders>
            <w:vAlign w:val="center"/>
            <w:hideMark/>
          </w:tcPr>
          <w:p w:rsidR="00847BCE" w:rsidRPr="003E335B" w:rsidRDefault="00FF652E"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w:t>
            </w:r>
            <w:r w:rsidR="002D10BE">
              <w:rPr>
                <w:rFonts w:asciiTheme="minorHAnsi" w:hAnsiTheme="minorHAnsi" w:cs="Arial"/>
                <w:sz w:val="20"/>
                <w:szCs w:val="20"/>
              </w:rPr>
              <w:t>72</w:t>
            </w:r>
          </w:p>
        </w:tc>
        <w:tc>
          <w:tcPr>
            <w:tcW w:w="1376" w:type="dxa"/>
            <w:tcBorders>
              <w:bottom w:val="single" w:sz="18" w:space="0" w:color="auto"/>
            </w:tcBorders>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6" w:type="dxa"/>
            <w:tcBorders>
              <w:bottom w:val="single" w:sz="18" w:space="0" w:color="auto"/>
            </w:tcBorders>
            <w:vAlign w:val="center"/>
            <w:hideMark/>
          </w:tcPr>
          <w:p w:rsidR="00847BCE" w:rsidRPr="003E335B" w:rsidRDefault="000B3BDE"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8</w:t>
            </w:r>
          </w:p>
        </w:tc>
        <w:tc>
          <w:tcPr>
            <w:tcW w:w="1376" w:type="dxa"/>
            <w:tcBorders>
              <w:bottom w:val="single" w:sz="18" w:space="0" w:color="auto"/>
            </w:tcBorders>
            <w:vAlign w:val="center"/>
            <w:hideMark/>
          </w:tcPr>
          <w:p w:rsidR="00847BCE" w:rsidRPr="003E335B" w:rsidRDefault="00FF652E"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w:t>
            </w:r>
            <w:r w:rsidR="002D10BE">
              <w:rPr>
                <w:rFonts w:asciiTheme="minorHAnsi" w:hAnsiTheme="minorHAnsi" w:cs="Arial"/>
                <w:sz w:val="20"/>
                <w:szCs w:val="20"/>
              </w:rPr>
              <w:t>80</w:t>
            </w:r>
          </w:p>
        </w:tc>
      </w:tr>
      <w:tr w:rsidR="00847BCE" w:rsidRPr="003E335B" w:rsidTr="00C769AC">
        <w:tc>
          <w:tcPr>
            <w:tcW w:w="2880"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Total comprehensive income</w:t>
            </w:r>
          </w:p>
        </w:tc>
        <w:tc>
          <w:tcPr>
            <w:tcW w:w="900" w:type="dxa"/>
            <w:shd w:val="clear" w:color="auto" w:fill="B8CCE4" w:themeFill="accent1" w:themeFillTint="66"/>
          </w:tcPr>
          <w:p w:rsidR="00847BCE" w:rsidRPr="003E335B" w:rsidRDefault="00847BCE" w:rsidP="000D70EC">
            <w:pPr>
              <w:spacing w:after="100" w:line="240" w:lineRule="auto"/>
              <w:rPr>
                <w:rFonts w:asciiTheme="minorHAnsi" w:hAnsiTheme="minorHAnsi" w:cs="Arial"/>
                <w:b/>
                <w:sz w:val="20"/>
                <w:szCs w:val="20"/>
              </w:rPr>
            </w:pPr>
          </w:p>
        </w:tc>
        <w:tc>
          <w:tcPr>
            <w:tcW w:w="1375" w:type="dxa"/>
            <w:tcBorders>
              <w:top w:val="single" w:sz="18" w:space="0" w:color="auto"/>
            </w:tcBorders>
            <w:shd w:val="clear" w:color="auto" w:fill="B8CCE4" w:themeFill="accent1" w:themeFillTint="66"/>
            <w:vAlign w:val="center"/>
            <w:hideMark/>
          </w:tcPr>
          <w:p w:rsidR="00847BCE" w:rsidRPr="003E335B" w:rsidRDefault="005808E5"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w:t>
            </w:r>
          </w:p>
        </w:tc>
        <w:tc>
          <w:tcPr>
            <w:tcW w:w="1376" w:type="dxa"/>
            <w:tcBorders>
              <w:top w:val="single" w:sz="18" w:space="0" w:color="auto"/>
            </w:tcBorders>
            <w:shd w:val="clear" w:color="auto" w:fill="B8CCE4" w:themeFill="accent1" w:themeFillTint="66"/>
            <w:vAlign w:val="center"/>
            <w:hideMark/>
          </w:tcPr>
          <w:p w:rsidR="00847BCE" w:rsidRPr="003E335B" w:rsidRDefault="005808E5"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w:t>
            </w:r>
          </w:p>
        </w:tc>
        <w:tc>
          <w:tcPr>
            <w:tcW w:w="1376" w:type="dxa"/>
            <w:tcBorders>
              <w:top w:val="single" w:sz="18" w:space="0" w:color="auto"/>
            </w:tcBorders>
            <w:shd w:val="clear" w:color="auto" w:fill="B8CCE4" w:themeFill="accent1" w:themeFillTint="66"/>
            <w:vAlign w:val="center"/>
            <w:hideMark/>
          </w:tcPr>
          <w:p w:rsidR="00847BCE" w:rsidRPr="003E335B" w:rsidRDefault="005808E5"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w:t>
            </w:r>
          </w:p>
        </w:tc>
        <w:tc>
          <w:tcPr>
            <w:tcW w:w="1375" w:type="dxa"/>
            <w:tcBorders>
              <w:top w:val="single" w:sz="18" w:space="0" w:color="auto"/>
            </w:tcBorders>
            <w:shd w:val="clear" w:color="auto" w:fill="B8CCE4" w:themeFill="accent1" w:themeFillTint="66"/>
            <w:vAlign w:val="center"/>
            <w:hideMark/>
          </w:tcPr>
          <w:p w:rsidR="00847BCE" w:rsidRPr="003E335B" w:rsidRDefault="00FF652E"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2</w:t>
            </w:r>
            <w:r w:rsidR="002D10BE">
              <w:rPr>
                <w:rFonts w:asciiTheme="minorHAnsi" w:hAnsiTheme="minorHAnsi" w:cs="Arial"/>
                <w:b/>
                <w:sz w:val="20"/>
                <w:szCs w:val="20"/>
              </w:rPr>
              <w:t>72</w:t>
            </w:r>
          </w:p>
        </w:tc>
        <w:tc>
          <w:tcPr>
            <w:tcW w:w="1376" w:type="dxa"/>
            <w:tcBorders>
              <w:top w:val="single" w:sz="18" w:space="0" w:color="auto"/>
            </w:tcBorders>
            <w:shd w:val="clear" w:color="auto" w:fill="B8CCE4" w:themeFill="accent1" w:themeFillTint="66"/>
            <w:vAlign w:val="center"/>
            <w:hideMark/>
          </w:tcPr>
          <w:p w:rsidR="00847BCE" w:rsidRPr="003E335B" w:rsidRDefault="00FF652E"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6</w:t>
            </w:r>
            <w:r w:rsidR="002D10BE">
              <w:rPr>
                <w:rFonts w:asciiTheme="minorHAnsi" w:hAnsiTheme="minorHAnsi" w:cs="Arial"/>
                <w:b/>
                <w:sz w:val="20"/>
                <w:szCs w:val="20"/>
              </w:rPr>
              <w:t>38</w:t>
            </w:r>
          </w:p>
        </w:tc>
        <w:tc>
          <w:tcPr>
            <w:tcW w:w="1376" w:type="dxa"/>
            <w:tcBorders>
              <w:top w:val="single" w:sz="18" w:space="0" w:color="auto"/>
            </w:tcBorders>
            <w:shd w:val="clear" w:color="auto" w:fill="B8CCE4" w:themeFill="accent1" w:themeFillTint="66"/>
            <w:vAlign w:val="center"/>
            <w:hideMark/>
          </w:tcPr>
          <w:p w:rsidR="00847BCE" w:rsidRPr="003E335B" w:rsidRDefault="00FF652E"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(18</w:t>
            </w:r>
            <w:r w:rsidR="000B3BDE" w:rsidRPr="003E335B">
              <w:rPr>
                <w:rFonts w:asciiTheme="minorHAnsi" w:hAnsiTheme="minorHAnsi" w:cs="Arial"/>
                <w:b/>
                <w:sz w:val="20"/>
                <w:szCs w:val="20"/>
              </w:rPr>
              <w:t>6</w:t>
            </w:r>
            <w:r w:rsidRPr="003E335B">
              <w:rPr>
                <w:rFonts w:asciiTheme="minorHAnsi" w:hAnsiTheme="minorHAnsi" w:cs="Arial"/>
                <w:b/>
                <w:sz w:val="20"/>
                <w:szCs w:val="20"/>
              </w:rPr>
              <w:t>)</w:t>
            </w:r>
          </w:p>
        </w:tc>
        <w:tc>
          <w:tcPr>
            <w:tcW w:w="1376" w:type="dxa"/>
            <w:tcBorders>
              <w:top w:val="single" w:sz="18" w:space="0" w:color="auto"/>
            </w:tcBorders>
            <w:shd w:val="clear" w:color="auto" w:fill="B8CCE4" w:themeFill="accent1" w:themeFillTint="66"/>
            <w:vAlign w:val="center"/>
            <w:hideMark/>
          </w:tcPr>
          <w:p w:rsidR="00847BCE" w:rsidRPr="003E335B" w:rsidRDefault="00FF652E"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72</w:t>
            </w:r>
            <w:r w:rsidR="005808E5">
              <w:rPr>
                <w:rFonts w:asciiTheme="minorHAnsi" w:hAnsiTheme="minorHAnsi" w:cs="Arial"/>
                <w:b/>
                <w:sz w:val="20"/>
                <w:szCs w:val="20"/>
              </w:rPr>
              <w:t>4</w:t>
            </w:r>
          </w:p>
        </w:tc>
      </w:tr>
      <w:tr w:rsidR="00847BCE" w:rsidRPr="003E335B" w:rsidTr="00C769AC">
        <w:tc>
          <w:tcPr>
            <w:tcW w:w="2880" w:type="dxa"/>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Employee share award scheme, net of tax</w:t>
            </w:r>
          </w:p>
        </w:tc>
        <w:tc>
          <w:tcPr>
            <w:tcW w:w="900" w:type="dxa"/>
          </w:tcPr>
          <w:p w:rsidR="00847BCE" w:rsidRPr="003E335B" w:rsidRDefault="00847BCE" w:rsidP="000D70EC">
            <w:pPr>
              <w:spacing w:after="100" w:line="240" w:lineRule="auto"/>
              <w:rPr>
                <w:rFonts w:asciiTheme="minorHAnsi" w:hAnsiTheme="minorHAnsi" w:cs="Arial"/>
                <w:sz w:val="20"/>
                <w:szCs w:val="20"/>
              </w:rPr>
            </w:pPr>
          </w:p>
        </w:tc>
        <w:tc>
          <w:tcPr>
            <w:tcW w:w="1375" w:type="dxa"/>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6" w:type="dxa"/>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6" w:type="dxa"/>
            <w:vAlign w:val="center"/>
            <w:hideMark/>
          </w:tcPr>
          <w:p w:rsidR="00847BCE" w:rsidRPr="003E335B" w:rsidRDefault="00FF652E"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27</w:t>
            </w:r>
          </w:p>
        </w:tc>
        <w:tc>
          <w:tcPr>
            <w:tcW w:w="1375" w:type="dxa"/>
            <w:vAlign w:val="center"/>
            <w:hideMark/>
          </w:tcPr>
          <w:p w:rsidR="00847BCE" w:rsidRPr="003E335B" w:rsidRDefault="00FF652E"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16</w:t>
            </w:r>
          </w:p>
        </w:tc>
        <w:tc>
          <w:tcPr>
            <w:tcW w:w="1376" w:type="dxa"/>
            <w:vAlign w:val="center"/>
            <w:hideMark/>
          </w:tcPr>
          <w:p w:rsidR="00847BCE" w:rsidRPr="003E335B" w:rsidRDefault="00FF652E"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(27)</w:t>
            </w:r>
          </w:p>
        </w:tc>
        <w:tc>
          <w:tcPr>
            <w:tcW w:w="1376" w:type="dxa"/>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6" w:type="dxa"/>
            <w:vAlign w:val="center"/>
            <w:hideMark/>
          </w:tcPr>
          <w:p w:rsidR="00847BCE" w:rsidRPr="003E335B" w:rsidRDefault="00FF652E"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16</w:t>
            </w:r>
          </w:p>
        </w:tc>
      </w:tr>
      <w:tr w:rsidR="00847BCE" w:rsidRPr="003E335B" w:rsidTr="00C769AC">
        <w:tc>
          <w:tcPr>
            <w:tcW w:w="2880" w:type="dxa"/>
            <w:shd w:val="clear" w:color="auto" w:fill="B8CCE4" w:themeFill="accent1" w:themeFillTint="66"/>
            <w:hideMark/>
          </w:tcPr>
          <w:p w:rsidR="00847BCE" w:rsidRPr="003E335B" w:rsidRDefault="00FF652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Share conversion option of 2016 Convertible Bonds</w:t>
            </w:r>
          </w:p>
        </w:tc>
        <w:tc>
          <w:tcPr>
            <w:tcW w:w="900" w:type="dxa"/>
            <w:shd w:val="clear" w:color="auto" w:fill="B8CCE4" w:themeFill="accent1" w:themeFillTint="66"/>
          </w:tcPr>
          <w:p w:rsidR="00847BCE" w:rsidRPr="003E335B" w:rsidRDefault="00847BCE" w:rsidP="000D70EC">
            <w:pPr>
              <w:spacing w:after="100" w:line="240" w:lineRule="auto"/>
              <w:rPr>
                <w:rFonts w:asciiTheme="minorHAnsi" w:hAnsiTheme="minorHAnsi" w:cs="Arial"/>
                <w:sz w:val="20"/>
                <w:szCs w:val="20"/>
              </w:rPr>
            </w:pPr>
          </w:p>
        </w:tc>
        <w:tc>
          <w:tcPr>
            <w:tcW w:w="1375" w:type="dxa"/>
            <w:shd w:val="clear" w:color="auto" w:fill="B8CCE4" w:themeFill="accent1" w:themeFillTint="66"/>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6" w:type="dxa"/>
            <w:shd w:val="clear" w:color="auto" w:fill="B8CCE4" w:themeFill="accent1" w:themeFillTint="66"/>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6" w:type="dxa"/>
            <w:shd w:val="clear" w:color="auto" w:fill="B8CCE4" w:themeFill="accent1" w:themeFillTint="66"/>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5" w:type="dxa"/>
            <w:shd w:val="clear" w:color="auto" w:fill="B8CCE4" w:themeFill="accent1" w:themeFillTint="66"/>
            <w:vAlign w:val="center"/>
            <w:hideMark/>
          </w:tcPr>
          <w:p w:rsidR="00847BCE" w:rsidRPr="003E335B" w:rsidRDefault="00FF652E"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w:t>
            </w:r>
          </w:p>
        </w:tc>
        <w:tc>
          <w:tcPr>
            <w:tcW w:w="1376" w:type="dxa"/>
            <w:shd w:val="clear" w:color="auto" w:fill="B8CCE4" w:themeFill="accent1" w:themeFillTint="66"/>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6" w:type="dxa"/>
            <w:shd w:val="clear" w:color="auto" w:fill="B8CCE4" w:themeFill="accent1" w:themeFillTint="66"/>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6" w:type="dxa"/>
            <w:shd w:val="clear" w:color="auto" w:fill="B8CCE4" w:themeFill="accent1" w:themeFillTint="66"/>
            <w:vAlign w:val="center"/>
            <w:hideMark/>
          </w:tcPr>
          <w:p w:rsidR="00847BCE" w:rsidRPr="003E335B" w:rsidRDefault="00FF652E"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w:t>
            </w:r>
          </w:p>
        </w:tc>
      </w:tr>
      <w:tr w:rsidR="00847BCE" w:rsidRPr="003E335B" w:rsidTr="00C769AC">
        <w:tc>
          <w:tcPr>
            <w:tcW w:w="2880" w:type="dxa"/>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Non-controlling interest</w:t>
            </w:r>
            <w:r w:rsidR="00793ED4" w:rsidRPr="003E335B">
              <w:rPr>
                <w:rFonts w:asciiTheme="minorHAnsi" w:hAnsiTheme="minorHAnsi" w:cs="Arial"/>
                <w:sz w:val="20"/>
                <w:szCs w:val="20"/>
              </w:rPr>
              <w:t>s</w:t>
            </w:r>
            <w:r w:rsidRPr="003E335B">
              <w:rPr>
                <w:rFonts w:asciiTheme="minorHAnsi" w:hAnsiTheme="minorHAnsi" w:cs="Arial"/>
                <w:sz w:val="20"/>
                <w:szCs w:val="20"/>
              </w:rPr>
              <w:t xml:space="preserve"> arising on business combinations</w:t>
            </w:r>
          </w:p>
        </w:tc>
        <w:tc>
          <w:tcPr>
            <w:tcW w:w="900" w:type="dxa"/>
          </w:tcPr>
          <w:p w:rsidR="00847BCE" w:rsidRPr="003E335B" w:rsidRDefault="00847BCE" w:rsidP="000D70EC">
            <w:pPr>
              <w:spacing w:after="100" w:line="240" w:lineRule="auto"/>
              <w:rPr>
                <w:rFonts w:asciiTheme="minorHAnsi" w:hAnsiTheme="minorHAnsi" w:cs="Arial"/>
                <w:sz w:val="20"/>
                <w:szCs w:val="20"/>
              </w:rPr>
            </w:pPr>
          </w:p>
        </w:tc>
        <w:tc>
          <w:tcPr>
            <w:tcW w:w="1375" w:type="dxa"/>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6" w:type="dxa"/>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6" w:type="dxa"/>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5" w:type="dxa"/>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6" w:type="dxa"/>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6" w:type="dxa"/>
            <w:vAlign w:val="center"/>
            <w:hideMark/>
          </w:tcPr>
          <w:p w:rsidR="00847BCE" w:rsidRPr="003E335B" w:rsidRDefault="00FF652E"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9</w:t>
            </w:r>
          </w:p>
        </w:tc>
        <w:tc>
          <w:tcPr>
            <w:tcW w:w="1376" w:type="dxa"/>
            <w:vAlign w:val="center"/>
            <w:hideMark/>
          </w:tcPr>
          <w:p w:rsidR="00847BCE" w:rsidRPr="003E335B" w:rsidRDefault="00FF652E"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9</w:t>
            </w:r>
          </w:p>
        </w:tc>
      </w:tr>
      <w:tr w:rsidR="00847BCE" w:rsidRPr="003E335B" w:rsidTr="00C769AC">
        <w:tc>
          <w:tcPr>
            <w:tcW w:w="2880"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Dividends</w:t>
            </w:r>
          </w:p>
        </w:tc>
        <w:tc>
          <w:tcPr>
            <w:tcW w:w="900" w:type="dxa"/>
            <w:shd w:val="clear" w:color="auto" w:fill="B8CCE4" w:themeFill="accent1" w:themeFillTint="66"/>
          </w:tcPr>
          <w:p w:rsidR="00847BCE" w:rsidRPr="003E335B" w:rsidRDefault="00847BCE" w:rsidP="000D70EC">
            <w:pPr>
              <w:spacing w:after="100" w:line="240" w:lineRule="auto"/>
              <w:jc w:val="center"/>
              <w:rPr>
                <w:rFonts w:asciiTheme="minorHAnsi" w:hAnsiTheme="minorHAnsi" w:cs="Arial"/>
                <w:sz w:val="20"/>
                <w:szCs w:val="20"/>
              </w:rPr>
            </w:pPr>
          </w:p>
        </w:tc>
        <w:tc>
          <w:tcPr>
            <w:tcW w:w="1375" w:type="dxa"/>
            <w:tcBorders>
              <w:bottom w:val="single" w:sz="18" w:space="0" w:color="auto"/>
            </w:tcBorders>
            <w:shd w:val="clear" w:color="auto" w:fill="B8CCE4" w:themeFill="accent1" w:themeFillTint="66"/>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6" w:type="dxa"/>
            <w:tcBorders>
              <w:bottom w:val="single" w:sz="18" w:space="0" w:color="auto"/>
            </w:tcBorders>
            <w:shd w:val="clear" w:color="auto" w:fill="B8CCE4" w:themeFill="accent1" w:themeFillTint="66"/>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6" w:type="dxa"/>
            <w:tcBorders>
              <w:bottom w:val="single" w:sz="18" w:space="0" w:color="auto"/>
            </w:tcBorders>
            <w:shd w:val="clear" w:color="auto" w:fill="B8CCE4" w:themeFill="accent1" w:themeFillTint="66"/>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5" w:type="dxa"/>
            <w:tcBorders>
              <w:bottom w:val="single" w:sz="18" w:space="0" w:color="auto"/>
            </w:tcBorders>
            <w:shd w:val="clear" w:color="auto" w:fill="B8CCE4" w:themeFill="accent1" w:themeFillTint="66"/>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6" w:type="dxa"/>
            <w:tcBorders>
              <w:bottom w:val="single" w:sz="18" w:space="0" w:color="auto"/>
            </w:tcBorders>
            <w:shd w:val="clear" w:color="auto" w:fill="B8CCE4" w:themeFill="accent1" w:themeFillTint="66"/>
            <w:vAlign w:val="center"/>
            <w:hideMark/>
          </w:tcPr>
          <w:p w:rsidR="00847BCE" w:rsidRPr="003E335B" w:rsidRDefault="00FF652E"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(353)</w:t>
            </w:r>
          </w:p>
        </w:tc>
        <w:tc>
          <w:tcPr>
            <w:tcW w:w="1376" w:type="dxa"/>
            <w:tcBorders>
              <w:bottom w:val="single" w:sz="18" w:space="0" w:color="auto"/>
            </w:tcBorders>
            <w:shd w:val="clear" w:color="auto" w:fill="B8CCE4" w:themeFill="accent1" w:themeFillTint="66"/>
            <w:vAlign w:val="center"/>
            <w:hideMark/>
          </w:tcPr>
          <w:p w:rsidR="00847BCE" w:rsidRPr="003E335B" w:rsidRDefault="005808E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76" w:type="dxa"/>
            <w:tcBorders>
              <w:bottom w:val="single" w:sz="18" w:space="0" w:color="auto"/>
            </w:tcBorders>
            <w:shd w:val="clear" w:color="auto" w:fill="B8CCE4" w:themeFill="accent1" w:themeFillTint="66"/>
            <w:vAlign w:val="center"/>
            <w:hideMark/>
          </w:tcPr>
          <w:p w:rsidR="00847BCE" w:rsidRPr="003E335B" w:rsidRDefault="00FF652E"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(353)</w:t>
            </w:r>
          </w:p>
        </w:tc>
      </w:tr>
      <w:tr w:rsidR="003E06EF" w:rsidRPr="003E335B" w:rsidTr="00C769AC">
        <w:tc>
          <w:tcPr>
            <w:tcW w:w="3780" w:type="dxa"/>
            <w:gridSpan w:val="2"/>
            <w:tcBorders>
              <w:bottom w:val="single" w:sz="18" w:space="0" w:color="auto"/>
            </w:tcBorders>
            <w:hideMark/>
          </w:tcPr>
          <w:p w:rsidR="002E15B7" w:rsidRDefault="0013752A">
            <w:pPr>
              <w:tabs>
                <w:tab w:val="left" w:pos="2594"/>
              </w:tabs>
              <w:spacing w:after="100" w:line="240" w:lineRule="auto"/>
              <w:rPr>
                <w:rFonts w:asciiTheme="minorHAnsi" w:hAnsiTheme="minorHAnsi" w:cs="Arial"/>
                <w:b/>
                <w:sz w:val="20"/>
                <w:szCs w:val="20"/>
              </w:rPr>
            </w:pPr>
            <w:r w:rsidRPr="003E335B">
              <w:rPr>
                <w:rFonts w:asciiTheme="minorHAnsi" w:hAnsiTheme="minorHAnsi" w:cs="Arial"/>
                <w:b/>
                <w:sz w:val="20"/>
                <w:szCs w:val="20"/>
              </w:rPr>
              <w:t>As at July 2</w:t>
            </w:r>
            <w:r w:rsidR="003E06EF" w:rsidRPr="003E335B">
              <w:rPr>
                <w:rFonts w:asciiTheme="minorHAnsi" w:hAnsiTheme="minorHAnsi" w:cs="Arial"/>
                <w:b/>
                <w:sz w:val="20"/>
                <w:szCs w:val="20"/>
              </w:rPr>
              <w:t>, 20</w:t>
            </w:r>
            <w:r w:rsidRPr="003E335B">
              <w:rPr>
                <w:rFonts w:asciiTheme="minorHAnsi" w:hAnsiTheme="minorHAnsi" w:cs="Arial"/>
                <w:b/>
                <w:sz w:val="20"/>
                <w:szCs w:val="20"/>
              </w:rPr>
              <w:t>11</w:t>
            </w:r>
            <w:r w:rsidR="003E06EF" w:rsidRPr="003E335B">
              <w:rPr>
                <w:rFonts w:asciiTheme="minorHAnsi" w:hAnsiTheme="minorHAnsi" w:cs="Arial"/>
                <w:b/>
                <w:sz w:val="20"/>
                <w:szCs w:val="20"/>
              </w:rPr>
              <w:t xml:space="preserve"> (unaudited)</w:t>
            </w:r>
          </w:p>
        </w:tc>
        <w:tc>
          <w:tcPr>
            <w:tcW w:w="1375" w:type="dxa"/>
            <w:tcBorders>
              <w:top w:val="single" w:sz="18" w:space="0" w:color="auto"/>
              <w:bottom w:val="single" w:sz="18" w:space="0" w:color="auto"/>
            </w:tcBorders>
            <w:vAlign w:val="center"/>
            <w:hideMark/>
          </w:tcPr>
          <w:p w:rsidR="003E06EF" w:rsidRPr="003E335B" w:rsidRDefault="00FF652E"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1,156</w:t>
            </w:r>
          </w:p>
        </w:tc>
        <w:tc>
          <w:tcPr>
            <w:tcW w:w="1376" w:type="dxa"/>
            <w:tcBorders>
              <w:top w:val="single" w:sz="18" w:space="0" w:color="auto"/>
              <w:bottom w:val="single" w:sz="18" w:space="0" w:color="auto"/>
            </w:tcBorders>
            <w:vAlign w:val="center"/>
            <w:hideMark/>
          </w:tcPr>
          <w:p w:rsidR="003E06EF" w:rsidRPr="003E335B" w:rsidRDefault="00FF652E"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2,433</w:t>
            </w:r>
          </w:p>
        </w:tc>
        <w:tc>
          <w:tcPr>
            <w:tcW w:w="1376" w:type="dxa"/>
            <w:tcBorders>
              <w:top w:val="single" w:sz="18" w:space="0" w:color="auto"/>
              <w:bottom w:val="single" w:sz="18" w:space="0" w:color="auto"/>
            </w:tcBorders>
            <w:vAlign w:val="center"/>
            <w:hideMark/>
          </w:tcPr>
          <w:p w:rsidR="003E06EF" w:rsidRPr="003E335B" w:rsidRDefault="00FF652E"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(277)</w:t>
            </w:r>
          </w:p>
        </w:tc>
        <w:tc>
          <w:tcPr>
            <w:tcW w:w="1375" w:type="dxa"/>
            <w:tcBorders>
              <w:top w:val="single" w:sz="18" w:space="0" w:color="auto"/>
              <w:bottom w:val="single" w:sz="18" w:space="0" w:color="auto"/>
            </w:tcBorders>
            <w:vAlign w:val="center"/>
            <w:hideMark/>
          </w:tcPr>
          <w:p w:rsidR="003E06EF" w:rsidRPr="003E335B" w:rsidRDefault="00FF652E" w:rsidP="005808E5">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w:t>
            </w:r>
            <w:r w:rsidR="005808E5">
              <w:rPr>
                <w:rFonts w:asciiTheme="minorHAnsi" w:hAnsiTheme="minorHAnsi" w:cs="Arial"/>
                <w:b/>
                <w:sz w:val="20"/>
                <w:szCs w:val="20"/>
              </w:rPr>
              <w:t>91</w:t>
            </w:r>
            <w:r w:rsidR="002D10BE">
              <w:rPr>
                <w:rFonts w:asciiTheme="minorHAnsi" w:hAnsiTheme="minorHAnsi" w:cs="Arial"/>
                <w:b/>
                <w:sz w:val="20"/>
                <w:szCs w:val="20"/>
              </w:rPr>
              <w:t>6</w:t>
            </w:r>
          </w:p>
        </w:tc>
        <w:tc>
          <w:tcPr>
            <w:tcW w:w="1376" w:type="dxa"/>
            <w:tcBorders>
              <w:top w:val="single" w:sz="18" w:space="0" w:color="auto"/>
              <w:bottom w:val="single" w:sz="18" w:space="0" w:color="auto"/>
            </w:tcBorders>
            <w:vAlign w:val="center"/>
            <w:hideMark/>
          </w:tcPr>
          <w:p w:rsidR="003E06EF" w:rsidRPr="003E335B" w:rsidRDefault="00FF652E" w:rsidP="005808E5">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4,</w:t>
            </w:r>
            <w:r w:rsidR="005808E5">
              <w:rPr>
                <w:rFonts w:asciiTheme="minorHAnsi" w:hAnsiTheme="minorHAnsi" w:cs="Arial"/>
                <w:b/>
                <w:sz w:val="20"/>
                <w:szCs w:val="20"/>
              </w:rPr>
              <w:t>09</w:t>
            </w:r>
            <w:r w:rsidR="002D10BE">
              <w:rPr>
                <w:rFonts w:asciiTheme="minorHAnsi" w:hAnsiTheme="minorHAnsi" w:cs="Arial"/>
                <w:b/>
                <w:sz w:val="20"/>
                <w:szCs w:val="20"/>
              </w:rPr>
              <w:t>3</w:t>
            </w:r>
          </w:p>
        </w:tc>
        <w:tc>
          <w:tcPr>
            <w:tcW w:w="1376" w:type="dxa"/>
            <w:tcBorders>
              <w:top w:val="single" w:sz="18" w:space="0" w:color="auto"/>
              <w:bottom w:val="single" w:sz="18" w:space="0" w:color="auto"/>
            </w:tcBorders>
            <w:vAlign w:val="center"/>
            <w:hideMark/>
          </w:tcPr>
          <w:p w:rsidR="003E06EF" w:rsidRPr="003E335B" w:rsidRDefault="00FF652E"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8</w:t>
            </w:r>
            <w:r w:rsidR="00F64CB0" w:rsidRPr="003E335B">
              <w:rPr>
                <w:rFonts w:asciiTheme="minorHAnsi" w:hAnsiTheme="minorHAnsi" w:cs="Arial"/>
                <w:b/>
                <w:sz w:val="20"/>
                <w:szCs w:val="20"/>
              </w:rPr>
              <w:t>19</w:t>
            </w:r>
          </w:p>
        </w:tc>
        <w:tc>
          <w:tcPr>
            <w:tcW w:w="1376" w:type="dxa"/>
            <w:tcBorders>
              <w:top w:val="single" w:sz="18" w:space="0" w:color="auto"/>
              <w:bottom w:val="single" w:sz="18" w:space="0" w:color="auto"/>
            </w:tcBorders>
            <w:vAlign w:val="center"/>
            <w:hideMark/>
          </w:tcPr>
          <w:p w:rsidR="003E06EF" w:rsidRPr="003E335B" w:rsidRDefault="005808E5" w:rsidP="005808E5">
            <w:pPr>
              <w:spacing w:after="100" w:line="240" w:lineRule="auto"/>
              <w:jc w:val="right"/>
              <w:rPr>
                <w:rFonts w:asciiTheme="minorHAnsi" w:hAnsiTheme="minorHAnsi" w:cs="Arial"/>
                <w:b/>
                <w:sz w:val="20"/>
                <w:szCs w:val="20"/>
              </w:rPr>
            </w:pPr>
            <w:r>
              <w:rPr>
                <w:rFonts w:asciiTheme="minorHAnsi" w:hAnsiTheme="minorHAnsi" w:cs="Arial"/>
                <w:b/>
                <w:sz w:val="20"/>
                <w:szCs w:val="20"/>
              </w:rPr>
              <w:t xml:space="preserve">10,140    </w:t>
            </w:r>
          </w:p>
        </w:tc>
      </w:tr>
    </w:tbl>
    <w:p w:rsidR="00847BCE" w:rsidRPr="003E335B" w:rsidRDefault="00211E4C" w:rsidP="000D70EC">
      <w:pPr>
        <w:spacing w:after="100" w:line="240" w:lineRule="auto"/>
        <w:ind w:firstLine="720"/>
        <w:rPr>
          <w:rFonts w:asciiTheme="minorHAnsi" w:hAnsiTheme="minorHAnsi" w:cs="Arial"/>
          <w:sz w:val="20"/>
          <w:szCs w:val="20"/>
        </w:rPr>
      </w:pPr>
      <w:r w:rsidRPr="003E335B">
        <w:rPr>
          <w:rFonts w:asciiTheme="minorHAnsi" w:hAnsiTheme="minorHAnsi" w:cs="Arial"/>
          <w:sz w:val="20"/>
          <w:szCs w:val="20"/>
        </w:rPr>
        <w:t xml:space="preserve">The accompanying notes are an integral part of these </w:t>
      </w:r>
      <w:r w:rsidR="005E1E77">
        <w:rPr>
          <w:rFonts w:asciiTheme="minorHAnsi" w:hAnsiTheme="minorHAnsi" w:cs="Arial"/>
          <w:sz w:val="20"/>
          <w:szCs w:val="20"/>
        </w:rPr>
        <w:t>Semi-Annual</w:t>
      </w:r>
      <w:r w:rsidRPr="003E335B">
        <w:rPr>
          <w:rFonts w:asciiTheme="minorHAnsi" w:hAnsiTheme="minorHAnsi" w:cs="Arial"/>
          <w:sz w:val="20"/>
          <w:szCs w:val="20"/>
        </w:rPr>
        <w:t xml:space="preserve"> </w:t>
      </w:r>
      <w:r w:rsidR="005E1E77">
        <w:rPr>
          <w:rFonts w:asciiTheme="minorHAnsi" w:hAnsiTheme="minorHAnsi" w:cs="Arial"/>
          <w:sz w:val="20"/>
          <w:szCs w:val="20"/>
        </w:rPr>
        <w:t>Financial Statements</w:t>
      </w:r>
    </w:p>
    <w:p w:rsidR="003E06EF" w:rsidRPr="003E335B" w:rsidRDefault="003E06EF" w:rsidP="000D70EC">
      <w:pPr>
        <w:spacing w:after="100" w:line="240" w:lineRule="auto"/>
        <w:rPr>
          <w:rFonts w:asciiTheme="minorHAnsi" w:hAnsiTheme="minorHAnsi" w:cs="Arial"/>
          <w:sz w:val="20"/>
          <w:szCs w:val="20"/>
        </w:rPr>
      </w:pPr>
      <w:r w:rsidRPr="003E335B">
        <w:rPr>
          <w:rFonts w:asciiTheme="minorHAnsi" w:hAnsiTheme="minorHAnsi" w:cs="Arial"/>
          <w:sz w:val="20"/>
          <w:szCs w:val="20"/>
        </w:rPr>
        <w:br w:type="page"/>
      </w:r>
    </w:p>
    <w:p w:rsidR="00847BCE" w:rsidRPr="003E335B" w:rsidRDefault="00847BCE" w:rsidP="000D70EC">
      <w:pPr>
        <w:spacing w:after="100" w:line="240" w:lineRule="auto"/>
        <w:ind w:firstLine="720"/>
        <w:rPr>
          <w:rFonts w:asciiTheme="minorHAnsi" w:hAnsiTheme="minorHAnsi" w:cs="Arial"/>
          <w:sz w:val="20"/>
          <w:szCs w:val="20"/>
        </w:rPr>
      </w:pPr>
      <w:r w:rsidRPr="003E335B">
        <w:rPr>
          <w:rFonts w:asciiTheme="minorHAnsi" w:hAnsiTheme="minorHAnsi" w:cs="Arial"/>
          <w:sz w:val="20"/>
          <w:szCs w:val="20"/>
        </w:rPr>
        <w:lastRenderedPageBreak/>
        <w:t>For the six months ended June 26, 2010</w:t>
      </w:r>
    </w:p>
    <w:tbl>
      <w:tblPr>
        <w:tblW w:w="0" w:type="auto"/>
        <w:tblInd w:w="828" w:type="dxa"/>
        <w:tblLayout w:type="fixed"/>
        <w:tblLook w:val="04A0"/>
      </w:tblPr>
      <w:tblGrid>
        <w:gridCol w:w="2610"/>
        <w:gridCol w:w="1260"/>
        <w:gridCol w:w="1363"/>
        <w:gridCol w:w="1363"/>
        <w:gridCol w:w="1364"/>
        <w:gridCol w:w="1363"/>
        <w:gridCol w:w="1364"/>
        <w:gridCol w:w="1363"/>
        <w:gridCol w:w="1364"/>
      </w:tblGrid>
      <w:tr w:rsidR="00C769AC" w:rsidRPr="003E335B" w:rsidTr="00C769AC">
        <w:tc>
          <w:tcPr>
            <w:tcW w:w="2610" w:type="dxa"/>
            <w:vMerge w:val="restart"/>
            <w:vAlign w:val="bottom"/>
            <w:hideMark/>
          </w:tcPr>
          <w:p w:rsidR="00C769AC" w:rsidRPr="003E335B" w:rsidRDefault="00C769A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1260" w:type="dxa"/>
            <w:vAlign w:val="bottom"/>
          </w:tcPr>
          <w:p w:rsidR="00C769AC" w:rsidRPr="003E335B" w:rsidRDefault="00C769AC" w:rsidP="000D70EC">
            <w:pPr>
              <w:spacing w:after="100" w:line="240" w:lineRule="auto"/>
              <w:jc w:val="center"/>
              <w:rPr>
                <w:rFonts w:asciiTheme="minorHAnsi" w:hAnsiTheme="minorHAnsi" w:cs="Arial"/>
                <w:sz w:val="20"/>
                <w:szCs w:val="20"/>
              </w:rPr>
            </w:pPr>
          </w:p>
        </w:tc>
        <w:tc>
          <w:tcPr>
            <w:tcW w:w="6817" w:type="dxa"/>
            <w:gridSpan w:val="5"/>
            <w:tcBorders>
              <w:bottom w:val="single" w:sz="18" w:space="0" w:color="auto"/>
            </w:tcBorders>
            <w:vAlign w:val="bottom"/>
          </w:tcPr>
          <w:p w:rsidR="00C769AC" w:rsidRPr="003E335B" w:rsidRDefault="00C769AC"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Equity attributable to the equity holders of the parent</w:t>
            </w:r>
          </w:p>
        </w:tc>
        <w:tc>
          <w:tcPr>
            <w:tcW w:w="1363" w:type="dxa"/>
            <w:vAlign w:val="bottom"/>
          </w:tcPr>
          <w:p w:rsidR="00C769AC" w:rsidRPr="003E335B" w:rsidRDefault="00C769AC" w:rsidP="000D70EC">
            <w:pPr>
              <w:spacing w:after="100" w:line="240" w:lineRule="auto"/>
              <w:jc w:val="center"/>
              <w:rPr>
                <w:rFonts w:asciiTheme="minorHAnsi" w:hAnsiTheme="minorHAnsi" w:cs="Arial"/>
                <w:sz w:val="20"/>
                <w:szCs w:val="20"/>
              </w:rPr>
            </w:pPr>
          </w:p>
        </w:tc>
        <w:tc>
          <w:tcPr>
            <w:tcW w:w="1364" w:type="dxa"/>
            <w:vAlign w:val="bottom"/>
          </w:tcPr>
          <w:p w:rsidR="00C769AC" w:rsidRPr="003E335B" w:rsidRDefault="00C769AC" w:rsidP="000D70EC">
            <w:pPr>
              <w:spacing w:after="100" w:line="240" w:lineRule="auto"/>
              <w:jc w:val="center"/>
              <w:rPr>
                <w:rFonts w:asciiTheme="minorHAnsi" w:hAnsiTheme="minorHAnsi" w:cs="Arial"/>
                <w:sz w:val="20"/>
                <w:szCs w:val="20"/>
              </w:rPr>
            </w:pPr>
          </w:p>
        </w:tc>
      </w:tr>
      <w:tr w:rsidR="003E06EF" w:rsidRPr="003E335B" w:rsidTr="00C769AC">
        <w:tc>
          <w:tcPr>
            <w:tcW w:w="2610" w:type="dxa"/>
            <w:vMerge/>
            <w:tcBorders>
              <w:bottom w:val="single" w:sz="18" w:space="0" w:color="auto"/>
            </w:tcBorders>
            <w:vAlign w:val="bottom"/>
          </w:tcPr>
          <w:p w:rsidR="003E06EF" w:rsidRPr="003E335B" w:rsidRDefault="003E06EF" w:rsidP="000D70EC">
            <w:pPr>
              <w:spacing w:after="100" w:line="240" w:lineRule="auto"/>
              <w:jc w:val="center"/>
              <w:rPr>
                <w:rFonts w:asciiTheme="minorHAnsi" w:hAnsiTheme="minorHAnsi" w:cs="Arial"/>
                <w:sz w:val="20"/>
                <w:szCs w:val="20"/>
              </w:rPr>
            </w:pPr>
          </w:p>
        </w:tc>
        <w:tc>
          <w:tcPr>
            <w:tcW w:w="1260" w:type="dxa"/>
            <w:tcBorders>
              <w:bottom w:val="single" w:sz="18" w:space="0" w:color="auto"/>
            </w:tcBorders>
            <w:vAlign w:val="bottom"/>
            <w:hideMark/>
          </w:tcPr>
          <w:p w:rsidR="003E06EF" w:rsidRPr="003E335B" w:rsidRDefault="003E06EF" w:rsidP="000D70EC">
            <w:pPr>
              <w:spacing w:after="100" w:line="240" w:lineRule="auto"/>
              <w:jc w:val="center"/>
              <w:rPr>
                <w:rFonts w:asciiTheme="minorHAnsi" w:hAnsiTheme="minorHAnsi" w:cs="Arial"/>
                <w:sz w:val="20"/>
                <w:szCs w:val="20"/>
              </w:rPr>
            </w:pPr>
          </w:p>
        </w:tc>
        <w:tc>
          <w:tcPr>
            <w:tcW w:w="1363" w:type="dxa"/>
            <w:tcBorders>
              <w:top w:val="single" w:sz="18" w:space="0" w:color="auto"/>
              <w:bottom w:val="single" w:sz="18" w:space="0" w:color="auto"/>
            </w:tcBorders>
            <w:vAlign w:val="bottom"/>
            <w:hideMark/>
          </w:tcPr>
          <w:p w:rsidR="003E06EF" w:rsidRPr="003E335B" w:rsidRDefault="003E06EF"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Ordinary shares</w:t>
            </w:r>
          </w:p>
        </w:tc>
        <w:tc>
          <w:tcPr>
            <w:tcW w:w="1363" w:type="dxa"/>
            <w:tcBorders>
              <w:top w:val="single" w:sz="18" w:space="0" w:color="auto"/>
              <w:bottom w:val="single" w:sz="18" w:space="0" w:color="auto"/>
            </w:tcBorders>
            <w:vAlign w:val="bottom"/>
            <w:hideMark/>
          </w:tcPr>
          <w:p w:rsidR="003E06EF" w:rsidRPr="003E335B" w:rsidRDefault="003E06EF"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Capital surplus</w:t>
            </w:r>
          </w:p>
        </w:tc>
        <w:tc>
          <w:tcPr>
            <w:tcW w:w="1364" w:type="dxa"/>
            <w:tcBorders>
              <w:top w:val="single" w:sz="18" w:space="0" w:color="auto"/>
              <w:bottom w:val="single" w:sz="18" w:space="0" w:color="auto"/>
            </w:tcBorders>
            <w:vAlign w:val="bottom"/>
            <w:hideMark/>
          </w:tcPr>
          <w:p w:rsidR="003E06EF" w:rsidRPr="003E335B" w:rsidRDefault="003E06EF"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Treasury shares</w:t>
            </w:r>
          </w:p>
        </w:tc>
        <w:tc>
          <w:tcPr>
            <w:tcW w:w="1363" w:type="dxa"/>
            <w:tcBorders>
              <w:top w:val="single" w:sz="18" w:space="0" w:color="auto"/>
              <w:bottom w:val="single" w:sz="18" w:space="0" w:color="auto"/>
            </w:tcBorders>
            <w:vAlign w:val="bottom"/>
            <w:hideMark/>
          </w:tcPr>
          <w:p w:rsidR="003E06EF" w:rsidRPr="003E335B" w:rsidRDefault="003E06EF"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Other reserves</w:t>
            </w:r>
          </w:p>
        </w:tc>
        <w:tc>
          <w:tcPr>
            <w:tcW w:w="1364" w:type="dxa"/>
            <w:tcBorders>
              <w:top w:val="single" w:sz="18" w:space="0" w:color="auto"/>
              <w:bottom w:val="single" w:sz="18" w:space="0" w:color="auto"/>
            </w:tcBorders>
            <w:vAlign w:val="bottom"/>
            <w:hideMark/>
          </w:tcPr>
          <w:p w:rsidR="003E06EF" w:rsidRPr="003E335B" w:rsidRDefault="003E06EF"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Retained earnings</w:t>
            </w:r>
          </w:p>
        </w:tc>
        <w:tc>
          <w:tcPr>
            <w:tcW w:w="1363" w:type="dxa"/>
            <w:tcBorders>
              <w:bottom w:val="single" w:sz="18" w:space="0" w:color="auto"/>
            </w:tcBorders>
            <w:vAlign w:val="bottom"/>
            <w:hideMark/>
          </w:tcPr>
          <w:p w:rsidR="003E06EF" w:rsidRPr="003E335B" w:rsidRDefault="003E06EF"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Non-controlling interests</w:t>
            </w:r>
          </w:p>
        </w:tc>
        <w:tc>
          <w:tcPr>
            <w:tcW w:w="1364" w:type="dxa"/>
            <w:tcBorders>
              <w:bottom w:val="single" w:sz="18" w:space="0" w:color="auto"/>
            </w:tcBorders>
            <w:vAlign w:val="bottom"/>
            <w:hideMark/>
          </w:tcPr>
          <w:p w:rsidR="003E06EF" w:rsidRPr="003E335B" w:rsidRDefault="003E06EF"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Total equity</w:t>
            </w:r>
          </w:p>
        </w:tc>
      </w:tr>
      <w:tr w:rsidR="003E06EF" w:rsidRPr="003E335B" w:rsidTr="00C769AC">
        <w:tc>
          <w:tcPr>
            <w:tcW w:w="3870" w:type="dxa"/>
            <w:gridSpan w:val="2"/>
            <w:tcBorders>
              <w:top w:val="single" w:sz="18" w:space="0" w:color="auto"/>
            </w:tcBorders>
            <w:vAlign w:val="center"/>
            <w:hideMark/>
          </w:tcPr>
          <w:p w:rsidR="003E06EF" w:rsidRPr="003E335B" w:rsidRDefault="003E06EF"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As at January 1, 2010 (audited)</w:t>
            </w:r>
          </w:p>
        </w:tc>
        <w:tc>
          <w:tcPr>
            <w:tcW w:w="1363" w:type="dxa"/>
            <w:tcBorders>
              <w:top w:val="single" w:sz="18" w:space="0" w:color="auto"/>
            </w:tcBorders>
            <w:vAlign w:val="center"/>
            <w:hideMark/>
          </w:tcPr>
          <w:p w:rsidR="008733F0" w:rsidRDefault="003E06EF">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1,156</w:t>
            </w:r>
          </w:p>
        </w:tc>
        <w:tc>
          <w:tcPr>
            <w:tcW w:w="1363" w:type="dxa"/>
            <w:tcBorders>
              <w:top w:val="single" w:sz="18" w:space="0" w:color="auto"/>
            </w:tcBorders>
            <w:vAlign w:val="center"/>
            <w:hideMark/>
          </w:tcPr>
          <w:p w:rsidR="008733F0" w:rsidRDefault="003E06EF">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2,433</w:t>
            </w:r>
          </w:p>
        </w:tc>
        <w:tc>
          <w:tcPr>
            <w:tcW w:w="1364" w:type="dxa"/>
            <w:tcBorders>
              <w:top w:val="single" w:sz="18" w:space="0" w:color="auto"/>
            </w:tcBorders>
            <w:vAlign w:val="center"/>
            <w:hideMark/>
          </w:tcPr>
          <w:p w:rsidR="008733F0" w:rsidRDefault="003E06EF">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(377)</w:t>
            </w:r>
          </w:p>
        </w:tc>
        <w:tc>
          <w:tcPr>
            <w:tcW w:w="1363" w:type="dxa"/>
            <w:tcBorders>
              <w:top w:val="single" w:sz="18" w:space="0" w:color="auto"/>
            </w:tcBorders>
            <w:vAlign w:val="center"/>
            <w:hideMark/>
          </w:tcPr>
          <w:p w:rsidR="008733F0" w:rsidRDefault="003E06EF">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1,867</w:t>
            </w:r>
          </w:p>
        </w:tc>
        <w:tc>
          <w:tcPr>
            <w:tcW w:w="1364" w:type="dxa"/>
            <w:tcBorders>
              <w:top w:val="single" w:sz="18" w:space="0" w:color="auto"/>
            </w:tcBorders>
            <w:vAlign w:val="center"/>
            <w:hideMark/>
          </w:tcPr>
          <w:p w:rsidR="008733F0" w:rsidRDefault="003E06EF">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3,288</w:t>
            </w:r>
          </w:p>
        </w:tc>
        <w:tc>
          <w:tcPr>
            <w:tcW w:w="1363" w:type="dxa"/>
            <w:tcBorders>
              <w:top w:val="single" w:sz="18" w:space="0" w:color="auto"/>
            </w:tcBorders>
            <w:vAlign w:val="center"/>
            <w:hideMark/>
          </w:tcPr>
          <w:p w:rsidR="008733F0" w:rsidRDefault="003E06EF">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1,263</w:t>
            </w:r>
          </w:p>
        </w:tc>
        <w:tc>
          <w:tcPr>
            <w:tcW w:w="1364" w:type="dxa"/>
            <w:tcBorders>
              <w:top w:val="single" w:sz="18" w:space="0" w:color="auto"/>
            </w:tcBorders>
            <w:vAlign w:val="center"/>
            <w:hideMark/>
          </w:tcPr>
          <w:p w:rsidR="008733F0" w:rsidRDefault="003E06EF">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9,630</w:t>
            </w:r>
          </w:p>
        </w:tc>
      </w:tr>
      <w:tr w:rsidR="00847BCE" w:rsidRPr="003E335B" w:rsidTr="00C769AC">
        <w:tc>
          <w:tcPr>
            <w:tcW w:w="2610"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Net result</w:t>
            </w:r>
          </w:p>
        </w:tc>
        <w:tc>
          <w:tcPr>
            <w:tcW w:w="1260" w:type="dxa"/>
            <w:shd w:val="clear" w:color="auto" w:fill="B8CCE4" w:themeFill="accent1" w:themeFillTint="66"/>
          </w:tcPr>
          <w:p w:rsidR="00847BCE" w:rsidRPr="003E335B" w:rsidRDefault="00847BCE" w:rsidP="000D70EC">
            <w:pPr>
              <w:spacing w:after="100" w:line="240" w:lineRule="auto"/>
              <w:rPr>
                <w:rFonts w:asciiTheme="minorHAnsi" w:hAnsiTheme="minorHAnsi" w:cs="Arial"/>
                <w:sz w:val="20"/>
                <w:szCs w:val="20"/>
              </w:rPr>
            </w:pPr>
          </w:p>
        </w:tc>
        <w:tc>
          <w:tcPr>
            <w:tcW w:w="1363" w:type="dxa"/>
            <w:shd w:val="clear" w:color="auto" w:fill="B8CCE4" w:themeFill="accent1" w:themeFillTint="66"/>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1363" w:type="dxa"/>
            <w:shd w:val="clear" w:color="auto" w:fill="B8CCE4" w:themeFill="accent1" w:themeFillTint="66"/>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1364" w:type="dxa"/>
            <w:shd w:val="clear" w:color="auto" w:fill="B8CCE4" w:themeFill="accent1" w:themeFillTint="66"/>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1363" w:type="dxa"/>
            <w:shd w:val="clear" w:color="auto" w:fill="B8CCE4" w:themeFill="accent1" w:themeFillTint="66"/>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1364" w:type="dxa"/>
            <w:shd w:val="clear" w:color="auto" w:fill="B8CCE4" w:themeFill="accent1" w:themeFillTint="66"/>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w:t>
            </w:r>
            <w:r w:rsidR="00942F3E" w:rsidRPr="003E335B">
              <w:rPr>
                <w:rFonts w:asciiTheme="minorHAnsi" w:hAnsiTheme="minorHAnsi" w:cs="Arial"/>
                <w:sz w:val="20"/>
                <w:szCs w:val="20"/>
              </w:rPr>
              <w:t>49</w:t>
            </w:r>
          </w:p>
        </w:tc>
        <w:tc>
          <w:tcPr>
            <w:tcW w:w="1363" w:type="dxa"/>
            <w:shd w:val="clear" w:color="auto" w:fill="B8CCE4" w:themeFill="accent1" w:themeFillTint="66"/>
            <w:vAlign w:val="center"/>
          </w:tcPr>
          <w:p w:rsidR="00847BCE" w:rsidRPr="003E335B" w:rsidRDefault="00942F3E"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(135</w:t>
            </w:r>
            <w:r w:rsidR="00FD7114" w:rsidRPr="003E335B">
              <w:rPr>
                <w:rFonts w:asciiTheme="minorHAnsi" w:hAnsiTheme="minorHAnsi" w:cs="Arial"/>
                <w:sz w:val="20"/>
                <w:szCs w:val="20"/>
              </w:rPr>
              <w:t>)</w:t>
            </w:r>
          </w:p>
        </w:tc>
        <w:tc>
          <w:tcPr>
            <w:tcW w:w="1364" w:type="dxa"/>
            <w:shd w:val="clear" w:color="auto" w:fill="B8CCE4" w:themeFill="accent1" w:themeFillTint="66"/>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w:t>
            </w:r>
            <w:r w:rsidR="00A7706C" w:rsidRPr="003E335B">
              <w:rPr>
                <w:rFonts w:asciiTheme="minorHAnsi" w:hAnsiTheme="minorHAnsi" w:cs="Arial"/>
                <w:sz w:val="20"/>
                <w:szCs w:val="20"/>
              </w:rPr>
              <w:t>14</w:t>
            </w:r>
          </w:p>
        </w:tc>
      </w:tr>
      <w:tr w:rsidR="00847BCE" w:rsidRPr="003E335B" w:rsidTr="00C769AC">
        <w:tc>
          <w:tcPr>
            <w:tcW w:w="2610" w:type="dxa"/>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Other comprehensive income, net of tax</w:t>
            </w:r>
          </w:p>
        </w:tc>
        <w:tc>
          <w:tcPr>
            <w:tcW w:w="1260" w:type="dxa"/>
            <w:vAlign w:val="center"/>
          </w:tcPr>
          <w:p w:rsidR="00847BCE" w:rsidRPr="003E335B" w:rsidRDefault="00847BCE" w:rsidP="000D70EC">
            <w:pPr>
              <w:spacing w:after="100" w:line="240" w:lineRule="auto"/>
              <w:jc w:val="center"/>
              <w:rPr>
                <w:rFonts w:asciiTheme="minorHAnsi" w:hAnsiTheme="minorHAnsi" w:cs="Arial"/>
                <w:sz w:val="20"/>
                <w:szCs w:val="20"/>
              </w:rPr>
            </w:pPr>
          </w:p>
        </w:tc>
        <w:tc>
          <w:tcPr>
            <w:tcW w:w="1363" w:type="dxa"/>
            <w:tcBorders>
              <w:bottom w:val="single" w:sz="18" w:space="0" w:color="auto"/>
            </w:tcBorders>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1363" w:type="dxa"/>
            <w:tcBorders>
              <w:bottom w:val="single" w:sz="18" w:space="0" w:color="auto"/>
            </w:tcBorders>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1364" w:type="dxa"/>
            <w:tcBorders>
              <w:bottom w:val="single" w:sz="18" w:space="0" w:color="auto"/>
            </w:tcBorders>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1363" w:type="dxa"/>
            <w:tcBorders>
              <w:bottom w:val="single" w:sz="18" w:space="0" w:color="auto"/>
            </w:tcBorders>
            <w:vAlign w:val="center"/>
          </w:tcPr>
          <w:p w:rsidR="00847BCE" w:rsidRPr="003E335B" w:rsidRDefault="00F7101A"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(47</w:t>
            </w:r>
            <w:r w:rsidR="003752F9" w:rsidRPr="003E335B">
              <w:rPr>
                <w:rFonts w:asciiTheme="minorHAnsi" w:hAnsiTheme="minorHAnsi" w:cs="Arial"/>
                <w:sz w:val="20"/>
                <w:szCs w:val="20"/>
              </w:rPr>
              <w:t>4</w:t>
            </w:r>
            <w:r w:rsidRPr="003E335B">
              <w:rPr>
                <w:rFonts w:asciiTheme="minorHAnsi" w:hAnsiTheme="minorHAnsi" w:cs="Arial"/>
                <w:sz w:val="20"/>
                <w:szCs w:val="20"/>
              </w:rPr>
              <w:t>)</w:t>
            </w:r>
          </w:p>
        </w:tc>
        <w:tc>
          <w:tcPr>
            <w:tcW w:w="1364" w:type="dxa"/>
            <w:tcBorders>
              <w:bottom w:val="single" w:sz="18" w:space="0" w:color="auto"/>
            </w:tcBorders>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1363" w:type="dxa"/>
            <w:tcBorders>
              <w:bottom w:val="single" w:sz="18" w:space="0" w:color="auto"/>
            </w:tcBorders>
            <w:vAlign w:val="center"/>
          </w:tcPr>
          <w:p w:rsidR="00847BCE" w:rsidRPr="003E335B" w:rsidRDefault="00F7101A"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(30</w:t>
            </w:r>
            <w:r w:rsidR="00FD7114" w:rsidRPr="003E335B">
              <w:rPr>
                <w:rFonts w:asciiTheme="minorHAnsi" w:hAnsiTheme="minorHAnsi" w:cs="Arial"/>
                <w:sz w:val="20"/>
                <w:szCs w:val="20"/>
              </w:rPr>
              <w:t>)</w:t>
            </w:r>
          </w:p>
        </w:tc>
        <w:tc>
          <w:tcPr>
            <w:tcW w:w="1364" w:type="dxa"/>
            <w:tcBorders>
              <w:bottom w:val="single" w:sz="18" w:space="0" w:color="auto"/>
            </w:tcBorders>
            <w:vAlign w:val="center"/>
          </w:tcPr>
          <w:p w:rsidR="00847BCE" w:rsidRPr="003E335B" w:rsidRDefault="009A17DD"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(504</w:t>
            </w:r>
            <w:r w:rsidR="00F7101A" w:rsidRPr="003E335B">
              <w:rPr>
                <w:rFonts w:asciiTheme="minorHAnsi" w:hAnsiTheme="minorHAnsi" w:cs="Arial"/>
                <w:sz w:val="20"/>
                <w:szCs w:val="20"/>
              </w:rPr>
              <w:t>)</w:t>
            </w:r>
          </w:p>
        </w:tc>
      </w:tr>
      <w:tr w:rsidR="00847BCE" w:rsidRPr="003E335B" w:rsidTr="00C769AC">
        <w:tc>
          <w:tcPr>
            <w:tcW w:w="2610"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Total comprehensive income</w:t>
            </w:r>
          </w:p>
        </w:tc>
        <w:tc>
          <w:tcPr>
            <w:tcW w:w="1260" w:type="dxa"/>
            <w:shd w:val="clear" w:color="auto" w:fill="B8CCE4" w:themeFill="accent1" w:themeFillTint="66"/>
          </w:tcPr>
          <w:p w:rsidR="00847BCE" w:rsidRPr="003E335B" w:rsidRDefault="00847BCE" w:rsidP="000D70EC">
            <w:pPr>
              <w:spacing w:after="100" w:line="240" w:lineRule="auto"/>
              <w:rPr>
                <w:rFonts w:asciiTheme="minorHAnsi" w:hAnsiTheme="minorHAnsi" w:cs="Arial"/>
                <w:b/>
                <w:sz w:val="20"/>
                <w:szCs w:val="20"/>
              </w:rPr>
            </w:pPr>
          </w:p>
        </w:tc>
        <w:tc>
          <w:tcPr>
            <w:tcW w:w="1363" w:type="dxa"/>
            <w:tcBorders>
              <w:top w:val="single" w:sz="18" w:space="0" w:color="auto"/>
            </w:tcBorders>
            <w:shd w:val="clear" w:color="auto" w:fill="B8CCE4" w:themeFill="accent1" w:themeFillTint="66"/>
            <w:vAlign w:val="center"/>
          </w:tcPr>
          <w:p w:rsidR="00847BCE" w:rsidRPr="003E335B" w:rsidRDefault="00FD7114"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w:t>
            </w:r>
          </w:p>
        </w:tc>
        <w:tc>
          <w:tcPr>
            <w:tcW w:w="1363" w:type="dxa"/>
            <w:tcBorders>
              <w:top w:val="single" w:sz="18" w:space="0" w:color="auto"/>
            </w:tcBorders>
            <w:shd w:val="clear" w:color="auto" w:fill="B8CCE4" w:themeFill="accent1" w:themeFillTint="66"/>
            <w:vAlign w:val="center"/>
          </w:tcPr>
          <w:p w:rsidR="00847BCE" w:rsidRPr="003E335B" w:rsidRDefault="00FD7114"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w:t>
            </w:r>
          </w:p>
        </w:tc>
        <w:tc>
          <w:tcPr>
            <w:tcW w:w="1364" w:type="dxa"/>
            <w:tcBorders>
              <w:top w:val="single" w:sz="18" w:space="0" w:color="auto"/>
            </w:tcBorders>
            <w:shd w:val="clear" w:color="auto" w:fill="B8CCE4" w:themeFill="accent1" w:themeFillTint="66"/>
            <w:vAlign w:val="center"/>
          </w:tcPr>
          <w:p w:rsidR="00847BCE" w:rsidRPr="003E335B" w:rsidRDefault="00FD7114"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w:t>
            </w:r>
          </w:p>
        </w:tc>
        <w:tc>
          <w:tcPr>
            <w:tcW w:w="1363" w:type="dxa"/>
            <w:tcBorders>
              <w:top w:val="single" w:sz="18" w:space="0" w:color="auto"/>
            </w:tcBorders>
            <w:shd w:val="clear" w:color="auto" w:fill="B8CCE4" w:themeFill="accent1" w:themeFillTint="66"/>
            <w:vAlign w:val="center"/>
          </w:tcPr>
          <w:p w:rsidR="00847BCE" w:rsidRPr="003E335B" w:rsidRDefault="001D29F8"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(47</w:t>
            </w:r>
            <w:r w:rsidR="003752F9" w:rsidRPr="003E335B">
              <w:rPr>
                <w:rFonts w:asciiTheme="minorHAnsi" w:hAnsiTheme="minorHAnsi" w:cs="Arial"/>
                <w:b/>
                <w:sz w:val="20"/>
                <w:szCs w:val="20"/>
              </w:rPr>
              <w:t>4</w:t>
            </w:r>
            <w:r w:rsidR="00FD7114" w:rsidRPr="003E335B">
              <w:rPr>
                <w:rFonts w:asciiTheme="minorHAnsi" w:hAnsiTheme="minorHAnsi" w:cs="Arial"/>
                <w:b/>
                <w:sz w:val="20"/>
                <w:szCs w:val="20"/>
              </w:rPr>
              <w:t>)</w:t>
            </w:r>
          </w:p>
        </w:tc>
        <w:tc>
          <w:tcPr>
            <w:tcW w:w="1364" w:type="dxa"/>
            <w:tcBorders>
              <w:top w:val="single" w:sz="18" w:space="0" w:color="auto"/>
            </w:tcBorders>
            <w:shd w:val="clear" w:color="auto" w:fill="B8CCE4" w:themeFill="accent1" w:themeFillTint="66"/>
            <w:vAlign w:val="center"/>
          </w:tcPr>
          <w:p w:rsidR="00847BCE" w:rsidRPr="003E335B" w:rsidRDefault="00942F3E"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349</w:t>
            </w:r>
          </w:p>
        </w:tc>
        <w:tc>
          <w:tcPr>
            <w:tcW w:w="1363" w:type="dxa"/>
            <w:tcBorders>
              <w:top w:val="single" w:sz="18" w:space="0" w:color="auto"/>
            </w:tcBorders>
            <w:shd w:val="clear" w:color="auto" w:fill="B8CCE4" w:themeFill="accent1" w:themeFillTint="66"/>
            <w:vAlign w:val="center"/>
          </w:tcPr>
          <w:p w:rsidR="00847BCE" w:rsidRPr="003E335B" w:rsidRDefault="00FD7114"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w:t>
            </w:r>
            <w:r w:rsidR="00942F3E" w:rsidRPr="003E335B">
              <w:rPr>
                <w:rFonts w:asciiTheme="minorHAnsi" w:hAnsiTheme="minorHAnsi" w:cs="Arial"/>
                <w:b/>
                <w:sz w:val="20"/>
                <w:szCs w:val="20"/>
              </w:rPr>
              <w:t>65</w:t>
            </w:r>
            <w:r w:rsidRPr="003E335B">
              <w:rPr>
                <w:rFonts w:asciiTheme="minorHAnsi" w:hAnsiTheme="minorHAnsi" w:cs="Arial"/>
                <w:b/>
                <w:sz w:val="20"/>
                <w:szCs w:val="20"/>
              </w:rPr>
              <w:t>)</w:t>
            </w:r>
          </w:p>
        </w:tc>
        <w:tc>
          <w:tcPr>
            <w:tcW w:w="1364" w:type="dxa"/>
            <w:tcBorders>
              <w:top w:val="single" w:sz="18" w:space="0" w:color="auto"/>
            </w:tcBorders>
            <w:shd w:val="clear" w:color="auto" w:fill="B8CCE4" w:themeFill="accent1" w:themeFillTint="66"/>
            <w:vAlign w:val="center"/>
          </w:tcPr>
          <w:p w:rsidR="00847BCE" w:rsidRPr="003E335B" w:rsidRDefault="0087493F"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(2</w:t>
            </w:r>
            <w:r w:rsidR="00A7706C" w:rsidRPr="003E335B">
              <w:rPr>
                <w:rFonts w:asciiTheme="minorHAnsi" w:hAnsiTheme="minorHAnsi" w:cs="Arial"/>
                <w:b/>
                <w:sz w:val="20"/>
                <w:szCs w:val="20"/>
              </w:rPr>
              <w:t>90</w:t>
            </w:r>
            <w:r w:rsidR="00FD7114" w:rsidRPr="003E335B">
              <w:rPr>
                <w:rFonts w:asciiTheme="minorHAnsi" w:hAnsiTheme="minorHAnsi" w:cs="Arial"/>
                <w:b/>
                <w:sz w:val="20"/>
                <w:szCs w:val="20"/>
              </w:rPr>
              <w:t>)</w:t>
            </w:r>
          </w:p>
        </w:tc>
      </w:tr>
      <w:tr w:rsidR="00847BCE" w:rsidRPr="003E335B" w:rsidTr="00C769AC">
        <w:tc>
          <w:tcPr>
            <w:tcW w:w="2610" w:type="dxa"/>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Employee share award scheme, net of tax</w:t>
            </w:r>
          </w:p>
        </w:tc>
        <w:tc>
          <w:tcPr>
            <w:tcW w:w="1260" w:type="dxa"/>
          </w:tcPr>
          <w:p w:rsidR="00847BCE" w:rsidRPr="003E335B" w:rsidRDefault="00847BCE" w:rsidP="000D70EC">
            <w:pPr>
              <w:spacing w:after="100" w:line="240" w:lineRule="auto"/>
              <w:jc w:val="center"/>
              <w:rPr>
                <w:rFonts w:asciiTheme="minorHAnsi" w:hAnsiTheme="minorHAnsi" w:cs="Arial"/>
                <w:sz w:val="20"/>
                <w:szCs w:val="20"/>
              </w:rPr>
            </w:pPr>
          </w:p>
        </w:tc>
        <w:tc>
          <w:tcPr>
            <w:tcW w:w="1363" w:type="dxa"/>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1363" w:type="dxa"/>
            <w:vAlign w:val="center"/>
          </w:tcPr>
          <w:p w:rsidR="00847BCE" w:rsidRPr="003E335B" w:rsidRDefault="001D29F8"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1364" w:type="dxa"/>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69</w:t>
            </w:r>
          </w:p>
        </w:tc>
        <w:tc>
          <w:tcPr>
            <w:tcW w:w="1363" w:type="dxa"/>
            <w:vAlign w:val="center"/>
          </w:tcPr>
          <w:p w:rsidR="00847BCE" w:rsidRPr="003E335B" w:rsidRDefault="00343C73"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w:t>
            </w:r>
            <w:r w:rsidR="003752F9" w:rsidRPr="003E335B">
              <w:rPr>
                <w:rFonts w:asciiTheme="minorHAnsi" w:hAnsiTheme="minorHAnsi" w:cs="Arial"/>
                <w:sz w:val="20"/>
                <w:szCs w:val="20"/>
              </w:rPr>
              <w:t>7</w:t>
            </w:r>
          </w:p>
        </w:tc>
        <w:tc>
          <w:tcPr>
            <w:tcW w:w="1364" w:type="dxa"/>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(69)</w:t>
            </w:r>
          </w:p>
        </w:tc>
        <w:tc>
          <w:tcPr>
            <w:tcW w:w="1363" w:type="dxa"/>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1364" w:type="dxa"/>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w:t>
            </w:r>
            <w:r w:rsidR="009A17DD" w:rsidRPr="003E335B">
              <w:rPr>
                <w:rFonts w:asciiTheme="minorHAnsi" w:hAnsiTheme="minorHAnsi" w:cs="Arial"/>
                <w:sz w:val="20"/>
                <w:szCs w:val="20"/>
              </w:rPr>
              <w:t>7</w:t>
            </w:r>
          </w:p>
        </w:tc>
      </w:tr>
      <w:tr w:rsidR="00847BCE" w:rsidRPr="003E335B" w:rsidTr="00C769AC">
        <w:tc>
          <w:tcPr>
            <w:tcW w:w="2610"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 xml:space="preserve">Share conversion option of 2016 </w:t>
            </w:r>
            <w:r w:rsidR="00793ED4" w:rsidRPr="003E335B">
              <w:rPr>
                <w:rFonts w:asciiTheme="minorHAnsi" w:hAnsiTheme="minorHAnsi" w:cs="Arial"/>
                <w:sz w:val="20"/>
                <w:szCs w:val="20"/>
              </w:rPr>
              <w:t>C</w:t>
            </w:r>
            <w:r w:rsidRPr="003E335B">
              <w:rPr>
                <w:rFonts w:asciiTheme="minorHAnsi" w:hAnsiTheme="minorHAnsi" w:cs="Arial"/>
                <w:sz w:val="20"/>
                <w:szCs w:val="20"/>
              </w:rPr>
              <w:t xml:space="preserve">onvertible </w:t>
            </w:r>
            <w:r w:rsidR="00793ED4" w:rsidRPr="003E335B">
              <w:rPr>
                <w:rFonts w:asciiTheme="minorHAnsi" w:hAnsiTheme="minorHAnsi" w:cs="Arial"/>
                <w:sz w:val="20"/>
                <w:szCs w:val="20"/>
              </w:rPr>
              <w:t>B</w:t>
            </w:r>
            <w:r w:rsidRPr="003E335B">
              <w:rPr>
                <w:rFonts w:asciiTheme="minorHAnsi" w:hAnsiTheme="minorHAnsi" w:cs="Arial"/>
                <w:sz w:val="20"/>
                <w:szCs w:val="20"/>
              </w:rPr>
              <w:t>ond</w:t>
            </w:r>
            <w:r w:rsidR="00793ED4" w:rsidRPr="003E335B">
              <w:rPr>
                <w:rFonts w:asciiTheme="minorHAnsi" w:hAnsiTheme="minorHAnsi" w:cs="Arial"/>
                <w:sz w:val="20"/>
                <w:szCs w:val="20"/>
              </w:rPr>
              <w:t>s</w:t>
            </w:r>
          </w:p>
        </w:tc>
        <w:tc>
          <w:tcPr>
            <w:tcW w:w="1260" w:type="dxa"/>
            <w:shd w:val="clear" w:color="auto" w:fill="B8CCE4" w:themeFill="accent1" w:themeFillTint="66"/>
          </w:tcPr>
          <w:p w:rsidR="00847BCE" w:rsidRPr="003E335B" w:rsidRDefault="00847BCE" w:rsidP="000D70EC">
            <w:pPr>
              <w:spacing w:after="100" w:line="240" w:lineRule="auto"/>
              <w:jc w:val="center"/>
              <w:rPr>
                <w:rFonts w:asciiTheme="minorHAnsi" w:hAnsiTheme="minorHAnsi" w:cs="Arial"/>
                <w:sz w:val="20"/>
                <w:szCs w:val="20"/>
              </w:rPr>
            </w:pPr>
          </w:p>
        </w:tc>
        <w:tc>
          <w:tcPr>
            <w:tcW w:w="1363" w:type="dxa"/>
            <w:shd w:val="clear" w:color="auto" w:fill="B8CCE4" w:themeFill="accent1" w:themeFillTint="66"/>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1363" w:type="dxa"/>
            <w:shd w:val="clear" w:color="auto" w:fill="B8CCE4" w:themeFill="accent1" w:themeFillTint="66"/>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1364" w:type="dxa"/>
            <w:shd w:val="clear" w:color="auto" w:fill="B8CCE4" w:themeFill="accent1" w:themeFillTint="66"/>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1363" w:type="dxa"/>
            <w:shd w:val="clear" w:color="auto" w:fill="B8CCE4" w:themeFill="accent1" w:themeFillTint="66"/>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(31)</w:t>
            </w:r>
          </w:p>
        </w:tc>
        <w:tc>
          <w:tcPr>
            <w:tcW w:w="1364" w:type="dxa"/>
            <w:shd w:val="clear" w:color="auto" w:fill="B8CCE4" w:themeFill="accent1" w:themeFillTint="66"/>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1363" w:type="dxa"/>
            <w:shd w:val="clear" w:color="auto" w:fill="B8CCE4" w:themeFill="accent1" w:themeFillTint="66"/>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1364" w:type="dxa"/>
            <w:shd w:val="clear" w:color="auto" w:fill="B8CCE4" w:themeFill="accent1" w:themeFillTint="66"/>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(31)</w:t>
            </w:r>
          </w:p>
        </w:tc>
      </w:tr>
      <w:tr w:rsidR="00847BCE" w:rsidRPr="003E335B" w:rsidTr="00C769AC">
        <w:tc>
          <w:tcPr>
            <w:tcW w:w="2610" w:type="dxa"/>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Dividends</w:t>
            </w:r>
          </w:p>
        </w:tc>
        <w:tc>
          <w:tcPr>
            <w:tcW w:w="1260" w:type="dxa"/>
          </w:tcPr>
          <w:p w:rsidR="00847BCE" w:rsidRPr="003E335B" w:rsidRDefault="00847BCE" w:rsidP="000D70EC">
            <w:pPr>
              <w:spacing w:after="100" w:line="240" w:lineRule="auto"/>
              <w:jc w:val="center"/>
              <w:rPr>
                <w:rFonts w:asciiTheme="minorHAnsi" w:hAnsiTheme="minorHAnsi" w:cs="Arial"/>
                <w:sz w:val="20"/>
                <w:szCs w:val="20"/>
              </w:rPr>
            </w:pPr>
          </w:p>
        </w:tc>
        <w:tc>
          <w:tcPr>
            <w:tcW w:w="1363" w:type="dxa"/>
            <w:tcBorders>
              <w:bottom w:val="single" w:sz="18" w:space="0" w:color="auto"/>
            </w:tcBorders>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1363" w:type="dxa"/>
            <w:tcBorders>
              <w:bottom w:val="single" w:sz="18" w:space="0" w:color="auto"/>
            </w:tcBorders>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1364" w:type="dxa"/>
            <w:tcBorders>
              <w:bottom w:val="single" w:sz="18" w:space="0" w:color="auto"/>
            </w:tcBorders>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1363" w:type="dxa"/>
            <w:tcBorders>
              <w:bottom w:val="single" w:sz="18" w:space="0" w:color="auto"/>
            </w:tcBorders>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1364" w:type="dxa"/>
            <w:tcBorders>
              <w:bottom w:val="single" w:sz="18" w:space="0" w:color="auto"/>
            </w:tcBorders>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(247)</w:t>
            </w:r>
          </w:p>
        </w:tc>
        <w:tc>
          <w:tcPr>
            <w:tcW w:w="1363" w:type="dxa"/>
            <w:tcBorders>
              <w:bottom w:val="single" w:sz="18" w:space="0" w:color="auto"/>
            </w:tcBorders>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1364" w:type="dxa"/>
            <w:tcBorders>
              <w:bottom w:val="single" w:sz="18" w:space="0" w:color="auto"/>
            </w:tcBorders>
            <w:vAlign w:val="center"/>
          </w:tcPr>
          <w:p w:rsidR="00847BCE" w:rsidRPr="003E335B" w:rsidRDefault="00FD711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(247)</w:t>
            </w:r>
          </w:p>
        </w:tc>
      </w:tr>
      <w:tr w:rsidR="003E06EF" w:rsidRPr="003E335B" w:rsidTr="00C769AC">
        <w:tc>
          <w:tcPr>
            <w:tcW w:w="3870" w:type="dxa"/>
            <w:gridSpan w:val="2"/>
            <w:tcBorders>
              <w:bottom w:val="single" w:sz="18" w:space="0" w:color="auto"/>
            </w:tcBorders>
            <w:shd w:val="clear" w:color="auto" w:fill="B8CCE4" w:themeFill="accent1" w:themeFillTint="66"/>
            <w:hideMark/>
          </w:tcPr>
          <w:p w:rsidR="003E06EF" w:rsidRPr="003E335B" w:rsidRDefault="003E06EF"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At June 26, 2010 (unaudited)</w:t>
            </w:r>
          </w:p>
        </w:tc>
        <w:tc>
          <w:tcPr>
            <w:tcW w:w="1363" w:type="dxa"/>
            <w:tcBorders>
              <w:top w:val="single" w:sz="18" w:space="0" w:color="auto"/>
              <w:bottom w:val="single" w:sz="18" w:space="0" w:color="auto"/>
            </w:tcBorders>
            <w:shd w:val="clear" w:color="auto" w:fill="B8CCE4" w:themeFill="accent1" w:themeFillTint="66"/>
            <w:vAlign w:val="center"/>
          </w:tcPr>
          <w:p w:rsidR="003E06EF" w:rsidRPr="003E335B" w:rsidRDefault="003E06EF"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1,156</w:t>
            </w:r>
          </w:p>
        </w:tc>
        <w:tc>
          <w:tcPr>
            <w:tcW w:w="1363" w:type="dxa"/>
            <w:tcBorders>
              <w:top w:val="single" w:sz="18" w:space="0" w:color="auto"/>
              <w:bottom w:val="single" w:sz="18" w:space="0" w:color="auto"/>
            </w:tcBorders>
            <w:shd w:val="clear" w:color="auto" w:fill="B8CCE4" w:themeFill="accent1" w:themeFillTint="66"/>
            <w:vAlign w:val="center"/>
          </w:tcPr>
          <w:p w:rsidR="003E06EF" w:rsidRPr="003E335B" w:rsidRDefault="003E06EF"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2,433</w:t>
            </w:r>
          </w:p>
        </w:tc>
        <w:tc>
          <w:tcPr>
            <w:tcW w:w="1364" w:type="dxa"/>
            <w:tcBorders>
              <w:top w:val="single" w:sz="18" w:space="0" w:color="auto"/>
              <w:bottom w:val="single" w:sz="18" w:space="0" w:color="auto"/>
            </w:tcBorders>
            <w:shd w:val="clear" w:color="auto" w:fill="B8CCE4" w:themeFill="accent1" w:themeFillTint="66"/>
            <w:vAlign w:val="center"/>
          </w:tcPr>
          <w:p w:rsidR="003E06EF" w:rsidRPr="003E335B" w:rsidRDefault="003E06EF"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(308)</w:t>
            </w:r>
          </w:p>
        </w:tc>
        <w:tc>
          <w:tcPr>
            <w:tcW w:w="1363" w:type="dxa"/>
            <w:tcBorders>
              <w:top w:val="single" w:sz="18" w:space="0" w:color="auto"/>
              <w:bottom w:val="single" w:sz="18" w:space="0" w:color="auto"/>
            </w:tcBorders>
            <w:shd w:val="clear" w:color="auto" w:fill="B8CCE4" w:themeFill="accent1" w:themeFillTint="66"/>
            <w:vAlign w:val="center"/>
          </w:tcPr>
          <w:p w:rsidR="003E06EF" w:rsidRPr="003E335B" w:rsidRDefault="003E06EF"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1,379</w:t>
            </w:r>
          </w:p>
        </w:tc>
        <w:tc>
          <w:tcPr>
            <w:tcW w:w="1364" w:type="dxa"/>
            <w:tcBorders>
              <w:top w:val="single" w:sz="18" w:space="0" w:color="auto"/>
              <w:bottom w:val="single" w:sz="18" w:space="0" w:color="auto"/>
            </w:tcBorders>
            <w:shd w:val="clear" w:color="auto" w:fill="B8CCE4" w:themeFill="accent1" w:themeFillTint="66"/>
            <w:vAlign w:val="center"/>
          </w:tcPr>
          <w:p w:rsidR="003E06EF" w:rsidRPr="003E335B" w:rsidRDefault="003E06EF"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3,321</w:t>
            </w:r>
          </w:p>
        </w:tc>
        <w:tc>
          <w:tcPr>
            <w:tcW w:w="1363" w:type="dxa"/>
            <w:tcBorders>
              <w:top w:val="single" w:sz="18" w:space="0" w:color="auto"/>
              <w:bottom w:val="single" w:sz="18" w:space="0" w:color="auto"/>
            </w:tcBorders>
            <w:shd w:val="clear" w:color="auto" w:fill="B8CCE4" w:themeFill="accent1" w:themeFillTint="66"/>
            <w:vAlign w:val="center"/>
          </w:tcPr>
          <w:p w:rsidR="003E06EF" w:rsidRPr="003E335B" w:rsidRDefault="003E06EF"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1,098</w:t>
            </w:r>
          </w:p>
        </w:tc>
        <w:tc>
          <w:tcPr>
            <w:tcW w:w="1364" w:type="dxa"/>
            <w:tcBorders>
              <w:top w:val="single" w:sz="18" w:space="0" w:color="auto"/>
              <w:bottom w:val="single" w:sz="18" w:space="0" w:color="auto"/>
            </w:tcBorders>
            <w:shd w:val="clear" w:color="auto" w:fill="B8CCE4" w:themeFill="accent1" w:themeFillTint="66"/>
            <w:vAlign w:val="center"/>
          </w:tcPr>
          <w:p w:rsidR="003E06EF" w:rsidRPr="003E335B" w:rsidRDefault="003E06EF"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9,079</w:t>
            </w:r>
          </w:p>
        </w:tc>
      </w:tr>
    </w:tbl>
    <w:p w:rsidR="00E101FC" w:rsidRPr="003E335B" w:rsidRDefault="00211E4C" w:rsidP="000D70EC">
      <w:pPr>
        <w:spacing w:after="100" w:line="240" w:lineRule="auto"/>
        <w:ind w:firstLine="720"/>
        <w:rPr>
          <w:rFonts w:asciiTheme="minorHAnsi" w:hAnsiTheme="minorHAnsi" w:cs="Arial"/>
          <w:sz w:val="20"/>
          <w:szCs w:val="20"/>
        </w:rPr>
      </w:pPr>
      <w:bookmarkStart w:id="43" w:name="_Toc265058914"/>
      <w:bookmarkStart w:id="44" w:name="_Toc258421326"/>
      <w:bookmarkStart w:id="45" w:name="_Toc257898966"/>
      <w:r w:rsidRPr="003E335B">
        <w:rPr>
          <w:rFonts w:asciiTheme="minorHAnsi" w:hAnsiTheme="minorHAnsi" w:cs="Arial"/>
          <w:sz w:val="20"/>
          <w:szCs w:val="20"/>
        </w:rPr>
        <w:t xml:space="preserve">The accompanying notes are an integral part of these </w:t>
      </w:r>
      <w:r w:rsidR="005E1E77">
        <w:rPr>
          <w:rFonts w:asciiTheme="minorHAnsi" w:hAnsiTheme="minorHAnsi" w:cs="Arial"/>
          <w:sz w:val="20"/>
          <w:szCs w:val="20"/>
        </w:rPr>
        <w:t>Semi-Annual</w:t>
      </w:r>
      <w:r w:rsidRPr="003E335B">
        <w:rPr>
          <w:rFonts w:asciiTheme="minorHAnsi" w:hAnsiTheme="minorHAnsi" w:cs="Arial"/>
          <w:sz w:val="20"/>
          <w:szCs w:val="20"/>
        </w:rPr>
        <w:t xml:space="preserve"> </w:t>
      </w:r>
      <w:r w:rsidR="005E1E77">
        <w:rPr>
          <w:rFonts w:asciiTheme="minorHAnsi" w:hAnsiTheme="minorHAnsi" w:cs="Arial"/>
          <w:sz w:val="20"/>
          <w:szCs w:val="20"/>
        </w:rPr>
        <w:t>Financial Statements</w:t>
      </w:r>
    </w:p>
    <w:p w:rsidR="00E101FC" w:rsidRPr="003E335B" w:rsidRDefault="00E101FC" w:rsidP="000D70EC">
      <w:pPr>
        <w:spacing w:after="100" w:line="240" w:lineRule="auto"/>
        <w:rPr>
          <w:rFonts w:asciiTheme="minorHAnsi" w:hAnsiTheme="minorHAnsi" w:cs="Arial"/>
          <w:sz w:val="20"/>
          <w:szCs w:val="20"/>
        </w:rPr>
      </w:pPr>
    </w:p>
    <w:p w:rsidR="00930447" w:rsidRPr="003E335B" w:rsidRDefault="00930447" w:rsidP="000D70EC">
      <w:pPr>
        <w:pStyle w:val="Title2"/>
        <w:spacing w:before="0" w:after="100" w:line="240" w:lineRule="auto"/>
        <w:rPr>
          <w:rFonts w:asciiTheme="minorHAnsi" w:hAnsiTheme="minorHAnsi"/>
          <w:sz w:val="20"/>
          <w:szCs w:val="20"/>
        </w:rPr>
        <w:sectPr w:rsidR="00930447" w:rsidRPr="003E335B" w:rsidSect="007D1EF2">
          <w:headerReference w:type="default" r:id="rId14"/>
          <w:footerReference w:type="default" r:id="rId15"/>
          <w:pgSz w:w="15840" w:h="12240" w:orient="landscape"/>
          <w:pgMar w:top="1185" w:right="1530" w:bottom="1185" w:left="284" w:header="284" w:footer="284" w:gutter="0"/>
          <w:cols w:space="708"/>
          <w:docGrid w:linePitch="360"/>
        </w:sectPr>
      </w:pPr>
    </w:p>
    <w:p w:rsidR="00847BCE" w:rsidRPr="003E335B" w:rsidRDefault="00847BCE" w:rsidP="000D70EC">
      <w:pPr>
        <w:pStyle w:val="Title2"/>
        <w:spacing w:before="0" w:after="100" w:line="240" w:lineRule="auto"/>
        <w:rPr>
          <w:rFonts w:asciiTheme="minorHAnsi" w:hAnsiTheme="minorHAnsi"/>
          <w:sz w:val="20"/>
          <w:szCs w:val="20"/>
        </w:rPr>
      </w:pPr>
      <w:bookmarkStart w:id="46" w:name="_Toc297204169"/>
      <w:bookmarkStart w:id="47" w:name="_Toc300834229"/>
      <w:r w:rsidRPr="003E335B">
        <w:rPr>
          <w:rFonts w:asciiTheme="minorHAnsi" w:hAnsiTheme="minorHAnsi"/>
          <w:sz w:val="20"/>
          <w:szCs w:val="20"/>
        </w:rPr>
        <w:lastRenderedPageBreak/>
        <w:t>Consolidated statement of cash flows</w:t>
      </w:r>
      <w:bookmarkEnd w:id="43"/>
      <w:bookmarkEnd w:id="44"/>
      <w:bookmarkEnd w:id="45"/>
      <w:bookmarkEnd w:id="46"/>
      <w:bookmarkEnd w:id="47"/>
    </w:p>
    <w:tbl>
      <w:tblPr>
        <w:tblW w:w="10098" w:type="dxa"/>
        <w:tblLook w:val="04A0"/>
      </w:tblPr>
      <w:tblGrid>
        <w:gridCol w:w="5006"/>
        <w:gridCol w:w="2212"/>
        <w:gridCol w:w="1440"/>
        <w:gridCol w:w="1440"/>
      </w:tblGrid>
      <w:tr w:rsidR="00847BCE" w:rsidRPr="003E335B" w:rsidTr="00C769AC">
        <w:trPr>
          <w:trHeight w:val="255"/>
        </w:trPr>
        <w:tc>
          <w:tcPr>
            <w:tcW w:w="5006" w:type="dxa"/>
            <w:vMerge w:val="restart"/>
            <w:vAlign w:val="bottom"/>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2212" w:type="dxa"/>
            <w:vMerge w:val="restart"/>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Note</w:t>
            </w:r>
          </w:p>
        </w:tc>
        <w:tc>
          <w:tcPr>
            <w:tcW w:w="2880" w:type="dxa"/>
            <w:gridSpan w:val="2"/>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(unaudited)</w:t>
            </w:r>
          </w:p>
        </w:tc>
      </w:tr>
      <w:tr w:rsidR="00847BCE" w:rsidRPr="003E335B" w:rsidTr="00C769AC">
        <w:trPr>
          <w:trHeight w:val="255"/>
        </w:trPr>
        <w:tc>
          <w:tcPr>
            <w:tcW w:w="0" w:type="auto"/>
            <w:vMerge/>
            <w:vAlign w:val="bottom"/>
            <w:hideMark/>
          </w:tcPr>
          <w:p w:rsidR="00847BCE" w:rsidRPr="003E335B" w:rsidRDefault="00847BCE" w:rsidP="000D70EC">
            <w:pPr>
              <w:spacing w:after="100" w:line="240" w:lineRule="auto"/>
              <w:jc w:val="center"/>
              <w:rPr>
                <w:rFonts w:asciiTheme="minorHAnsi" w:hAnsiTheme="minorHAnsi" w:cs="Arial"/>
                <w:sz w:val="20"/>
                <w:szCs w:val="20"/>
              </w:rPr>
            </w:pPr>
          </w:p>
        </w:tc>
        <w:tc>
          <w:tcPr>
            <w:tcW w:w="2212" w:type="dxa"/>
            <w:vMerge/>
            <w:vAlign w:val="bottom"/>
            <w:hideMark/>
          </w:tcPr>
          <w:p w:rsidR="00847BCE" w:rsidRPr="003E335B" w:rsidRDefault="00847BCE" w:rsidP="000D70EC">
            <w:pPr>
              <w:spacing w:after="100" w:line="240" w:lineRule="auto"/>
              <w:jc w:val="center"/>
              <w:rPr>
                <w:rFonts w:asciiTheme="minorHAnsi" w:hAnsiTheme="minorHAnsi" w:cs="Arial"/>
                <w:sz w:val="20"/>
                <w:szCs w:val="20"/>
              </w:rPr>
            </w:pPr>
          </w:p>
        </w:tc>
        <w:tc>
          <w:tcPr>
            <w:tcW w:w="2880" w:type="dxa"/>
            <w:gridSpan w:val="2"/>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Six months ended</w:t>
            </w:r>
          </w:p>
        </w:tc>
      </w:tr>
      <w:tr w:rsidR="0013752A" w:rsidRPr="003E335B" w:rsidTr="00C769AC">
        <w:trPr>
          <w:trHeight w:val="255"/>
        </w:trPr>
        <w:tc>
          <w:tcPr>
            <w:tcW w:w="0" w:type="auto"/>
            <w:vMerge/>
            <w:tcBorders>
              <w:bottom w:val="single" w:sz="18" w:space="0" w:color="auto"/>
            </w:tcBorders>
            <w:vAlign w:val="bottom"/>
            <w:hideMark/>
          </w:tcPr>
          <w:p w:rsidR="0013752A" w:rsidRPr="003E335B" w:rsidRDefault="0013752A" w:rsidP="000D70EC">
            <w:pPr>
              <w:spacing w:after="100" w:line="240" w:lineRule="auto"/>
              <w:jc w:val="center"/>
              <w:rPr>
                <w:rFonts w:asciiTheme="minorHAnsi" w:hAnsiTheme="minorHAnsi" w:cs="Arial"/>
                <w:sz w:val="20"/>
                <w:szCs w:val="20"/>
              </w:rPr>
            </w:pPr>
          </w:p>
        </w:tc>
        <w:tc>
          <w:tcPr>
            <w:tcW w:w="2212" w:type="dxa"/>
            <w:vMerge/>
            <w:tcBorders>
              <w:bottom w:val="single" w:sz="18" w:space="0" w:color="auto"/>
            </w:tcBorders>
            <w:vAlign w:val="bottom"/>
            <w:hideMark/>
          </w:tcPr>
          <w:p w:rsidR="0013752A" w:rsidRPr="003E335B" w:rsidRDefault="0013752A" w:rsidP="000D70EC">
            <w:pPr>
              <w:spacing w:after="100" w:line="240" w:lineRule="auto"/>
              <w:jc w:val="center"/>
              <w:rPr>
                <w:rFonts w:asciiTheme="minorHAnsi" w:hAnsiTheme="minorHAnsi" w:cs="Arial"/>
                <w:sz w:val="20"/>
                <w:szCs w:val="20"/>
              </w:rPr>
            </w:pPr>
          </w:p>
        </w:tc>
        <w:tc>
          <w:tcPr>
            <w:tcW w:w="1440" w:type="dxa"/>
            <w:tcBorders>
              <w:top w:val="single" w:sz="18" w:space="0" w:color="auto"/>
              <w:bottom w:val="single" w:sz="18" w:space="0" w:color="auto"/>
            </w:tcBorders>
            <w:vAlign w:val="bottom"/>
            <w:hideMark/>
          </w:tcPr>
          <w:p w:rsidR="0013752A" w:rsidRPr="003E335B" w:rsidRDefault="0013752A"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July 2, 2011</w:t>
            </w:r>
          </w:p>
        </w:tc>
        <w:tc>
          <w:tcPr>
            <w:tcW w:w="1440" w:type="dxa"/>
            <w:tcBorders>
              <w:top w:val="single" w:sz="18" w:space="0" w:color="auto"/>
              <w:bottom w:val="single" w:sz="18" w:space="0" w:color="auto"/>
            </w:tcBorders>
            <w:vAlign w:val="bottom"/>
            <w:hideMark/>
          </w:tcPr>
          <w:p w:rsidR="0013752A" w:rsidRPr="003E335B" w:rsidRDefault="0013752A"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June 26, 2010</w:t>
            </w:r>
          </w:p>
        </w:tc>
      </w:tr>
      <w:tr w:rsidR="0013752A" w:rsidRPr="003E335B" w:rsidTr="00C769AC">
        <w:trPr>
          <w:trHeight w:val="255"/>
        </w:trPr>
        <w:tc>
          <w:tcPr>
            <w:tcW w:w="5006" w:type="dxa"/>
            <w:tcBorders>
              <w:top w:val="single" w:sz="18" w:space="0" w:color="auto"/>
            </w:tcBorders>
            <w:shd w:val="clear" w:color="auto" w:fill="auto"/>
            <w:vAlign w:val="center"/>
            <w:hideMark/>
          </w:tcPr>
          <w:p w:rsidR="0013752A" w:rsidRPr="003E335B" w:rsidRDefault="0013752A" w:rsidP="000D70EC">
            <w:pPr>
              <w:spacing w:after="100" w:line="240" w:lineRule="auto"/>
              <w:rPr>
                <w:rFonts w:asciiTheme="minorHAnsi" w:hAnsiTheme="minorHAnsi" w:cs="Arial"/>
                <w:b/>
                <w:sz w:val="20"/>
                <w:szCs w:val="20"/>
              </w:rPr>
            </w:pPr>
            <w:bookmarkStart w:id="48" w:name="_Hlk256937594"/>
            <w:r w:rsidRPr="003E335B">
              <w:rPr>
                <w:rFonts w:asciiTheme="minorHAnsi" w:hAnsiTheme="minorHAnsi" w:cs="Arial"/>
                <w:b/>
                <w:sz w:val="20"/>
                <w:szCs w:val="20"/>
              </w:rPr>
              <w:t>Cash flows from operating activities</w:t>
            </w:r>
          </w:p>
        </w:tc>
        <w:tc>
          <w:tcPr>
            <w:tcW w:w="2212" w:type="dxa"/>
            <w:tcBorders>
              <w:top w:val="single" w:sz="18" w:space="0" w:color="auto"/>
            </w:tcBorders>
            <w:shd w:val="clear" w:color="auto" w:fill="auto"/>
            <w:vAlign w:val="center"/>
          </w:tcPr>
          <w:p w:rsidR="0013752A" w:rsidRPr="003E335B" w:rsidRDefault="0013752A" w:rsidP="000D70EC">
            <w:pPr>
              <w:spacing w:after="100" w:line="240" w:lineRule="auto"/>
              <w:rPr>
                <w:rFonts w:asciiTheme="minorHAnsi" w:hAnsiTheme="minorHAnsi" w:cs="Arial"/>
                <w:b/>
                <w:sz w:val="20"/>
                <w:szCs w:val="20"/>
              </w:rPr>
            </w:pPr>
          </w:p>
        </w:tc>
        <w:tc>
          <w:tcPr>
            <w:tcW w:w="1440" w:type="dxa"/>
            <w:tcBorders>
              <w:top w:val="single" w:sz="18" w:space="0" w:color="auto"/>
            </w:tcBorders>
            <w:shd w:val="clear" w:color="auto" w:fill="auto"/>
            <w:vAlign w:val="center"/>
          </w:tcPr>
          <w:p w:rsidR="0013752A" w:rsidRPr="003E335B" w:rsidRDefault="0013752A" w:rsidP="000D70EC">
            <w:pPr>
              <w:spacing w:after="100" w:line="240" w:lineRule="auto"/>
              <w:jc w:val="right"/>
              <w:rPr>
                <w:rFonts w:asciiTheme="minorHAnsi" w:hAnsiTheme="minorHAnsi" w:cs="Arial"/>
                <w:b/>
                <w:sz w:val="20"/>
                <w:szCs w:val="20"/>
              </w:rPr>
            </w:pPr>
          </w:p>
        </w:tc>
        <w:tc>
          <w:tcPr>
            <w:tcW w:w="1440" w:type="dxa"/>
            <w:tcBorders>
              <w:top w:val="single" w:sz="18" w:space="0" w:color="auto"/>
            </w:tcBorders>
            <w:shd w:val="clear" w:color="auto" w:fill="auto"/>
            <w:vAlign w:val="center"/>
          </w:tcPr>
          <w:p w:rsidR="0013752A" w:rsidRPr="003E335B" w:rsidRDefault="0013752A" w:rsidP="000D70EC">
            <w:pPr>
              <w:spacing w:after="100" w:line="240" w:lineRule="auto"/>
              <w:jc w:val="right"/>
              <w:rPr>
                <w:rFonts w:asciiTheme="minorHAnsi" w:hAnsiTheme="minorHAnsi" w:cs="Arial"/>
                <w:b/>
                <w:sz w:val="20"/>
                <w:szCs w:val="20"/>
              </w:rPr>
            </w:pPr>
          </w:p>
        </w:tc>
      </w:tr>
      <w:tr w:rsidR="0013752A" w:rsidRPr="003E335B" w:rsidTr="00C769AC">
        <w:trPr>
          <w:trHeight w:val="255"/>
        </w:trPr>
        <w:tc>
          <w:tcPr>
            <w:tcW w:w="5006" w:type="dxa"/>
            <w:shd w:val="clear" w:color="auto" w:fill="B8CCE4" w:themeFill="accent1" w:themeFillTint="66"/>
            <w:vAlign w:val="center"/>
            <w:hideMark/>
          </w:tcPr>
          <w:p w:rsidR="0013752A" w:rsidRPr="003E335B" w:rsidRDefault="0013752A"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Cash generated from operations</w:t>
            </w:r>
          </w:p>
        </w:tc>
        <w:tc>
          <w:tcPr>
            <w:tcW w:w="2212" w:type="dxa"/>
            <w:shd w:val="clear" w:color="auto" w:fill="B8CCE4" w:themeFill="accent1" w:themeFillTint="66"/>
            <w:vAlign w:val="center"/>
          </w:tcPr>
          <w:p w:rsidR="0013752A" w:rsidRPr="003E335B" w:rsidRDefault="0090791A" w:rsidP="000D70EC">
            <w:pPr>
              <w:spacing w:after="100" w:line="240" w:lineRule="auto"/>
              <w:jc w:val="center"/>
              <w:rPr>
                <w:rFonts w:asciiTheme="minorHAnsi" w:hAnsiTheme="minorHAnsi" w:cs="Arial"/>
                <w:sz w:val="20"/>
                <w:szCs w:val="20"/>
              </w:rPr>
            </w:pPr>
            <w:r w:rsidRPr="0090791A">
              <w:rPr>
                <w:rFonts w:asciiTheme="minorHAnsi" w:hAnsiTheme="minorHAnsi" w:cs="Arial"/>
                <w:b/>
                <w:sz w:val="20"/>
                <w:szCs w:val="20"/>
              </w:rPr>
              <w:t>13</w:t>
            </w:r>
          </w:p>
        </w:tc>
        <w:tc>
          <w:tcPr>
            <w:tcW w:w="1440" w:type="dxa"/>
            <w:shd w:val="clear" w:color="auto" w:fill="B8CCE4" w:themeFill="accent1" w:themeFillTint="66"/>
            <w:vAlign w:val="center"/>
          </w:tcPr>
          <w:p w:rsidR="0013752A"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811</w:t>
            </w:r>
          </w:p>
        </w:tc>
        <w:tc>
          <w:tcPr>
            <w:tcW w:w="1440" w:type="dxa"/>
            <w:shd w:val="clear" w:color="auto" w:fill="B8CCE4" w:themeFill="accent1" w:themeFillTint="66"/>
            <w:vAlign w:val="center"/>
            <w:hideMark/>
          </w:tcPr>
          <w:p w:rsidR="0013752A" w:rsidRPr="003E335B" w:rsidRDefault="0013752A"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911</w:t>
            </w:r>
          </w:p>
        </w:tc>
      </w:tr>
      <w:tr w:rsidR="0013752A" w:rsidRPr="003E335B" w:rsidTr="00C769AC">
        <w:trPr>
          <w:trHeight w:val="255"/>
        </w:trPr>
        <w:tc>
          <w:tcPr>
            <w:tcW w:w="5006" w:type="dxa"/>
            <w:shd w:val="clear" w:color="auto" w:fill="auto"/>
            <w:vAlign w:val="center"/>
            <w:hideMark/>
          </w:tcPr>
          <w:p w:rsidR="0013752A" w:rsidRPr="003E335B" w:rsidRDefault="0013752A"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Interests paid</w:t>
            </w:r>
          </w:p>
        </w:tc>
        <w:tc>
          <w:tcPr>
            <w:tcW w:w="2212" w:type="dxa"/>
            <w:shd w:val="clear" w:color="auto" w:fill="auto"/>
            <w:vAlign w:val="center"/>
          </w:tcPr>
          <w:p w:rsidR="0013752A" w:rsidRPr="003E335B" w:rsidRDefault="0013752A" w:rsidP="000D70EC">
            <w:pPr>
              <w:spacing w:after="100" w:line="240" w:lineRule="auto"/>
              <w:rPr>
                <w:rFonts w:asciiTheme="minorHAnsi" w:hAnsiTheme="minorHAnsi" w:cs="Arial"/>
                <w:sz w:val="20"/>
                <w:szCs w:val="20"/>
              </w:rPr>
            </w:pPr>
          </w:p>
        </w:tc>
        <w:tc>
          <w:tcPr>
            <w:tcW w:w="1440" w:type="dxa"/>
            <w:shd w:val="clear" w:color="auto" w:fill="auto"/>
            <w:vAlign w:val="center"/>
          </w:tcPr>
          <w:p w:rsidR="0013752A"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(9)</w:t>
            </w:r>
          </w:p>
        </w:tc>
        <w:tc>
          <w:tcPr>
            <w:tcW w:w="1440" w:type="dxa"/>
            <w:shd w:val="clear" w:color="auto" w:fill="auto"/>
            <w:vAlign w:val="center"/>
            <w:hideMark/>
          </w:tcPr>
          <w:p w:rsidR="0013752A" w:rsidRPr="003E335B" w:rsidRDefault="0013752A"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(8)</w:t>
            </w:r>
          </w:p>
        </w:tc>
      </w:tr>
      <w:tr w:rsidR="0013752A" w:rsidRPr="003E335B" w:rsidTr="00C769AC">
        <w:trPr>
          <w:trHeight w:val="255"/>
        </w:trPr>
        <w:tc>
          <w:tcPr>
            <w:tcW w:w="5006" w:type="dxa"/>
            <w:shd w:val="clear" w:color="auto" w:fill="B8CCE4" w:themeFill="accent1" w:themeFillTint="66"/>
            <w:vAlign w:val="center"/>
            <w:hideMark/>
          </w:tcPr>
          <w:p w:rsidR="0013752A" w:rsidRPr="003E335B" w:rsidRDefault="0013752A"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 xml:space="preserve">Income tax </w:t>
            </w:r>
            <w:r w:rsidR="00361444">
              <w:rPr>
                <w:rFonts w:asciiTheme="minorHAnsi" w:hAnsiTheme="minorHAnsi" w:cs="Arial"/>
                <w:sz w:val="20"/>
                <w:szCs w:val="20"/>
              </w:rPr>
              <w:t xml:space="preserve">(paid) </w:t>
            </w:r>
            <w:r w:rsidRPr="003E335B">
              <w:rPr>
                <w:rFonts w:asciiTheme="minorHAnsi" w:hAnsiTheme="minorHAnsi" w:cs="Arial"/>
                <w:sz w:val="20"/>
                <w:szCs w:val="20"/>
              </w:rPr>
              <w:t>refunded</w:t>
            </w:r>
          </w:p>
        </w:tc>
        <w:tc>
          <w:tcPr>
            <w:tcW w:w="2212" w:type="dxa"/>
            <w:shd w:val="clear" w:color="auto" w:fill="B8CCE4" w:themeFill="accent1" w:themeFillTint="66"/>
            <w:vAlign w:val="center"/>
          </w:tcPr>
          <w:p w:rsidR="0013752A" w:rsidRPr="003E335B" w:rsidRDefault="0013752A" w:rsidP="000D70EC">
            <w:pPr>
              <w:spacing w:after="100" w:line="240" w:lineRule="auto"/>
              <w:rPr>
                <w:rFonts w:asciiTheme="minorHAnsi" w:hAnsiTheme="minorHAnsi" w:cs="Arial"/>
                <w:sz w:val="20"/>
                <w:szCs w:val="20"/>
              </w:rPr>
            </w:pPr>
          </w:p>
        </w:tc>
        <w:tc>
          <w:tcPr>
            <w:tcW w:w="1440" w:type="dxa"/>
            <w:tcBorders>
              <w:bottom w:val="single" w:sz="18" w:space="0" w:color="auto"/>
            </w:tcBorders>
            <w:shd w:val="clear" w:color="auto" w:fill="B8CCE4" w:themeFill="accent1" w:themeFillTint="66"/>
            <w:vAlign w:val="center"/>
          </w:tcPr>
          <w:p w:rsidR="0013752A"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(50)</w:t>
            </w:r>
          </w:p>
        </w:tc>
        <w:tc>
          <w:tcPr>
            <w:tcW w:w="1440" w:type="dxa"/>
            <w:tcBorders>
              <w:bottom w:val="single" w:sz="18" w:space="0" w:color="auto"/>
            </w:tcBorders>
            <w:shd w:val="clear" w:color="auto" w:fill="B8CCE4" w:themeFill="accent1" w:themeFillTint="66"/>
            <w:vAlign w:val="center"/>
            <w:hideMark/>
          </w:tcPr>
          <w:p w:rsidR="0013752A" w:rsidRPr="003E335B" w:rsidRDefault="0013752A"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114</w:t>
            </w:r>
          </w:p>
        </w:tc>
      </w:tr>
      <w:tr w:rsidR="0013752A" w:rsidRPr="003E335B" w:rsidTr="00C769AC">
        <w:trPr>
          <w:trHeight w:val="255"/>
        </w:trPr>
        <w:tc>
          <w:tcPr>
            <w:tcW w:w="5006" w:type="dxa"/>
            <w:shd w:val="clear" w:color="auto" w:fill="auto"/>
            <w:vAlign w:val="center"/>
            <w:hideMark/>
          </w:tcPr>
          <w:p w:rsidR="0013752A" w:rsidRPr="003E335B" w:rsidRDefault="0013752A"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Net cash from operating activities</w:t>
            </w:r>
          </w:p>
        </w:tc>
        <w:tc>
          <w:tcPr>
            <w:tcW w:w="2212" w:type="dxa"/>
            <w:shd w:val="clear" w:color="auto" w:fill="auto"/>
            <w:vAlign w:val="center"/>
          </w:tcPr>
          <w:p w:rsidR="0013752A" w:rsidRPr="003E335B" w:rsidRDefault="0013752A" w:rsidP="000D70EC">
            <w:pPr>
              <w:spacing w:after="100" w:line="240" w:lineRule="auto"/>
              <w:rPr>
                <w:rFonts w:asciiTheme="minorHAnsi" w:hAnsiTheme="minorHAnsi" w:cs="Arial"/>
                <w:b/>
                <w:sz w:val="20"/>
                <w:szCs w:val="20"/>
              </w:rPr>
            </w:pPr>
          </w:p>
        </w:tc>
        <w:tc>
          <w:tcPr>
            <w:tcW w:w="1440" w:type="dxa"/>
            <w:tcBorders>
              <w:top w:val="single" w:sz="18" w:space="0" w:color="auto"/>
            </w:tcBorders>
            <w:shd w:val="clear" w:color="auto" w:fill="auto"/>
            <w:vAlign w:val="center"/>
          </w:tcPr>
          <w:p w:rsidR="0013752A" w:rsidRPr="003E335B" w:rsidRDefault="00361444"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752</w:t>
            </w:r>
          </w:p>
        </w:tc>
        <w:tc>
          <w:tcPr>
            <w:tcW w:w="1440" w:type="dxa"/>
            <w:tcBorders>
              <w:top w:val="single" w:sz="18" w:space="0" w:color="auto"/>
            </w:tcBorders>
            <w:shd w:val="clear" w:color="auto" w:fill="auto"/>
            <w:vAlign w:val="center"/>
            <w:hideMark/>
          </w:tcPr>
          <w:p w:rsidR="0013752A" w:rsidRPr="003E335B" w:rsidRDefault="0013752A"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1,017</w:t>
            </w:r>
          </w:p>
        </w:tc>
      </w:tr>
      <w:tr w:rsidR="0013752A" w:rsidRPr="003E335B" w:rsidTr="00C769AC">
        <w:trPr>
          <w:trHeight w:val="255"/>
        </w:trPr>
        <w:tc>
          <w:tcPr>
            <w:tcW w:w="5006" w:type="dxa"/>
            <w:shd w:val="clear" w:color="auto" w:fill="B8CCE4" w:themeFill="accent1" w:themeFillTint="66"/>
            <w:vAlign w:val="center"/>
            <w:hideMark/>
          </w:tcPr>
          <w:p w:rsidR="0013752A" w:rsidRPr="003E335B" w:rsidRDefault="0013752A"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Cash flows from investing activities</w:t>
            </w:r>
          </w:p>
        </w:tc>
        <w:tc>
          <w:tcPr>
            <w:tcW w:w="2212" w:type="dxa"/>
            <w:shd w:val="clear" w:color="auto" w:fill="B8CCE4" w:themeFill="accent1" w:themeFillTint="66"/>
            <w:vAlign w:val="center"/>
          </w:tcPr>
          <w:p w:rsidR="0013752A" w:rsidRPr="003E335B" w:rsidRDefault="0013752A" w:rsidP="000D70EC">
            <w:pPr>
              <w:spacing w:after="100" w:line="240" w:lineRule="auto"/>
              <w:rPr>
                <w:rFonts w:asciiTheme="minorHAnsi" w:hAnsiTheme="minorHAnsi" w:cs="Arial"/>
                <w:b/>
                <w:sz w:val="20"/>
                <w:szCs w:val="20"/>
              </w:rPr>
            </w:pPr>
          </w:p>
        </w:tc>
        <w:tc>
          <w:tcPr>
            <w:tcW w:w="1440" w:type="dxa"/>
            <w:shd w:val="clear" w:color="auto" w:fill="B8CCE4" w:themeFill="accent1" w:themeFillTint="66"/>
            <w:vAlign w:val="center"/>
          </w:tcPr>
          <w:p w:rsidR="0013752A" w:rsidRPr="003E335B" w:rsidRDefault="0013752A" w:rsidP="000D70EC">
            <w:pPr>
              <w:spacing w:after="100" w:line="240" w:lineRule="auto"/>
              <w:jc w:val="right"/>
              <w:rPr>
                <w:rFonts w:asciiTheme="minorHAnsi" w:hAnsiTheme="minorHAnsi" w:cs="Arial"/>
                <w:b/>
                <w:sz w:val="20"/>
                <w:szCs w:val="20"/>
              </w:rPr>
            </w:pPr>
          </w:p>
        </w:tc>
        <w:tc>
          <w:tcPr>
            <w:tcW w:w="1440" w:type="dxa"/>
            <w:shd w:val="clear" w:color="auto" w:fill="B8CCE4" w:themeFill="accent1" w:themeFillTint="66"/>
            <w:vAlign w:val="center"/>
          </w:tcPr>
          <w:p w:rsidR="0013752A" w:rsidRPr="003E335B" w:rsidRDefault="0013752A" w:rsidP="000D70EC">
            <w:pPr>
              <w:spacing w:after="100" w:line="240" w:lineRule="auto"/>
              <w:jc w:val="right"/>
              <w:rPr>
                <w:rFonts w:asciiTheme="minorHAnsi" w:hAnsiTheme="minorHAnsi" w:cs="Arial"/>
                <w:b/>
                <w:sz w:val="20"/>
                <w:szCs w:val="20"/>
              </w:rPr>
            </w:pPr>
          </w:p>
        </w:tc>
      </w:tr>
      <w:tr w:rsidR="0013752A" w:rsidRPr="003E335B" w:rsidTr="00C769AC">
        <w:trPr>
          <w:trHeight w:val="255"/>
        </w:trPr>
        <w:tc>
          <w:tcPr>
            <w:tcW w:w="5006" w:type="dxa"/>
            <w:shd w:val="clear" w:color="auto" w:fill="auto"/>
            <w:vAlign w:val="center"/>
            <w:hideMark/>
          </w:tcPr>
          <w:p w:rsidR="0013752A" w:rsidRPr="003E335B" w:rsidRDefault="00361444" w:rsidP="000D70EC">
            <w:pPr>
              <w:spacing w:after="100" w:line="240" w:lineRule="auto"/>
              <w:rPr>
                <w:rFonts w:asciiTheme="minorHAnsi" w:hAnsiTheme="minorHAnsi" w:cs="Arial"/>
                <w:sz w:val="20"/>
                <w:szCs w:val="20"/>
              </w:rPr>
            </w:pPr>
            <w:r>
              <w:rPr>
                <w:rFonts w:asciiTheme="minorHAnsi" w:hAnsiTheme="minorHAnsi" w:cs="Arial"/>
                <w:sz w:val="20"/>
                <w:szCs w:val="20"/>
              </w:rPr>
              <w:t>Payments for purchases of tangible assets</w:t>
            </w:r>
          </w:p>
        </w:tc>
        <w:tc>
          <w:tcPr>
            <w:tcW w:w="2212" w:type="dxa"/>
            <w:shd w:val="clear" w:color="auto" w:fill="auto"/>
            <w:vAlign w:val="center"/>
          </w:tcPr>
          <w:p w:rsidR="0013752A" w:rsidRPr="003E335B" w:rsidRDefault="0013752A" w:rsidP="000D70EC">
            <w:pPr>
              <w:spacing w:after="100" w:line="240" w:lineRule="auto"/>
              <w:rPr>
                <w:rFonts w:asciiTheme="minorHAnsi" w:hAnsiTheme="minorHAnsi" w:cs="Arial"/>
                <w:sz w:val="20"/>
                <w:szCs w:val="20"/>
              </w:rPr>
            </w:pPr>
          </w:p>
        </w:tc>
        <w:tc>
          <w:tcPr>
            <w:tcW w:w="1440" w:type="dxa"/>
            <w:shd w:val="clear" w:color="auto" w:fill="auto"/>
            <w:vAlign w:val="center"/>
          </w:tcPr>
          <w:p w:rsidR="0013752A"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(798)</w:t>
            </w:r>
          </w:p>
        </w:tc>
        <w:tc>
          <w:tcPr>
            <w:tcW w:w="1440" w:type="dxa"/>
            <w:shd w:val="clear" w:color="auto" w:fill="auto"/>
            <w:vAlign w:val="center"/>
            <w:hideMark/>
          </w:tcPr>
          <w:p w:rsidR="0013752A"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(313)</w:t>
            </w:r>
          </w:p>
        </w:tc>
      </w:tr>
      <w:tr w:rsidR="0013752A" w:rsidRPr="003E335B" w:rsidTr="00C769AC">
        <w:trPr>
          <w:trHeight w:val="255"/>
        </w:trPr>
        <w:tc>
          <w:tcPr>
            <w:tcW w:w="5006" w:type="dxa"/>
            <w:shd w:val="clear" w:color="auto" w:fill="B8CCE4" w:themeFill="accent1" w:themeFillTint="66"/>
            <w:vAlign w:val="center"/>
            <w:hideMark/>
          </w:tcPr>
          <w:p w:rsidR="0013752A" w:rsidRPr="003E335B" w:rsidRDefault="00361444" w:rsidP="000D70EC">
            <w:pPr>
              <w:spacing w:after="100" w:line="240" w:lineRule="auto"/>
              <w:rPr>
                <w:rFonts w:asciiTheme="minorHAnsi" w:hAnsiTheme="minorHAnsi" w:cs="Arial"/>
                <w:sz w:val="20"/>
                <w:szCs w:val="20"/>
              </w:rPr>
            </w:pPr>
            <w:r>
              <w:rPr>
                <w:rFonts w:asciiTheme="minorHAnsi" w:hAnsiTheme="minorHAnsi" w:cs="Arial"/>
                <w:sz w:val="20"/>
                <w:szCs w:val="20"/>
              </w:rPr>
              <w:t>Payments for purchases of available-for-sale financial assets</w:t>
            </w:r>
          </w:p>
        </w:tc>
        <w:tc>
          <w:tcPr>
            <w:tcW w:w="2212" w:type="dxa"/>
            <w:shd w:val="clear" w:color="auto" w:fill="B8CCE4" w:themeFill="accent1" w:themeFillTint="66"/>
            <w:vAlign w:val="center"/>
          </w:tcPr>
          <w:p w:rsidR="0013752A" w:rsidRPr="003E335B" w:rsidRDefault="0013752A" w:rsidP="000D70EC">
            <w:pPr>
              <w:spacing w:after="100" w:line="240" w:lineRule="auto"/>
              <w:rPr>
                <w:rFonts w:asciiTheme="minorHAnsi" w:hAnsiTheme="minorHAnsi" w:cs="Arial"/>
                <w:sz w:val="20"/>
                <w:szCs w:val="20"/>
              </w:rPr>
            </w:pPr>
          </w:p>
        </w:tc>
        <w:tc>
          <w:tcPr>
            <w:tcW w:w="1440" w:type="dxa"/>
            <w:shd w:val="clear" w:color="auto" w:fill="B8CCE4" w:themeFill="accent1" w:themeFillTint="66"/>
            <w:vAlign w:val="center"/>
          </w:tcPr>
          <w:p w:rsidR="0013752A"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(154)</w:t>
            </w:r>
          </w:p>
        </w:tc>
        <w:tc>
          <w:tcPr>
            <w:tcW w:w="1440" w:type="dxa"/>
            <w:shd w:val="clear" w:color="auto" w:fill="B8CCE4" w:themeFill="accent1" w:themeFillTint="66"/>
            <w:vAlign w:val="center"/>
            <w:hideMark/>
          </w:tcPr>
          <w:p w:rsidR="0013752A"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(770)</w:t>
            </w:r>
          </w:p>
        </w:tc>
      </w:tr>
      <w:tr w:rsidR="0013752A" w:rsidRPr="003E335B" w:rsidTr="00C769AC">
        <w:trPr>
          <w:trHeight w:val="255"/>
        </w:trPr>
        <w:tc>
          <w:tcPr>
            <w:tcW w:w="5006" w:type="dxa"/>
            <w:shd w:val="clear" w:color="auto" w:fill="auto"/>
            <w:vAlign w:val="center"/>
            <w:hideMark/>
          </w:tcPr>
          <w:p w:rsidR="0013752A" w:rsidRPr="003E335B" w:rsidRDefault="00361444" w:rsidP="000D70EC">
            <w:pPr>
              <w:spacing w:after="100" w:line="240" w:lineRule="auto"/>
              <w:rPr>
                <w:rFonts w:asciiTheme="minorHAnsi" w:hAnsiTheme="minorHAnsi" w:cs="Arial"/>
                <w:sz w:val="20"/>
                <w:szCs w:val="20"/>
              </w:rPr>
            </w:pPr>
            <w:r>
              <w:rPr>
                <w:rFonts w:asciiTheme="minorHAnsi" w:hAnsiTheme="minorHAnsi" w:cs="Arial"/>
                <w:sz w:val="20"/>
                <w:szCs w:val="20"/>
              </w:rPr>
              <w:t>Proceeds from sales of available-for-sale financial assets</w:t>
            </w:r>
          </w:p>
        </w:tc>
        <w:tc>
          <w:tcPr>
            <w:tcW w:w="2212" w:type="dxa"/>
            <w:shd w:val="clear" w:color="auto" w:fill="auto"/>
            <w:vAlign w:val="center"/>
          </w:tcPr>
          <w:p w:rsidR="0013752A" w:rsidRPr="003E335B" w:rsidRDefault="0013752A" w:rsidP="000D70EC">
            <w:pPr>
              <w:spacing w:after="100" w:line="240" w:lineRule="auto"/>
              <w:rPr>
                <w:rFonts w:asciiTheme="minorHAnsi" w:hAnsiTheme="minorHAnsi" w:cs="Arial"/>
                <w:sz w:val="20"/>
                <w:szCs w:val="20"/>
              </w:rPr>
            </w:pPr>
          </w:p>
        </w:tc>
        <w:tc>
          <w:tcPr>
            <w:tcW w:w="1440" w:type="dxa"/>
            <w:shd w:val="clear" w:color="auto" w:fill="auto"/>
            <w:vAlign w:val="center"/>
          </w:tcPr>
          <w:p w:rsidR="0013752A"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638</w:t>
            </w:r>
          </w:p>
        </w:tc>
        <w:tc>
          <w:tcPr>
            <w:tcW w:w="1440" w:type="dxa"/>
            <w:shd w:val="clear" w:color="auto" w:fill="auto"/>
            <w:vAlign w:val="center"/>
            <w:hideMark/>
          </w:tcPr>
          <w:p w:rsidR="0013752A"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653</w:t>
            </w:r>
          </w:p>
        </w:tc>
      </w:tr>
      <w:tr w:rsidR="0013752A" w:rsidRPr="003E335B" w:rsidTr="00C769AC">
        <w:trPr>
          <w:trHeight w:val="255"/>
        </w:trPr>
        <w:tc>
          <w:tcPr>
            <w:tcW w:w="5006" w:type="dxa"/>
            <w:shd w:val="clear" w:color="auto" w:fill="B8CCE4" w:themeFill="accent1" w:themeFillTint="66"/>
            <w:vAlign w:val="center"/>
            <w:hideMark/>
          </w:tcPr>
          <w:p w:rsidR="0013752A" w:rsidRPr="003E335B" w:rsidRDefault="00361444" w:rsidP="000D70EC">
            <w:pPr>
              <w:spacing w:after="100" w:line="240" w:lineRule="auto"/>
              <w:rPr>
                <w:rFonts w:asciiTheme="minorHAnsi" w:hAnsiTheme="minorHAnsi" w:cs="Arial"/>
                <w:sz w:val="20"/>
                <w:szCs w:val="20"/>
              </w:rPr>
            </w:pPr>
            <w:r>
              <w:rPr>
                <w:rFonts w:asciiTheme="minorHAnsi" w:hAnsiTheme="minorHAnsi" w:cs="Arial"/>
                <w:sz w:val="20"/>
                <w:szCs w:val="20"/>
              </w:rPr>
              <w:t>Proceeds from settlement of non-current available-for-sale financial assets</w:t>
            </w:r>
          </w:p>
        </w:tc>
        <w:tc>
          <w:tcPr>
            <w:tcW w:w="2212" w:type="dxa"/>
            <w:shd w:val="clear" w:color="auto" w:fill="B8CCE4" w:themeFill="accent1" w:themeFillTint="66"/>
            <w:vAlign w:val="center"/>
          </w:tcPr>
          <w:p w:rsidR="0013752A" w:rsidRPr="003E335B" w:rsidRDefault="0013752A" w:rsidP="000D70EC">
            <w:pPr>
              <w:spacing w:after="100" w:line="240" w:lineRule="auto"/>
              <w:rPr>
                <w:rFonts w:asciiTheme="minorHAnsi" w:hAnsiTheme="minorHAnsi" w:cs="Arial"/>
                <w:sz w:val="20"/>
                <w:szCs w:val="20"/>
              </w:rPr>
            </w:pPr>
          </w:p>
        </w:tc>
        <w:tc>
          <w:tcPr>
            <w:tcW w:w="1440" w:type="dxa"/>
            <w:shd w:val="clear" w:color="auto" w:fill="B8CCE4" w:themeFill="accent1" w:themeFillTint="66"/>
            <w:vAlign w:val="center"/>
          </w:tcPr>
          <w:p w:rsidR="0013752A"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350</w:t>
            </w:r>
          </w:p>
        </w:tc>
        <w:tc>
          <w:tcPr>
            <w:tcW w:w="1440" w:type="dxa"/>
            <w:shd w:val="clear" w:color="auto" w:fill="B8CCE4" w:themeFill="accent1" w:themeFillTint="66"/>
            <w:vAlign w:val="center"/>
            <w:hideMark/>
          </w:tcPr>
          <w:p w:rsidR="0013752A"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r>
      <w:tr w:rsidR="00361444" w:rsidRPr="003E335B" w:rsidTr="00C769AC">
        <w:trPr>
          <w:trHeight w:val="255"/>
        </w:trPr>
        <w:tc>
          <w:tcPr>
            <w:tcW w:w="5006" w:type="dxa"/>
            <w:shd w:val="clear" w:color="auto" w:fill="auto"/>
            <w:vAlign w:val="center"/>
            <w:hideMark/>
          </w:tcPr>
          <w:p w:rsidR="00361444" w:rsidRPr="003E335B" w:rsidRDefault="00361444" w:rsidP="000D70EC">
            <w:pPr>
              <w:spacing w:after="100" w:line="240" w:lineRule="auto"/>
              <w:rPr>
                <w:rFonts w:asciiTheme="minorHAnsi" w:hAnsiTheme="minorHAnsi" w:cs="Arial"/>
                <w:sz w:val="20"/>
                <w:szCs w:val="20"/>
              </w:rPr>
            </w:pPr>
            <w:r>
              <w:rPr>
                <w:rFonts w:asciiTheme="minorHAnsi" w:hAnsiTheme="minorHAnsi" w:cs="Arial"/>
                <w:sz w:val="20"/>
                <w:szCs w:val="20"/>
              </w:rPr>
              <w:t>Restricted cash</w:t>
            </w:r>
          </w:p>
        </w:tc>
        <w:tc>
          <w:tcPr>
            <w:tcW w:w="2212" w:type="dxa"/>
            <w:shd w:val="clear" w:color="auto" w:fill="auto"/>
            <w:vAlign w:val="center"/>
          </w:tcPr>
          <w:p w:rsidR="00361444" w:rsidRPr="003E335B" w:rsidRDefault="00361444" w:rsidP="000D70EC">
            <w:pPr>
              <w:spacing w:after="100" w:line="240" w:lineRule="auto"/>
              <w:rPr>
                <w:rFonts w:asciiTheme="minorHAnsi" w:hAnsiTheme="minorHAnsi" w:cs="Arial"/>
                <w:sz w:val="20"/>
                <w:szCs w:val="20"/>
              </w:rPr>
            </w:pPr>
          </w:p>
        </w:tc>
        <w:tc>
          <w:tcPr>
            <w:tcW w:w="1440" w:type="dxa"/>
            <w:shd w:val="clear" w:color="auto" w:fill="auto"/>
            <w:vAlign w:val="center"/>
          </w:tcPr>
          <w:p w:rsidR="00361444"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(95)</w:t>
            </w:r>
          </w:p>
        </w:tc>
        <w:tc>
          <w:tcPr>
            <w:tcW w:w="1440" w:type="dxa"/>
            <w:shd w:val="clear" w:color="auto" w:fill="auto"/>
            <w:vAlign w:val="center"/>
            <w:hideMark/>
          </w:tcPr>
          <w:p w:rsidR="00361444"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r>
      <w:tr w:rsidR="00361444" w:rsidRPr="003E335B" w:rsidTr="00C769AC">
        <w:trPr>
          <w:trHeight w:val="255"/>
        </w:trPr>
        <w:tc>
          <w:tcPr>
            <w:tcW w:w="5006" w:type="dxa"/>
            <w:shd w:val="clear" w:color="auto" w:fill="B8CCE4" w:themeFill="accent1" w:themeFillTint="66"/>
            <w:vAlign w:val="center"/>
            <w:hideMark/>
          </w:tcPr>
          <w:p w:rsidR="00361444" w:rsidRPr="003E335B" w:rsidRDefault="00361444" w:rsidP="000D70EC">
            <w:pPr>
              <w:spacing w:after="100" w:line="240" w:lineRule="auto"/>
              <w:rPr>
                <w:rFonts w:asciiTheme="minorHAnsi" w:hAnsiTheme="minorHAnsi" w:cs="Arial"/>
                <w:sz w:val="20"/>
                <w:szCs w:val="20"/>
              </w:rPr>
            </w:pPr>
            <w:r>
              <w:rPr>
                <w:rFonts w:asciiTheme="minorHAnsi" w:hAnsiTheme="minorHAnsi" w:cs="Arial"/>
                <w:sz w:val="20"/>
                <w:szCs w:val="20"/>
              </w:rPr>
              <w:t>Release of restricted cash</w:t>
            </w:r>
          </w:p>
        </w:tc>
        <w:tc>
          <w:tcPr>
            <w:tcW w:w="2212" w:type="dxa"/>
            <w:shd w:val="clear" w:color="auto" w:fill="B8CCE4" w:themeFill="accent1" w:themeFillTint="66"/>
            <w:vAlign w:val="center"/>
          </w:tcPr>
          <w:p w:rsidR="00361444" w:rsidRPr="003E335B" w:rsidRDefault="00361444" w:rsidP="000D70EC">
            <w:pPr>
              <w:spacing w:after="100" w:line="240" w:lineRule="auto"/>
              <w:rPr>
                <w:rFonts w:asciiTheme="minorHAnsi" w:hAnsiTheme="minorHAnsi" w:cs="Arial"/>
                <w:sz w:val="20"/>
                <w:szCs w:val="20"/>
              </w:rPr>
            </w:pPr>
          </w:p>
        </w:tc>
        <w:tc>
          <w:tcPr>
            <w:tcW w:w="1440" w:type="dxa"/>
            <w:shd w:val="clear" w:color="auto" w:fill="B8CCE4" w:themeFill="accent1" w:themeFillTint="66"/>
            <w:vAlign w:val="center"/>
          </w:tcPr>
          <w:p w:rsidR="00361444"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87</w:t>
            </w:r>
          </w:p>
        </w:tc>
        <w:tc>
          <w:tcPr>
            <w:tcW w:w="1440" w:type="dxa"/>
            <w:shd w:val="clear" w:color="auto" w:fill="B8CCE4" w:themeFill="accent1" w:themeFillTint="66"/>
            <w:vAlign w:val="center"/>
            <w:hideMark/>
          </w:tcPr>
          <w:p w:rsidR="00361444"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r>
      <w:tr w:rsidR="00361444" w:rsidRPr="003E335B" w:rsidTr="00C769AC">
        <w:trPr>
          <w:trHeight w:val="255"/>
        </w:trPr>
        <w:tc>
          <w:tcPr>
            <w:tcW w:w="5006" w:type="dxa"/>
            <w:shd w:val="clear" w:color="auto" w:fill="auto"/>
            <w:vAlign w:val="center"/>
            <w:hideMark/>
          </w:tcPr>
          <w:p w:rsidR="00361444" w:rsidRPr="003E335B" w:rsidRDefault="00361444" w:rsidP="000D70EC">
            <w:pPr>
              <w:spacing w:after="100" w:line="240" w:lineRule="auto"/>
              <w:rPr>
                <w:rFonts w:asciiTheme="minorHAnsi" w:hAnsiTheme="minorHAnsi" w:cs="Arial"/>
                <w:sz w:val="20"/>
                <w:szCs w:val="20"/>
              </w:rPr>
            </w:pPr>
            <w:r>
              <w:rPr>
                <w:rFonts w:asciiTheme="minorHAnsi" w:hAnsiTheme="minorHAnsi" w:cs="Arial"/>
                <w:sz w:val="20"/>
                <w:szCs w:val="20"/>
              </w:rPr>
              <w:t>Investment in short-term deposits</w:t>
            </w:r>
          </w:p>
        </w:tc>
        <w:tc>
          <w:tcPr>
            <w:tcW w:w="2212" w:type="dxa"/>
            <w:shd w:val="clear" w:color="auto" w:fill="auto"/>
            <w:vAlign w:val="center"/>
          </w:tcPr>
          <w:p w:rsidR="00361444" w:rsidRPr="003E335B" w:rsidRDefault="00361444" w:rsidP="000D70EC">
            <w:pPr>
              <w:spacing w:after="100" w:line="240" w:lineRule="auto"/>
              <w:rPr>
                <w:rFonts w:asciiTheme="minorHAnsi" w:hAnsiTheme="minorHAnsi" w:cs="Arial"/>
                <w:sz w:val="20"/>
                <w:szCs w:val="20"/>
              </w:rPr>
            </w:pPr>
          </w:p>
        </w:tc>
        <w:tc>
          <w:tcPr>
            <w:tcW w:w="1440" w:type="dxa"/>
            <w:shd w:val="clear" w:color="auto" w:fill="auto"/>
            <w:vAlign w:val="center"/>
          </w:tcPr>
          <w:p w:rsidR="00361444"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(150)</w:t>
            </w:r>
          </w:p>
        </w:tc>
        <w:tc>
          <w:tcPr>
            <w:tcW w:w="1440" w:type="dxa"/>
            <w:shd w:val="clear" w:color="auto" w:fill="auto"/>
            <w:vAlign w:val="center"/>
            <w:hideMark/>
          </w:tcPr>
          <w:p w:rsidR="00361444"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(62)</w:t>
            </w:r>
          </w:p>
        </w:tc>
      </w:tr>
      <w:tr w:rsidR="00361444" w:rsidRPr="003E335B" w:rsidTr="00C769AC">
        <w:trPr>
          <w:trHeight w:val="255"/>
        </w:trPr>
        <w:tc>
          <w:tcPr>
            <w:tcW w:w="5006" w:type="dxa"/>
            <w:shd w:val="clear" w:color="auto" w:fill="B8CCE4" w:themeFill="accent1" w:themeFillTint="66"/>
            <w:vAlign w:val="center"/>
            <w:hideMark/>
          </w:tcPr>
          <w:p w:rsidR="00361444" w:rsidRPr="003E335B" w:rsidRDefault="00361444" w:rsidP="000D70EC">
            <w:pPr>
              <w:spacing w:after="100" w:line="240" w:lineRule="auto"/>
              <w:rPr>
                <w:rFonts w:asciiTheme="minorHAnsi" w:hAnsiTheme="minorHAnsi" w:cs="Arial"/>
                <w:sz w:val="20"/>
                <w:szCs w:val="20"/>
              </w:rPr>
            </w:pPr>
            <w:r>
              <w:rPr>
                <w:rFonts w:asciiTheme="minorHAnsi" w:hAnsiTheme="minorHAnsi" w:cs="Arial"/>
                <w:sz w:val="20"/>
                <w:szCs w:val="20"/>
              </w:rPr>
              <w:t>Proceeds from matured short-term deposits</w:t>
            </w:r>
          </w:p>
        </w:tc>
        <w:tc>
          <w:tcPr>
            <w:tcW w:w="2212" w:type="dxa"/>
            <w:shd w:val="clear" w:color="auto" w:fill="B8CCE4" w:themeFill="accent1" w:themeFillTint="66"/>
            <w:vAlign w:val="center"/>
          </w:tcPr>
          <w:p w:rsidR="00361444" w:rsidRPr="003E335B" w:rsidRDefault="00361444" w:rsidP="000D70EC">
            <w:pPr>
              <w:spacing w:after="100" w:line="240" w:lineRule="auto"/>
              <w:rPr>
                <w:rFonts w:asciiTheme="minorHAnsi" w:hAnsiTheme="minorHAnsi" w:cs="Arial"/>
                <w:sz w:val="20"/>
                <w:szCs w:val="20"/>
              </w:rPr>
            </w:pPr>
          </w:p>
        </w:tc>
        <w:tc>
          <w:tcPr>
            <w:tcW w:w="1440" w:type="dxa"/>
            <w:shd w:val="clear" w:color="auto" w:fill="B8CCE4" w:themeFill="accent1" w:themeFillTint="66"/>
            <w:vAlign w:val="center"/>
          </w:tcPr>
          <w:p w:rsidR="00361444"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72</w:t>
            </w:r>
          </w:p>
        </w:tc>
        <w:tc>
          <w:tcPr>
            <w:tcW w:w="1440" w:type="dxa"/>
            <w:shd w:val="clear" w:color="auto" w:fill="B8CCE4" w:themeFill="accent1" w:themeFillTint="66"/>
            <w:vAlign w:val="center"/>
            <w:hideMark/>
          </w:tcPr>
          <w:p w:rsidR="00361444"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r>
      <w:tr w:rsidR="00361444" w:rsidRPr="003E335B" w:rsidTr="00C769AC">
        <w:trPr>
          <w:trHeight w:val="255"/>
        </w:trPr>
        <w:tc>
          <w:tcPr>
            <w:tcW w:w="5006" w:type="dxa"/>
            <w:shd w:val="clear" w:color="auto" w:fill="auto"/>
            <w:vAlign w:val="center"/>
            <w:hideMark/>
          </w:tcPr>
          <w:p w:rsidR="00361444" w:rsidRPr="003E335B" w:rsidRDefault="00361444" w:rsidP="000D70EC">
            <w:pPr>
              <w:spacing w:after="100" w:line="240" w:lineRule="auto"/>
              <w:rPr>
                <w:rFonts w:asciiTheme="minorHAnsi" w:hAnsiTheme="minorHAnsi" w:cs="Arial"/>
                <w:sz w:val="20"/>
                <w:szCs w:val="20"/>
              </w:rPr>
            </w:pPr>
            <w:r>
              <w:rPr>
                <w:rFonts w:asciiTheme="minorHAnsi" w:hAnsiTheme="minorHAnsi" w:cs="Arial"/>
                <w:sz w:val="20"/>
                <w:szCs w:val="20"/>
              </w:rPr>
              <w:t>Investments in intangible and financial assets</w:t>
            </w:r>
          </w:p>
        </w:tc>
        <w:tc>
          <w:tcPr>
            <w:tcW w:w="2212" w:type="dxa"/>
            <w:shd w:val="clear" w:color="auto" w:fill="auto"/>
            <w:vAlign w:val="center"/>
          </w:tcPr>
          <w:p w:rsidR="00361444" w:rsidRPr="003E335B" w:rsidRDefault="00361444" w:rsidP="000D70EC">
            <w:pPr>
              <w:spacing w:after="100" w:line="240" w:lineRule="auto"/>
              <w:rPr>
                <w:rFonts w:asciiTheme="minorHAnsi" w:hAnsiTheme="minorHAnsi" w:cs="Arial"/>
                <w:sz w:val="20"/>
                <w:szCs w:val="20"/>
              </w:rPr>
            </w:pPr>
          </w:p>
        </w:tc>
        <w:tc>
          <w:tcPr>
            <w:tcW w:w="1440" w:type="dxa"/>
            <w:shd w:val="clear" w:color="auto" w:fill="auto"/>
            <w:vAlign w:val="center"/>
          </w:tcPr>
          <w:p w:rsidR="00361444"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(333)</w:t>
            </w:r>
          </w:p>
        </w:tc>
        <w:tc>
          <w:tcPr>
            <w:tcW w:w="1440" w:type="dxa"/>
            <w:shd w:val="clear" w:color="auto" w:fill="auto"/>
            <w:vAlign w:val="center"/>
            <w:hideMark/>
          </w:tcPr>
          <w:p w:rsidR="00361444"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(330)</w:t>
            </w:r>
          </w:p>
        </w:tc>
      </w:tr>
      <w:tr w:rsidR="00361444" w:rsidRPr="003E335B" w:rsidTr="00C769AC">
        <w:trPr>
          <w:trHeight w:val="255"/>
        </w:trPr>
        <w:tc>
          <w:tcPr>
            <w:tcW w:w="5006" w:type="dxa"/>
            <w:shd w:val="clear" w:color="auto" w:fill="B8CCE4" w:themeFill="accent1" w:themeFillTint="66"/>
            <w:vAlign w:val="center"/>
            <w:hideMark/>
          </w:tcPr>
          <w:p w:rsidR="00361444" w:rsidRPr="003E335B" w:rsidRDefault="00361444" w:rsidP="000D70EC">
            <w:pPr>
              <w:spacing w:after="100" w:line="240" w:lineRule="auto"/>
              <w:rPr>
                <w:rFonts w:asciiTheme="minorHAnsi" w:hAnsiTheme="minorHAnsi" w:cs="Arial"/>
                <w:sz w:val="20"/>
                <w:szCs w:val="20"/>
              </w:rPr>
            </w:pPr>
            <w:r>
              <w:rPr>
                <w:rFonts w:asciiTheme="minorHAnsi" w:hAnsiTheme="minorHAnsi" w:cs="Arial"/>
                <w:sz w:val="20"/>
                <w:szCs w:val="20"/>
              </w:rPr>
              <w:t xml:space="preserve">Net proceeds from sale of </w:t>
            </w:r>
            <w:r w:rsidR="001C6E69">
              <w:rPr>
                <w:rFonts w:asciiTheme="minorHAnsi" w:hAnsiTheme="minorHAnsi" w:cs="Arial"/>
                <w:sz w:val="20"/>
                <w:szCs w:val="20"/>
              </w:rPr>
              <w:t>shares</w:t>
            </w:r>
            <w:r>
              <w:rPr>
                <w:rFonts w:asciiTheme="minorHAnsi" w:hAnsiTheme="minorHAnsi" w:cs="Arial"/>
                <w:sz w:val="20"/>
                <w:szCs w:val="20"/>
              </w:rPr>
              <w:t xml:space="preserve"> received on investment divestiture</w:t>
            </w:r>
          </w:p>
        </w:tc>
        <w:tc>
          <w:tcPr>
            <w:tcW w:w="2212" w:type="dxa"/>
            <w:shd w:val="clear" w:color="auto" w:fill="B8CCE4" w:themeFill="accent1" w:themeFillTint="66"/>
            <w:vAlign w:val="center"/>
          </w:tcPr>
          <w:p w:rsidR="00361444" w:rsidRPr="003E335B" w:rsidRDefault="00361444" w:rsidP="000D70EC">
            <w:pPr>
              <w:spacing w:after="100" w:line="240" w:lineRule="auto"/>
              <w:rPr>
                <w:rFonts w:asciiTheme="minorHAnsi" w:hAnsiTheme="minorHAnsi" w:cs="Arial"/>
                <w:sz w:val="20"/>
                <w:szCs w:val="20"/>
              </w:rPr>
            </w:pPr>
          </w:p>
        </w:tc>
        <w:tc>
          <w:tcPr>
            <w:tcW w:w="1440" w:type="dxa"/>
            <w:shd w:val="clear" w:color="auto" w:fill="B8CCE4" w:themeFill="accent1" w:themeFillTint="66"/>
            <w:vAlign w:val="center"/>
          </w:tcPr>
          <w:p w:rsidR="00361444"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196</w:t>
            </w:r>
          </w:p>
        </w:tc>
        <w:tc>
          <w:tcPr>
            <w:tcW w:w="1440" w:type="dxa"/>
            <w:shd w:val="clear" w:color="auto" w:fill="B8CCE4" w:themeFill="accent1" w:themeFillTint="66"/>
            <w:vAlign w:val="center"/>
            <w:hideMark/>
          </w:tcPr>
          <w:p w:rsidR="00361444"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r>
      <w:tr w:rsidR="0013752A" w:rsidRPr="003E335B" w:rsidTr="00C769AC">
        <w:trPr>
          <w:trHeight w:val="255"/>
        </w:trPr>
        <w:tc>
          <w:tcPr>
            <w:tcW w:w="5006" w:type="dxa"/>
            <w:shd w:val="clear" w:color="auto" w:fill="auto"/>
            <w:vAlign w:val="center"/>
            <w:hideMark/>
          </w:tcPr>
          <w:p w:rsidR="0013752A" w:rsidRPr="003E335B" w:rsidRDefault="00361444" w:rsidP="000D70EC">
            <w:pPr>
              <w:spacing w:after="100" w:line="240" w:lineRule="auto"/>
              <w:rPr>
                <w:rFonts w:asciiTheme="minorHAnsi" w:hAnsiTheme="minorHAnsi" w:cs="Arial"/>
                <w:sz w:val="20"/>
                <w:szCs w:val="20"/>
              </w:rPr>
            </w:pPr>
            <w:r>
              <w:rPr>
                <w:rFonts w:asciiTheme="minorHAnsi" w:hAnsiTheme="minorHAnsi" w:cs="Arial"/>
                <w:sz w:val="20"/>
                <w:szCs w:val="20"/>
              </w:rPr>
              <w:t>Payments for business combinations, net of cash and cash equivalents received</w:t>
            </w:r>
          </w:p>
        </w:tc>
        <w:tc>
          <w:tcPr>
            <w:tcW w:w="2212" w:type="dxa"/>
            <w:shd w:val="clear" w:color="auto" w:fill="auto"/>
            <w:vAlign w:val="center"/>
          </w:tcPr>
          <w:p w:rsidR="0013752A" w:rsidRPr="003E335B" w:rsidRDefault="0013752A" w:rsidP="000D70EC">
            <w:pPr>
              <w:spacing w:after="100" w:line="240" w:lineRule="auto"/>
              <w:rPr>
                <w:rFonts w:asciiTheme="minorHAnsi" w:hAnsiTheme="minorHAnsi" w:cs="Arial"/>
                <w:sz w:val="20"/>
                <w:szCs w:val="20"/>
              </w:rPr>
            </w:pPr>
          </w:p>
        </w:tc>
        <w:tc>
          <w:tcPr>
            <w:tcW w:w="1440" w:type="dxa"/>
            <w:shd w:val="clear" w:color="auto" w:fill="auto"/>
            <w:vAlign w:val="center"/>
          </w:tcPr>
          <w:p w:rsidR="0013752A"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(10)</w:t>
            </w:r>
          </w:p>
        </w:tc>
        <w:tc>
          <w:tcPr>
            <w:tcW w:w="1440" w:type="dxa"/>
            <w:shd w:val="clear" w:color="auto" w:fill="auto"/>
            <w:vAlign w:val="center"/>
            <w:hideMark/>
          </w:tcPr>
          <w:p w:rsidR="0013752A"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r>
      <w:tr w:rsidR="0013752A" w:rsidRPr="003E335B" w:rsidTr="00C769AC">
        <w:trPr>
          <w:trHeight w:val="255"/>
        </w:trPr>
        <w:tc>
          <w:tcPr>
            <w:tcW w:w="5006" w:type="dxa"/>
            <w:shd w:val="clear" w:color="auto" w:fill="B8CCE4" w:themeFill="accent1" w:themeFillTint="66"/>
            <w:vAlign w:val="center"/>
            <w:hideMark/>
          </w:tcPr>
          <w:p w:rsidR="0013752A" w:rsidRPr="003E335B" w:rsidRDefault="00361444" w:rsidP="000D70EC">
            <w:pPr>
              <w:spacing w:after="100" w:line="240" w:lineRule="auto"/>
              <w:rPr>
                <w:rFonts w:asciiTheme="minorHAnsi" w:hAnsiTheme="minorHAnsi" w:cs="Arial"/>
                <w:sz w:val="20"/>
                <w:szCs w:val="20"/>
              </w:rPr>
            </w:pPr>
            <w:r>
              <w:rPr>
                <w:rFonts w:asciiTheme="minorHAnsi" w:hAnsiTheme="minorHAnsi" w:cs="Arial"/>
                <w:sz w:val="20"/>
                <w:szCs w:val="20"/>
              </w:rPr>
              <w:t>Interests received</w:t>
            </w:r>
          </w:p>
        </w:tc>
        <w:tc>
          <w:tcPr>
            <w:tcW w:w="2212" w:type="dxa"/>
            <w:shd w:val="clear" w:color="auto" w:fill="B8CCE4" w:themeFill="accent1" w:themeFillTint="66"/>
            <w:vAlign w:val="center"/>
          </w:tcPr>
          <w:p w:rsidR="0013752A" w:rsidRPr="003E335B" w:rsidRDefault="0013752A" w:rsidP="000D70EC">
            <w:pPr>
              <w:spacing w:after="100" w:line="240" w:lineRule="auto"/>
              <w:rPr>
                <w:rFonts w:asciiTheme="minorHAnsi" w:hAnsiTheme="minorHAnsi" w:cs="Arial"/>
                <w:sz w:val="20"/>
                <w:szCs w:val="20"/>
              </w:rPr>
            </w:pPr>
          </w:p>
        </w:tc>
        <w:tc>
          <w:tcPr>
            <w:tcW w:w="1440" w:type="dxa"/>
            <w:tcBorders>
              <w:bottom w:val="single" w:sz="18" w:space="0" w:color="auto"/>
            </w:tcBorders>
            <w:shd w:val="clear" w:color="auto" w:fill="B8CCE4" w:themeFill="accent1" w:themeFillTint="66"/>
            <w:vAlign w:val="center"/>
          </w:tcPr>
          <w:p w:rsidR="0013752A"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8</w:t>
            </w:r>
          </w:p>
        </w:tc>
        <w:tc>
          <w:tcPr>
            <w:tcW w:w="1440" w:type="dxa"/>
            <w:tcBorders>
              <w:bottom w:val="single" w:sz="18" w:space="0" w:color="auto"/>
            </w:tcBorders>
            <w:shd w:val="clear" w:color="auto" w:fill="B8CCE4" w:themeFill="accent1" w:themeFillTint="66"/>
            <w:vAlign w:val="center"/>
            <w:hideMark/>
          </w:tcPr>
          <w:p w:rsidR="0013752A"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13</w:t>
            </w:r>
          </w:p>
        </w:tc>
      </w:tr>
      <w:tr w:rsidR="0013752A" w:rsidRPr="003E335B" w:rsidTr="00C769AC">
        <w:trPr>
          <w:trHeight w:val="255"/>
        </w:trPr>
        <w:tc>
          <w:tcPr>
            <w:tcW w:w="5006" w:type="dxa"/>
            <w:shd w:val="clear" w:color="auto" w:fill="auto"/>
            <w:vAlign w:val="center"/>
            <w:hideMark/>
          </w:tcPr>
          <w:p w:rsidR="0013752A" w:rsidRPr="003E335B" w:rsidRDefault="0013752A" w:rsidP="00F857DE">
            <w:pPr>
              <w:spacing w:after="100" w:line="240" w:lineRule="auto"/>
              <w:rPr>
                <w:rFonts w:asciiTheme="minorHAnsi" w:hAnsiTheme="minorHAnsi" w:cs="Arial"/>
                <w:b/>
                <w:sz w:val="20"/>
                <w:szCs w:val="20"/>
              </w:rPr>
            </w:pPr>
            <w:r w:rsidRPr="003E335B">
              <w:rPr>
                <w:rFonts w:asciiTheme="minorHAnsi" w:hAnsiTheme="minorHAnsi" w:cs="Arial"/>
                <w:b/>
                <w:sz w:val="20"/>
                <w:szCs w:val="20"/>
              </w:rPr>
              <w:t>Net cash used in investing activities</w:t>
            </w:r>
          </w:p>
        </w:tc>
        <w:tc>
          <w:tcPr>
            <w:tcW w:w="2212" w:type="dxa"/>
            <w:shd w:val="clear" w:color="auto" w:fill="auto"/>
            <w:vAlign w:val="center"/>
          </w:tcPr>
          <w:p w:rsidR="0013752A" w:rsidRPr="003E335B" w:rsidRDefault="0013752A" w:rsidP="000D70EC">
            <w:pPr>
              <w:spacing w:after="100" w:line="240" w:lineRule="auto"/>
              <w:rPr>
                <w:rFonts w:asciiTheme="minorHAnsi" w:hAnsiTheme="minorHAnsi" w:cs="Arial"/>
                <w:b/>
                <w:sz w:val="20"/>
                <w:szCs w:val="20"/>
              </w:rPr>
            </w:pPr>
          </w:p>
        </w:tc>
        <w:tc>
          <w:tcPr>
            <w:tcW w:w="1440" w:type="dxa"/>
            <w:tcBorders>
              <w:top w:val="single" w:sz="18" w:space="0" w:color="auto"/>
            </w:tcBorders>
            <w:shd w:val="clear" w:color="auto" w:fill="auto"/>
            <w:vAlign w:val="center"/>
          </w:tcPr>
          <w:p w:rsidR="0013752A" w:rsidRPr="003E335B" w:rsidRDefault="00361444"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(189)</w:t>
            </w:r>
          </w:p>
        </w:tc>
        <w:tc>
          <w:tcPr>
            <w:tcW w:w="1440" w:type="dxa"/>
            <w:tcBorders>
              <w:top w:val="single" w:sz="18" w:space="0" w:color="auto"/>
            </w:tcBorders>
            <w:shd w:val="clear" w:color="auto" w:fill="auto"/>
            <w:vAlign w:val="center"/>
            <w:hideMark/>
          </w:tcPr>
          <w:p w:rsidR="0013752A" w:rsidRPr="003E335B" w:rsidRDefault="0013752A"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(809)</w:t>
            </w:r>
          </w:p>
        </w:tc>
      </w:tr>
      <w:tr w:rsidR="0013752A" w:rsidRPr="003E335B" w:rsidTr="00C769AC">
        <w:trPr>
          <w:trHeight w:val="255"/>
        </w:trPr>
        <w:tc>
          <w:tcPr>
            <w:tcW w:w="5006" w:type="dxa"/>
            <w:shd w:val="clear" w:color="auto" w:fill="B8CCE4" w:themeFill="accent1" w:themeFillTint="66"/>
            <w:vAlign w:val="center"/>
            <w:hideMark/>
          </w:tcPr>
          <w:p w:rsidR="0013752A" w:rsidRPr="003E335B" w:rsidRDefault="0013752A"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Cash flows from financing activities</w:t>
            </w:r>
          </w:p>
        </w:tc>
        <w:tc>
          <w:tcPr>
            <w:tcW w:w="2212" w:type="dxa"/>
            <w:shd w:val="clear" w:color="auto" w:fill="B8CCE4" w:themeFill="accent1" w:themeFillTint="66"/>
            <w:vAlign w:val="center"/>
          </w:tcPr>
          <w:p w:rsidR="0013752A" w:rsidRPr="003E335B" w:rsidRDefault="0013752A" w:rsidP="000D70EC">
            <w:pPr>
              <w:spacing w:after="100" w:line="240" w:lineRule="auto"/>
              <w:rPr>
                <w:rFonts w:asciiTheme="minorHAnsi" w:hAnsiTheme="minorHAnsi" w:cs="Arial"/>
                <w:b/>
                <w:sz w:val="20"/>
                <w:szCs w:val="20"/>
              </w:rPr>
            </w:pPr>
          </w:p>
        </w:tc>
        <w:tc>
          <w:tcPr>
            <w:tcW w:w="1440" w:type="dxa"/>
            <w:shd w:val="clear" w:color="auto" w:fill="B8CCE4" w:themeFill="accent1" w:themeFillTint="66"/>
            <w:vAlign w:val="center"/>
          </w:tcPr>
          <w:p w:rsidR="0013752A" w:rsidRPr="003E335B" w:rsidRDefault="0013752A" w:rsidP="000D70EC">
            <w:pPr>
              <w:spacing w:after="100" w:line="240" w:lineRule="auto"/>
              <w:jc w:val="right"/>
              <w:rPr>
                <w:rFonts w:asciiTheme="minorHAnsi" w:hAnsiTheme="minorHAnsi" w:cs="Arial"/>
                <w:b/>
                <w:sz w:val="20"/>
                <w:szCs w:val="20"/>
              </w:rPr>
            </w:pPr>
          </w:p>
        </w:tc>
        <w:tc>
          <w:tcPr>
            <w:tcW w:w="1440" w:type="dxa"/>
            <w:shd w:val="clear" w:color="auto" w:fill="B8CCE4" w:themeFill="accent1" w:themeFillTint="66"/>
            <w:vAlign w:val="center"/>
          </w:tcPr>
          <w:p w:rsidR="0013752A" w:rsidRPr="003E335B" w:rsidRDefault="0013752A" w:rsidP="000D70EC">
            <w:pPr>
              <w:spacing w:after="100" w:line="240" w:lineRule="auto"/>
              <w:jc w:val="right"/>
              <w:rPr>
                <w:rFonts w:asciiTheme="minorHAnsi" w:hAnsiTheme="minorHAnsi" w:cs="Arial"/>
                <w:b/>
                <w:sz w:val="20"/>
                <w:szCs w:val="20"/>
              </w:rPr>
            </w:pPr>
          </w:p>
        </w:tc>
      </w:tr>
      <w:tr w:rsidR="0013752A" w:rsidRPr="003E335B" w:rsidTr="00C769AC">
        <w:trPr>
          <w:trHeight w:val="255"/>
        </w:trPr>
        <w:tc>
          <w:tcPr>
            <w:tcW w:w="7218" w:type="dxa"/>
            <w:gridSpan w:val="2"/>
            <w:shd w:val="clear" w:color="auto" w:fill="auto"/>
            <w:vAlign w:val="center"/>
            <w:hideMark/>
          </w:tcPr>
          <w:p w:rsidR="0013752A" w:rsidRPr="003E335B" w:rsidRDefault="0013752A"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Proceeds from interest-bearing loans and borrowings</w:t>
            </w:r>
          </w:p>
        </w:tc>
        <w:tc>
          <w:tcPr>
            <w:tcW w:w="1440" w:type="dxa"/>
            <w:shd w:val="clear" w:color="auto" w:fill="auto"/>
            <w:vAlign w:val="center"/>
          </w:tcPr>
          <w:p w:rsidR="0013752A"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158</w:t>
            </w:r>
          </w:p>
        </w:tc>
        <w:tc>
          <w:tcPr>
            <w:tcW w:w="1440" w:type="dxa"/>
            <w:shd w:val="clear" w:color="auto" w:fill="auto"/>
            <w:vAlign w:val="center"/>
          </w:tcPr>
          <w:p w:rsidR="0013752A" w:rsidRPr="003E335B" w:rsidRDefault="00361444" w:rsidP="00361444">
            <w:pPr>
              <w:spacing w:after="100" w:line="240" w:lineRule="auto"/>
              <w:jc w:val="right"/>
              <w:rPr>
                <w:rFonts w:asciiTheme="minorHAnsi" w:hAnsiTheme="minorHAnsi" w:cs="Arial"/>
                <w:sz w:val="20"/>
                <w:szCs w:val="20"/>
              </w:rPr>
            </w:pPr>
            <w:r>
              <w:rPr>
                <w:rFonts w:asciiTheme="minorHAnsi" w:hAnsiTheme="minorHAnsi" w:cs="Arial"/>
                <w:sz w:val="20"/>
                <w:szCs w:val="20"/>
              </w:rPr>
              <w:t>1</w:t>
            </w:r>
          </w:p>
        </w:tc>
      </w:tr>
      <w:tr w:rsidR="0013752A" w:rsidRPr="003E335B" w:rsidTr="00C769AC">
        <w:trPr>
          <w:trHeight w:val="255"/>
        </w:trPr>
        <w:tc>
          <w:tcPr>
            <w:tcW w:w="5006" w:type="dxa"/>
            <w:shd w:val="clear" w:color="auto" w:fill="B8CCE4" w:themeFill="accent1" w:themeFillTint="66"/>
            <w:vAlign w:val="center"/>
            <w:hideMark/>
          </w:tcPr>
          <w:p w:rsidR="0013752A" w:rsidRPr="003E335B" w:rsidRDefault="0013752A"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Repurchase of convertible debt</w:t>
            </w:r>
            <w:r w:rsidR="00361444">
              <w:rPr>
                <w:rFonts w:asciiTheme="minorHAnsi" w:hAnsiTheme="minorHAnsi" w:cs="Arial"/>
                <w:sz w:val="20"/>
                <w:szCs w:val="20"/>
              </w:rPr>
              <w:t xml:space="preserve"> and senior bonds</w:t>
            </w:r>
          </w:p>
        </w:tc>
        <w:tc>
          <w:tcPr>
            <w:tcW w:w="2212" w:type="dxa"/>
            <w:shd w:val="clear" w:color="auto" w:fill="B8CCE4" w:themeFill="accent1" w:themeFillTint="66"/>
            <w:vAlign w:val="center"/>
          </w:tcPr>
          <w:p w:rsidR="0013752A" w:rsidRPr="003E335B" w:rsidRDefault="0013752A" w:rsidP="000D70EC">
            <w:pPr>
              <w:spacing w:after="100" w:line="240" w:lineRule="auto"/>
              <w:rPr>
                <w:rFonts w:asciiTheme="minorHAnsi" w:hAnsiTheme="minorHAnsi" w:cs="Arial"/>
                <w:sz w:val="20"/>
                <w:szCs w:val="20"/>
              </w:rPr>
            </w:pPr>
          </w:p>
        </w:tc>
        <w:tc>
          <w:tcPr>
            <w:tcW w:w="1440" w:type="dxa"/>
            <w:shd w:val="clear" w:color="auto" w:fill="B8CCE4" w:themeFill="accent1" w:themeFillTint="66"/>
            <w:vAlign w:val="center"/>
          </w:tcPr>
          <w:p w:rsidR="0013752A"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(74)</w:t>
            </w:r>
          </w:p>
        </w:tc>
        <w:tc>
          <w:tcPr>
            <w:tcW w:w="1440" w:type="dxa"/>
            <w:shd w:val="clear" w:color="auto" w:fill="B8CCE4" w:themeFill="accent1" w:themeFillTint="66"/>
            <w:vAlign w:val="center"/>
          </w:tcPr>
          <w:p w:rsidR="0013752A" w:rsidRPr="003E335B" w:rsidRDefault="0013752A"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(267)</w:t>
            </w:r>
          </w:p>
        </w:tc>
      </w:tr>
      <w:tr w:rsidR="0013752A" w:rsidRPr="003E335B" w:rsidTr="00C769AC">
        <w:trPr>
          <w:trHeight w:val="255"/>
        </w:trPr>
        <w:tc>
          <w:tcPr>
            <w:tcW w:w="5006" w:type="dxa"/>
            <w:shd w:val="clear" w:color="auto" w:fill="auto"/>
            <w:vAlign w:val="center"/>
            <w:hideMark/>
          </w:tcPr>
          <w:p w:rsidR="0013752A" w:rsidRPr="003E335B" w:rsidRDefault="0013752A"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Repayment of interest-bearing loans and borrowings</w:t>
            </w:r>
          </w:p>
        </w:tc>
        <w:tc>
          <w:tcPr>
            <w:tcW w:w="2212" w:type="dxa"/>
            <w:shd w:val="clear" w:color="auto" w:fill="auto"/>
            <w:vAlign w:val="center"/>
          </w:tcPr>
          <w:p w:rsidR="0013752A" w:rsidRPr="003E335B" w:rsidRDefault="0013752A" w:rsidP="000D70EC">
            <w:pPr>
              <w:spacing w:after="100" w:line="240" w:lineRule="auto"/>
              <w:rPr>
                <w:rFonts w:asciiTheme="minorHAnsi" w:hAnsiTheme="minorHAnsi" w:cs="Arial"/>
                <w:sz w:val="20"/>
                <w:szCs w:val="20"/>
              </w:rPr>
            </w:pPr>
          </w:p>
        </w:tc>
        <w:tc>
          <w:tcPr>
            <w:tcW w:w="1440" w:type="dxa"/>
            <w:shd w:val="clear" w:color="auto" w:fill="auto"/>
            <w:vAlign w:val="center"/>
          </w:tcPr>
          <w:p w:rsidR="0013752A"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(30)</w:t>
            </w:r>
          </w:p>
        </w:tc>
        <w:tc>
          <w:tcPr>
            <w:tcW w:w="1440" w:type="dxa"/>
            <w:shd w:val="clear" w:color="auto" w:fill="auto"/>
            <w:vAlign w:val="center"/>
            <w:hideMark/>
          </w:tcPr>
          <w:p w:rsidR="0013752A" w:rsidRPr="003E335B" w:rsidRDefault="0013752A"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(73)</w:t>
            </w:r>
          </w:p>
        </w:tc>
      </w:tr>
      <w:tr w:rsidR="0013752A" w:rsidRPr="003E335B" w:rsidTr="00C769AC">
        <w:trPr>
          <w:trHeight w:val="255"/>
        </w:trPr>
        <w:tc>
          <w:tcPr>
            <w:tcW w:w="5006" w:type="dxa"/>
            <w:shd w:val="clear" w:color="auto" w:fill="B8CCE4" w:themeFill="accent1" w:themeFillTint="66"/>
            <w:vAlign w:val="center"/>
            <w:hideMark/>
          </w:tcPr>
          <w:p w:rsidR="0013752A" w:rsidRPr="003E335B" w:rsidRDefault="0013752A"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Dividends paid to equity holders of the parent company</w:t>
            </w:r>
          </w:p>
        </w:tc>
        <w:tc>
          <w:tcPr>
            <w:tcW w:w="2212" w:type="dxa"/>
            <w:shd w:val="clear" w:color="auto" w:fill="B8CCE4" w:themeFill="accent1" w:themeFillTint="66"/>
            <w:vAlign w:val="center"/>
          </w:tcPr>
          <w:p w:rsidR="0013752A" w:rsidRPr="003E335B" w:rsidRDefault="0013752A" w:rsidP="000D70EC">
            <w:pPr>
              <w:spacing w:after="100" w:line="240" w:lineRule="auto"/>
              <w:rPr>
                <w:rFonts w:asciiTheme="minorHAnsi" w:hAnsiTheme="minorHAnsi" w:cs="Arial"/>
                <w:sz w:val="20"/>
                <w:szCs w:val="20"/>
              </w:rPr>
            </w:pPr>
          </w:p>
        </w:tc>
        <w:tc>
          <w:tcPr>
            <w:tcW w:w="1440" w:type="dxa"/>
            <w:shd w:val="clear" w:color="auto" w:fill="B8CCE4" w:themeFill="accent1" w:themeFillTint="66"/>
            <w:vAlign w:val="center"/>
          </w:tcPr>
          <w:p w:rsidR="0013752A"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(151)</w:t>
            </w:r>
          </w:p>
        </w:tc>
        <w:tc>
          <w:tcPr>
            <w:tcW w:w="1440" w:type="dxa"/>
            <w:shd w:val="clear" w:color="auto" w:fill="B8CCE4" w:themeFill="accent1" w:themeFillTint="66"/>
            <w:vAlign w:val="center"/>
            <w:hideMark/>
          </w:tcPr>
          <w:p w:rsidR="0013752A" w:rsidRPr="003E335B" w:rsidRDefault="0013752A"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(88)</w:t>
            </w:r>
          </w:p>
        </w:tc>
      </w:tr>
      <w:tr w:rsidR="0013752A" w:rsidRPr="003E335B" w:rsidTr="00C769AC">
        <w:trPr>
          <w:trHeight w:val="255"/>
        </w:trPr>
        <w:tc>
          <w:tcPr>
            <w:tcW w:w="5006" w:type="dxa"/>
            <w:shd w:val="clear" w:color="auto" w:fill="auto"/>
            <w:vAlign w:val="center"/>
            <w:hideMark/>
          </w:tcPr>
          <w:p w:rsidR="0013752A" w:rsidRPr="003E335B" w:rsidRDefault="0013752A"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Payment for other financing activities</w:t>
            </w:r>
          </w:p>
        </w:tc>
        <w:tc>
          <w:tcPr>
            <w:tcW w:w="2212" w:type="dxa"/>
            <w:shd w:val="clear" w:color="auto" w:fill="auto"/>
            <w:vAlign w:val="center"/>
          </w:tcPr>
          <w:p w:rsidR="0013752A" w:rsidRPr="003E335B" w:rsidRDefault="0013752A" w:rsidP="000D70EC">
            <w:pPr>
              <w:spacing w:after="100" w:line="240" w:lineRule="auto"/>
              <w:rPr>
                <w:rFonts w:asciiTheme="minorHAnsi" w:hAnsiTheme="minorHAnsi" w:cs="Arial"/>
                <w:sz w:val="20"/>
                <w:szCs w:val="20"/>
              </w:rPr>
            </w:pPr>
          </w:p>
        </w:tc>
        <w:tc>
          <w:tcPr>
            <w:tcW w:w="1440" w:type="dxa"/>
            <w:tcBorders>
              <w:bottom w:val="single" w:sz="18" w:space="0" w:color="auto"/>
            </w:tcBorders>
            <w:shd w:val="clear" w:color="auto" w:fill="auto"/>
            <w:vAlign w:val="center"/>
          </w:tcPr>
          <w:p w:rsidR="0013752A"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(15)</w:t>
            </w:r>
          </w:p>
        </w:tc>
        <w:tc>
          <w:tcPr>
            <w:tcW w:w="1440" w:type="dxa"/>
            <w:tcBorders>
              <w:bottom w:val="single" w:sz="18" w:space="0" w:color="auto"/>
            </w:tcBorders>
            <w:shd w:val="clear" w:color="auto" w:fill="auto"/>
            <w:vAlign w:val="center"/>
            <w:hideMark/>
          </w:tcPr>
          <w:p w:rsidR="0013752A" w:rsidRPr="003E335B" w:rsidRDefault="0013752A"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(4)</w:t>
            </w:r>
          </w:p>
        </w:tc>
      </w:tr>
      <w:tr w:rsidR="0013752A" w:rsidRPr="003E335B" w:rsidTr="00C769AC">
        <w:trPr>
          <w:trHeight w:val="255"/>
        </w:trPr>
        <w:tc>
          <w:tcPr>
            <w:tcW w:w="5006" w:type="dxa"/>
            <w:shd w:val="clear" w:color="auto" w:fill="B8CCE4" w:themeFill="accent1" w:themeFillTint="66"/>
            <w:vAlign w:val="center"/>
            <w:hideMark/>
          </w:tcPr>
          <w:p w:rsidR="0013752A" w:rsidRPr="003E335B" w:rsidRDefault="0013752A"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Net cash used in financing activities</w:t>
            </w:r>
          </w:p>
        </w:tc>
        <w:tc>
          <w:tcPr>
            <w:tcW w:w="2212" w:type="dxa"/>
            <w:shd w:val="clear" w:color="auto" w:fill="B8CCE4" w:themeFill="accent1" w:themeFillTint="66"/>
            <w:vAlign w:val="center"/>
          </w:tcPr>
          <w:p w:rsidR="0013752A" w:rsidRPr="003E335B" w:rsidRDefault="0013752A" w:rsidP="000D70EC">
            <w:pPr>
              <w:spacing w:after="100" w:line="240" w:lineRule="auto"/>
              <w:rPr>
                <w:rFonts w:asciiTheme="minorHAnsi" w:hAnsiTheme="minorHAnsi" w:cs="Arial"/>
                <w:b/>
                <w:sz w:val="20"/>
                <w:szCs w:val="20"/>
              </w:rPr>
            </w:pPr>
          </w:p>
        </w:tc>
        <w:tc>
          <w:tcPr>
            <w:tcW w:w="1440" w:type="dxa"/>
            <w:tcBorders>
              <w:top w:val="single" w:sz="18" w:space="0" w:color="auto"/>
            </w:tcBorders>
            <w:shd w:val="clear" w:color="auto" w:fill="B8CCE4" w:themeFill="accent1" w:themeFillTint="66"/>
            <w:vAlign w:val="center"/>
          </w:tcPr>
          <w:p w:rsidR="0013752A" w:rsidRPr="003E335B" w:rsidRDefault="00361444"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(112)</w:t>
            </w:r>
          </w:p>
        </w:tc>
        <w:tc>
          <w:tcPr>
            <w:tcW w:w="1440" w:type="dxa"/>
            <w:tcBorders>
              <w:top w:val="single" w:sz="18" w:space="0" w:color="auto"/>
            </w:tcBorders>
            <w:shd w:val="clear" w:color="auto" w:fill="B8CCE4" w:themeFill="accent1" w:themeFillTint="66"/>
            <w:vAlign w:val="center"/>
            <w:hideMark/>
          </w:tcPr>
          <w:p w:rsidR="0013752A" w:rsidRPr="003E335B" w:rsidRDefault="0013752A"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(431)</w:t>
            </w:r>
          </w:p>
        </w:tc>
      </w:tr>
      <w:tr w:rsidR="0013752A" w:rsidRPr="003E335B" w:rsidTr="00C769AC">
        <w:trPr>
          <w:trHeight w:val="255"/>
        </w:trPr>
        <w:tc>
          <w:tcPr>
            <w:tcW w:w="5006" w:type="dxa"/>
            <w:shd w:val="clear" w:color="auto" w:fill="auto"/>
            <w:vAlign w:val="center"/>
            <w:hideMark/>
          </w:tcPr>
          <w:p w:rsidR="0013752A" w:rsidRPr="003E335B" w:rsidRDefault="0013752A"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Effect of changes in exchange rates</w:t>
            </w:r>
          </w:p>
        </w:tc>
        <w:tc>
          <w:tcPr>
            <w:tcW w:w="2212" w:type="dxa"/>
            <w:shd w:val="clear" w:color="auto" w:fill="auto"/>
            <w:vAlign w:val="center"/>
          </w:tcPr>
          <w:p w:rsidR="0013752A" w:rsidRPr="003E335B" w:rsidRDefault="0013752A" w:rsidP="000D70EC">
            <w:pPr>
              <w:spacing w:after="100" w:line="240" w:lineRule="auto"/>
              <w:rPr>
                <w:rFonts w:asciiTheme="minorHAnsi" w:hAnsiTheme="minorHAnsi" w:cs="Arial"/>
                <w:sz w:val="20"/>
                <w:szCs w:val="20"/>
              </w:rPr>
            </w:pPr>
          </w:p>
        </w:tc>
        <w:tc>
          <w:tcPr>
            <w:tcW w:w="1440" w:type="dxa"/>
            <w:tcBorders>
              <w:bottom w:val="single" w:sz="18" w:space="0" w:color="auto"/>
            </w:tcBorders>
            <w:shd w:val="clear" w:color="auto" w:fill="auto"/>
            <w:vAlign w:val="center"/>
          </w:tcPr>
          <w:p w:rsidR="0013752A" w:rsidRPr="003E335B" w:rsidRDefault="00361444" w:rsidP="000D70EC">
            <w:pPr>
              <w:spacing w:after="100" w:line="240" w:lineRule="auto"/>
              <w:jc w:val="right"/>
              <w:rPr>
                <w:rFonts w:asciiTheme="minorHAnsi" w:hAnsiTheme="minorHAnsi" w:cs="Arial"/>
                <w:sz w:val="20"/>
                <w:szCs w:val="20"/>
              </w:rPr>
            </w:pPr>
            <w:r>
              <w:rPr>
                <w:rFonts w:asciiTheme="minorHAnsi" w:hAnsiTheme="minorHAnsi" w:cs="Arial"/>
                <w:sz w:val="20"/>
                <w:szCs w:val="20"/>
              </w:rPr>
              <w:t>12</w:t>
            </w:r>
          </w:p>
        </w:tc>
        <w:tc>
          <w:tcPr>
            <w:tcW w:w="1440" w:type="dxa"/>
            <w:tcBorders>
              <w:bottom w:val="single" w:sz="18" w:space="0" w:color="auto"/>
            </w:tcBorders>
            <w:shd w:val="clear" w:color="auto" w:fill="auto"/>
            <w:vAlign w:val="center"/>
            <w:hideMark/>
          </w:tcPr>
          <w:p w:rsidR="0013752A" w:rsidRPr="003E335B" w:rsidRDefault="0013752A"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(97)</w:t>
            </w:r>
          </w:p>
        </w:tc>
      </w:tr>
      <w:tr w:rsidR="0013752A" w:rsidRPr="003E335B" w:rsidTr="00C769AC">
        <w:trPr>
          <w:trHeight w:val="255"/>
        </w:trPr>
        <w:tc>
          <w:tcPr>
            <w:tcW w:w="5006" w:type="dxa"/>
            <w:shd w:val="clear" w:color="auto" w:fill="B8CCE4" w:themeFill="accent1" w:themeFillTint="66"/>
            <w:vAlign w:val="center"/>
            <w:hideMark/>
          </w:tcPr>
          <w:p w:rsidR="0013752A" w:rsidRPr="003E335B" w:rsidRDefault="0013752A"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Net cash increase (decrease)</w:t>
            </w:r>
          </w:p>
        </w:tc>
        <w:tc>
          <w:tcPr>
            <w:tcW w:w="2212" w:type="dxa"/>
            <w:shd w:val="clear" w:color="auto" w:fill="B8CCE4" w:themeFill="accent1" w:themeFillTint="66"/>
            <w:vAlign w:val="center"/>
          </w:tcPr>
          <w:p w:rsidR="0013752A" w:rsidRPr="003E335B" w:rsidRDefault="0013752A" w:rsidP="000D70EC">
            <w:pPr>
              <w:spacing w:after="100" w:line="240" w:lineRule="auto"/>
              <w:rPr>
                <w:rFonts w:asciiTheme="minorHAnsi" w:hAnsiTheme="minorHAnsi" w:cs="Arial"/>
                <w:b/>
                <w:sz w:val="20"/>
                <w:szCs w:val="20"/>
              </w:rPr>
            </w:pPr>
          </w:p>
        </w:tc>
        <w:tc>
          <w:tcPr>
            <w:tcW w:w="1440" w:type="dxa"/>
            <w:tcBorders>
              <w:top w:val="single" w:sz="18" w:space="0" w:color="auto"/>
            </w:tcBorders>
            <w:shd w:val="clear" w:color="auto" w:fill="B8CCE4" w:themeFill="accent1" w:themeFillTint="66"/>
            <w:vAlign w:val="center"/>
          </w:tcPr>
          <w:p w:rsidR="0013752A" w:rsidRPr="003E335B" w:rsidRDefault="00361444"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463</w:t>
            </w:r>
          </w:p>
        </w:tc>
        <w:tc>
          <w:tcPr>
            <w:tcW w:w="1440" w:type="dxa"/>
            <w:tcBorders>
              <w:top w:val="single" w:sz="18" w:space="0" w:color="auto"/>
            </w:tcBorders>
            <w:shd w:val="clear" w:color="auto" w:fill="B8CCE4" w:themeFill="accent1" w:themeFillTint="66"/>
            <w:vAlign w:val="center"/>
            <w:hideMark/>
          </w:tcPr>
          <w:p w:rsidR="0013752A" w:rsidRPr="003E335B" w:rsidRDefault="0013752A"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(320)</w:t>
            </w:r>
          </w:p>
        </w:tc>
      </w:tr>
      <w:tr w:rsidR="0013752A" w:rsidRPr="003E335B" w:rsidTr="00C769AC">
        <w:trPr>
          <w:trHeight w:val="255"/>
        </w:trPr>
        <w:tc>
          <w:tcPr>
            <w:tcW w:w="5006" w:type="dxa"/>
            <w:shd w:val="clear" w:color="auto" w:fill="auto"/>
            <w:vAlign w:val="center"/>
            <w:hideMark/>
          </w:tcPr>
          <w:p w:rsidR="0013752A" w:rsidRPr="003E335B" w:rsidRDefault="0013752A"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Cash and cash equivalents at the beginning of the period</w:t>
            </w:r>
          </w:p>
        </w:tc>
        <w:tc>
          <w:tcPr>
            <w:tcW w:w="2212" w:type="dxa"/>
            <w:shd w:val="clear" w:color="auto" w:fill="auto"/>
            <w:vAlign w:val="center"/>
          </w:tcPr>
          <w:p w:rsidR="0013752A" w:rsidRPr="003E335B" w:rsidRDefault="0013752A" w:rsidP="000D70EC">
            <w:pPr>
              <w:spacing w:after="100" w:line="240" w:lineRule="auto"/>
              <w:rPr>
                <w:rFonts w:asciiTheme="minorHAnsi" w:hAnsiTheme="minorHAnsi" w:cs="Arial"/>
                <w:b/>
                <w:sz w:val="20"/>
                <w:szCs w:val="20"/>
              </w:rPr>
            </w:pPr>
          </w:p>
        </w:tc>
        <w:tc>
          <w:tcPr>
            <w:tcW w:w="1440" w:type="dxa"/>
            <w:shd w:val="clear" w:color="auto" w:fill="auto"/>
            <w:vAlign w:val="center"/>
          </w:tcPr>
          <w:p w:rsidR="0013752A" w:rsidRPr="003E335B" w:rsidRDefault="00361444"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1,892</w:t>
            </w:r>
          </w:p>
        </w:tc>
        <w:tc>
          <w:tcPr>
            <w:tcW w:w="1440" w:type="dxa"/>
            <w:shd w:val="clear" w:color="auto" w:fill="auto"/>
            <w:vAlign w:val="center"/>
            <w:hideMark/>
          </w:tcPr>
          <w:p w:rsidR="0013752A" w:rsidRPr="003E335B" w:rsidRDefault="0013752A"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1,588</w:t>
            </w:r>
          </w:p>
        </w:tc>
      </w:tr>
      <w:tr w:rsidR="0013752A" w:rsidRPr="003E335B" w:rsidTr="00C769AC">
        <w:trPr>
          <w:trHeight w:val="255"/>
        </w:trPr>
        <w:tc>
          <w:tcPr>
            <w:tcW w:w="5006" w:type="dxa"/>
            <w:tcBorders>
              <w:bottom w:val="single" w:sz="18" w:space="0" w:color="auto"/>
            </w:tcBorders>
            <w:shd w:val="clear" w:color="auto" w:fill="B8CCE4" w:themeFill="accent1" w:themeFillTint="66"/>
            <w:vAlign w:val="center"/>
            <w:hideMark/>
          </w:tcPr>
          <w:p w:rsidR="0013752A" w:rsidRPr="003E335B" w:rsidRDefault="0013752A"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Cash and cash equivalents at the end of the period</w:t>
            </w:r>
          </w:p>
        </w:tc>
        <w:tc>
          <w:tcPr>
            <w:tcW w:w="2212" w:type="dxa"/>
            <w:tcBorders>
              <w:bottom w:val="single" w:sz="18" w:space="0" w:color="auto"/>
            </w:tcBorders>
            <w:shd w:val="clear" w:color="auto" w:fill="B8CCE4" w:themeFill="accent1" w:themeFillTint="66"/>
            <w:vAlign w:val="center"/>
          </w:tcPr>
          <w:p w:rsidR="0013752A" w:rsidRPr="003E335B" w:rsidRDefault="0013752A" w:rsidP="000D70EC">
            <w:pPr>
              <w:spacing w:after="100" w:line="240" w:lineRule="auto"/>
              <w:rPr>
                <w:rFonts w:asciiTheme="minorHAnsi" w:hAnsiTheme="minorHAnsi" w:cs="Arial"/>
                <w:b/>
                <w:sz w:val="20"/>
                <w:szCs w:val="20"/>
              </w:rPr>
            </w:pPr>
          </w:p>
        </w:tc>
        <w:tc>
          <w:tcPr>
            <w:tcW w:w="1440" w:type="dxa"/>
            <w:tcBorders>
              <w:bottom w:val="single" w:sz="18" w:space="0" w:color="auto"/>
            </w:tcBorders>
            <w:shd w:val="clear" w:color="auto" w:fill="B8CCE4" w:themeFill="accent1" w:themeFillTint="66"/>
            <w:vAlign w:val="center"/>
          </w:tcPr>
          <w:p w:rsidR="0013752A" w:rsidRPr="003E335B" w:rsidRDefault="00361444"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2,355</w:t>
            </w:r>
          </w:p>
        </w:tc>
        <w:tc>
          <w:tcPr>
            <w:tcW w:w="1440" w:type="dxa"/>
            <w:tcBorders>
              <w:bottom w:val="single" w:sz="18" w:space="0" w:color="auto"/>
            </w:tcBorders>
            <w:shd w:val="clear" w:color="auto" w:fill="B8CCE4" w:themeFill="accent1" w:themeFillTint="66"/>
            <w:vAlign w:val="center"/>
            <w:hideMark/>
          </w:tcPr>
          <w:p w:rsidR="0013752A" w:rsidRPr="003E335B" w:rsidRDefault="0013752A"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1,268</w:t>
            </w:r>
          </w:p>
        </w:tc>
      </w:tr>
    </w:tbl>
    <w:bookmarkEnd w:id="48"/>
    <w:p w:rsidR="00847BCE" w:rsidRPr="003E335B" w:rsidRDefault="00211E4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 xml:space="preserve">The accompanying notes are an integral part of these </w:t>
      </w:r>
      <w:r w:rsidR="005E1E77">
        <w:rPr>
          <w:rFonts w:asciiTheme="minorHAnsi" w:hAnsiTheme="minorHAnsi" w:cs="Arial"/>
          <w:sz w:val="20"/>
          <w:szCs w:val="20"/>
        </w:rPr>
        <w:t>Semi-Annual</w:t>
      </w:r>
      <w:r w:rsidRPr="003E335B">
        <w:rPr>
          <w:rFonts w:asciiTheme="minorHAnsi" w:hAnsiTheme="minorHAnsi" w:cs="Arial"/>
          <w:sz w:val="20"/>
          <w:szCs w:val="20"/>
        </w:rPr>
        <w:t xml:space="preserve"> </w:t>
      </w:r>
      <w:r w:rsidR="005E1E77">
        <w:rPr>
          <w:rFonts w:asciiTheme="minorHAnsi" w:hAnsiTheme="minorHAnsi" w:cs="Arial"/>
          <w:sz w:val="20"/>
          <w:szCs w:val="20"/>
        </w:rPr>
        <w:t>Financial Statements</w:t>
      </w:r>
    </w:p>
    <w:p w:rsidR="00930447" w:rsidRPr="003E335B" w:rsidRDefault="00930447" w:rsidP="000D70EC">
      <w:pPr>
        <w:pStyle w:val="Title2"/>
        <w:spacing w:before="0" w:after="100" w:line="240" w:lineRule="auto"/>
        <w:rPr>
          <w:rFonts w:asciiTheme="minorHAnsi" w:hAnsiTheme="minorHAnsi"/>
          <w:sz w:val="20"/>
          <w:szCs w:val="20"/>
        </w:rPr>
        <w:sectPr w:rsidR="00930447" w:rsidRPr="003E335B" w:rsidSect="007D1EF2">
          <w:headerReference w:type="default" r:id="rId16"/>
          <w:pgSz w:w="12240" w:h="15840"/>
          <w:pgMar w:top="1530" w:right="1185" w:bottom="284" w:left="1185" w:header="284" w:footer="284" w:gutter="0"/>
          <w:cols w:space="708"/>
          <w:docGrid w:linePitch="360"/>
        </w:sectPr>
      </w:pPr>
      <w:bookmarkStart w:id="49" w:name="_Toc257898967"/>
      <w:bookmarkStart w:id="50" w:name="_Toc258421327"/>
      <w:bookmarkStart w:id="51" w:name="_Toc265058915"/>
    </w:p>
    <w:p w:rsidR="00847BCE" w:rsidRPr="003E335B" w:rsidRDefault="00847BCE" w:rsidP="000D70EC">
      <w:pPr>
        <w:pStyle w:val="Title2"/>
        <w:spacing w:before="0" w:after="100" w:line="240" w:lineRule="auto"/>
        <w:rPr>
          <w:rFonts w:asciiTheme="minorHAnsi" w:hAnsiTheme="minorHAnsi"/>
          <w:sz w:val="20"/>
          <w:szCs w:val="20"/>
        </w:rPr>
      </w:pPr>
      <w:bookmarkStart w:id="52" w:name="_Toc297204170"/>
      <w:bookmarkStart w:id="53" w:name="_Toc300834230"/>
      <w:r w:rsidRPr="003E335B">
        <w:rPr>
          <w:rFonts w:asciiTheme="minorHAnsi" w:hAnsiTheme="minorHAnsi"/>
          <w:sz w:val="20"/>
          <w:szCs w:val="20"/>
        </w:rPr>
        <w:lastRenderedPageBreak/>
        <w:t xml:space="preserve">Notes to the </w:t>
      </w:r>
      <w:r w:rsidR="005E1E77">
        <w:rPr>
          <w:rFonts w:asciiTheme="minorHAnsi" w:hAnsiTheme="minorHAnsi"/>
          <w:sz w:val="20"/>
          <w:szCs w:val="20"/>
        </w:rPr>
        <w:t>Semi-Annual</w:t>
      </w:r>
      <w:r w:rsidRPr="003E335B">
        <w:rPr>
          <w:rFonts w:asciiTheme="minorHAnsi" w:hAnsiTheme="minorHAnsi"/>
          <w:sz w:val="20"/>
          <w:szCs w:val="20"/>
        </w:rPr>
        <w:t xml:space="preserve"> </w:t>
      </w:r>
      <w:bookmarkEnd w:id="36"/>
      <w:bookmarkEnd w:id="37"/>
      <w:r w:rsidR="005E1E77">
        <w:rPr>
          <w:rFonts w:asciiTheme="minorHAnsi" w:hAnsiTheme="minorHAnsi"/>
          <w:sz w:val="20"/>
          <w:szCs w:val="20"/>
        </w:rPr>
        <w:t>Financial Statements</w:t>
      </w:r>
      <w:bookmarkStart w:id="54" w:name="_Toc239128598"/>
      <w:bookmarkEnd w:id="49"/>
      <w:bookmarkEnd w:id="50"/>
      <w:bookmarkEnd w:id="51"/>
      <w:bookmarkEnd w:id="52"/>
      <w:bookmarkEnd w:id="53"/>
    </w:p>
    <w:p w:rsidR="00847BCE" w:rsidRPr="003E335B" w:rsidRDefault="00847BCE" w:rsidP="000D70EC">
      <w:pPr>
        <w:spacing w:after="100" w:line="240" w:lineRule="auto"/>
        <w:rPr>
          <w:rFonts w:asciiTheme="minorHAnsi" w:hAnsiTheme="minorHAnsi" w:cs="Arial"/>
          <w:sz w:val="20"/>
          <w:szCs w:val="20"/>
        </w:rPr>
      </w:pPr>
    </w:p>
    <w:p w:rsidR="00847BCE" w:rsidRPr="003E335B" w:rsidRDefault="00847BCE" w:rsidP="000D70EC">
      <w:pPr>
        <w:pStyle w:val="Title3"/>
        <w:spacing w:after="100" w:line="240" w:lineRule="auto"/>
        <w:rPr>
          <w:rFonts w:asciiTheme="minorHAnsi" w:hAnsiTheme="minorHAnsi"/>
          <w:sz w:val="20"/>
          <w:szCs w:val="20"/>
        </w:rPr>
      </w:pPr>
      <w:bookmarkStart w:id="55" w:name="_Toc265058916"/>
      <w:bookmarkStart w:id="56" w:name="_Toc258421328"/>
      <w:bookmarkStart w:id="57" w:name="_Toc257898968"/>
      <w:bookmarkStart w:id="58" w:name="_Toc254686816"/>
      <w:bookmarkStart w:id="59" w:name="_Toc266868908"/>
      <w:bookmarkStart w:id="60" w:name="_Toc266869124"/>
      <w:bookmarkStart w:id="61" w:name="_Toc266885159"/>
      <w:bookmarkStart w:id="62" w:name="_Toc266886345"/>
      <w:bookmarkStart w:id="63" w:name="_Toc269825389"/>
      <w:bookmarkStart w:id="64" w:name="_Toc297204171"/>
      <w:bookmarkStart w:id="65" w:name="_Toc300834231"/>
      <w:r w:rsidRPr="003E335B">
        <w:rPr>
          <w:rFonts w:asciiTheme="minorHAnsi" w:hAnsiTheme="minorHAnsi"/>
          <w:sz w:val="20"/>
          <w:szCs w:val="20"/>
        </w:rPr>
        <w:t>Corporate information</w:t>
      </w:r>
      <w:bookmarkEnd w:id="54"/>
      <w:bookmarkEnd w:id="55"/>
      <w:bookmarkEnd w:id="56"/>
      <w:bookmarkEnd w:id="57"/>
      <w:bookmarkEnd w:id="58"/>
      <w:bookmarkEnd w:id="59"/>
      <w:bookmarkEnd w:id="60"/>
      <w:bookmarkEnd w:id="61"/>
      <w:bookmarkEnd w:id="62"/>
      <w:bookmarkEnd w:id="63"/>
      <w:bookmarkEnd w:id="64"/>
      <w:bookmarkEnd w:id="65"/>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STMicroelectronics N.V. (t</w:t>
      </w:r>
      <w:r w:rsidR="00793ED4" w:rsidRPr="003E335B">
        <w:rPr>
          <w:rFonts w:asciiTheme="minorHAnsi" w:hAnsiTheme="minorHAnsi" w:cs="Arial"/>
          <w:sz w:val="20"/>
          <w:szCs w:val="20"/>
        </w:rPr>
        <w:t>he “Company”) is registered in t</w:t>
      </w:r>
      <w:r w:rsidRPr="003E335B">
        <w:rPr>
          <w:rFonts w:asciiTheme="minorHAnsi" w:hAnsiTheme="minorHAnsi" w:cs="Arial"/>
          <w:sz w:val="20"/>
          <w:szCs w:val="20"/>
        </w:rPr>
        <w:t>he Netherlands with its statutory domicile in 265, Schiphol Boulevard, Amsterdam and its corporate headquarters located in Geneva, Switzerland.</w:t>
      </w:r>
    </w:p>
    <w:p w:rsidR="008733F0" w:rsidRDefault="00847BCE">
      <w:pPr>
        <w:spacing w:after="100" w:line="240" w:lineRule="auto"/>
        <w:jc w:val="both"/>
        <w:rPr>
          <w:rFonts w:asciiTheme="minorHAnsi" w:hAnsiTheme="minorHAnsi" w:cs="Arial"/>
          <w:sz w:val="20"/>
          <w:szCs w:val="20"/>
        </w:rPr>
      </w:pPr>
      <w:bookmarkStart w:id="66" w:name="OLE_LINK7"/>
      <w:bookmarkStart w:id="67" w:name="OLE_LINK8"/>
      <w:r w:rsidRPr="003E335B">
        <w:rPr>
          <w:rFonts w:asciiTheme="minorHAnsi" w:hAnsiTheme="minorHAnsi" w:cs="Arial"/>
          <w:sz w:val="20"/>
          <w:szCs w:val="20"/>
        </w:rPr>
        <w:t>STMicroelectronics and its subsidi</w:t>
      </w:r>
      <w:r w:rsidR="00923FB4">
        <w:rPr>
          <w:rFonts w:asciiTheme="minorHAnsi" w:hAnsiTheme="minorHAnsi" w:cs="Arial"/>
          <w:sz w:val="20"/>
          <w:szCs w:val="20"/>
        </w:rPr>
        <w:t>aries (together “the Group”) is</w:t>
      </w:r>
      <w:r w:rsidRPr="003E335B">
        <w:rPr>
          <w:rFonts w:asciiTheme="minorHAnsi" w:hAnsiTheme="minorHAnsi" w:cs="Arial"/>
          <w:sz w:val="20"/>
          <w:szCs w:val="20"/>
        </w:rPr>
        <w:t xml:space="preserve"> a global independent semiconductor </w:t>
      </w:r>
      <w:r w:rsidR="00F2521F" w:rsidRPr="003E335B">
        <w:rPr>
          <w:rFonts w:asciiTheme="minorHAnsi" w:hAnsiTheme="minorHAnsi" w:cs="Arial"/>
          <w:sz w:val="20"/>
          <w:szCs w:val="20"/>
        </w:rPr>
        <w:t>group</w:t>
      </w:r>
      <w:r w:rsidRPr="003E335B">
        <w:rPr>
          <w:rFonts w:asciiTheme="minorHAnsi" w:hAnsiTheme="minorHAnsi" w:cs="Arial"/>
          <w:sz w:val="20"/>
          <w:szCs w:val="20"/>
        </w:rPr>
        <w:t xml:space="preserve"> that designs, develops, manufactures and markets a broad range of semiconductor integrated circuits (“ICs”) and discrete devices. The Group offers a diversified product portfolio and develops products for a wide range of market applications, including automotive products, computer peripherals, telecommunications systems, consumer products, industrial automation and control systems. Within its diversified portfolio, the Group has focused on developing products that leverage its technological strengths in creating customized, system-l</w:t>
      </w:r>
      <w:r w:rsidR="00385D7B">
        <w:rPr>
          <w:rFonts w:asciiTheme="minorHAnsi" w:hAnsiTheme="minorHAnsi" w:cs="Arial"/>
          <w:sz w:val="20"/>
          <w:szCs w:val="20"/>
        </w:rPr>
        <w:t xml:space="preserve">evel solutions with </w:t>
      </w:r>
      <w:r w:rsidRPr="003E335B">
        <w:rPr>
          <w:rFonts w:asciiTheme="minorHAnsi" w:hAnsiTheme="minorHAnsi" w:cs="Arial"/>
          <w:sz w:val="20"/>
          <w:szCs w:val="20"/>
        </w:rPr>
        <w:t>digital and mixed-signal content.</w:t>
      </w:r>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STMicroelectronics is a publicly traded company, listed on the New York Stock Exchange, Euronext Paris and Borsa Italiana (Italian Stock Exchange).</w:t>
      </w:r>
      <w:bookmarkEnd w:id="66"/>
      <w:bookmarkEnd w:id="67"/>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 xml:space="preserve">The Group’s fiscal year ends on December 31. Interim periods are established for accounting purposes on a thirteen-week basis. The Group’s first quarter ended on </w:t>
      </w:r>
      <w:r w:rsidR="0013752A" w:rsidRPr="003E335B">
        <w:rPr>
          <w:rFonts w:asciiTheme="minorHAnsi" w:hAnsiTheme="minorHAnsi" w:cs="Arial"/>
          <w:sz w:val="20"/>
          <w:szCs w:val="20"/>
        </w:rPr>
        <w:t>April 2</w:t>
      </w:r>
      <w:r w:rsidRPr="003E335B">
        <w:rPr>
          <w:rFonts w:asciiTheme="minorHAnsi" w:hAnsiTheme="minorHAnsi" w:cs="Arial"/>
          <w:sz w:val="20"/>
          <w:szCs w:val="20"/>
        </w:rPr>
        <w:t>, 201</w:t>
      </w:r>
      <w:r w:rsidR="0013752A" w:rsidRPr="003E335B">
        <w:rPr>
          <w:rFonts w:asciiTheme="minorHAnsi" w:hAnsiTheme="minorHAnsi" w:cs="Arial"/>
          <w:sz w:val="20"/>
          <w:szCs w:val="20"/>
        </w:rPr>
        <w:t>1</w:t>
      </w:r>
      <w:r w:rsidRPr="003E335B">
        <w:rPr>
          <w:rFonts w:asciiTheme="minorHAnsi" w:hAnsiTheme="minorHAnsi" w:cs="Arial"/>
          <w:sz w:val="20"/>
          <w:szCs w:val="20"/>
        </w:rPr>
        <w:t>. Its first half ended on Ju</w:t>
      </w:r>
      <w:r w:rsidR="0013752A" w:rsidRPr="003E335B">
        <w:rPr>
          <w:rFonts w:asciiTheme="minorHAnsi" w:hAnsiTheme="minorHAnsi" w:cs="Arial"/>
          <w:sz w:val="20"/>
          <w:szCs w:val="20"/>
        </w:rPr>
        <w:t>ly</w:t>
      </w:r>
      <w:r w:rsidRPr="003E335B">
        <w:rPr>
          <w:rFonts w:asciiTheme="minorHAnsi" w:hAnsiTheme="minorHAnsi" w:cs="Arial"/>
          <w:sz w:val="20"/>
          <w:szCs w:val="20"/>
        </w:rPr>
        <w:t xml:space="preserve"> 2, 201</w:t>
      </w:r>
      <w:r w:rsidR="0013752A" w:rsidRPr="003E335B">
        <w:rPr>
          <w:rFonts w:asciiTheme="minorHAnsi" w:hAnsiTheme="minorHAnsi" w:cs="Arial"/>
          <w:sz w:val="20"/>
          <w:szCs w:val="20"/>
        </w:rPr>
        <w:t>1</w:t>
      </w:r>
      <w:r w:rsidRPr="003E335B">
        <w:rPr>
          <w:rFonts w:asciiTheme="minorHAnsi" w:hAnsiTheme="minorHAnsi" w:cs="Arial"/>
          <w:sz w:val="20"/>
          <w:szCs w:val="20"/>
        </w:rPr>
        <w:t xml:space="preserve">, its third quarter will end on </w:t>
      </w:r>
      <w:r w:rsidR="0013752A" w:rsidRPr="003E335B">
        <w:rPr>
          <w:rFonts w:asciiTheme="minorHAnsi" w:hAnsiTheme="minorHAnsi" w:cs="Arial"/>
          <w:sz w:val="20"/>
          <w:szCs w:val="20"/>
        </w:rPr>
        <w:t>October 1</w:t>
      </w:r>
      <w:r w:rsidRPr="003E335B">
        <w:rPr>
          <w:rFonts w:asciiTheme="minorHAnsi" w:hAnsiTheme="minorHAnsi" w:cs="Arial"/>
          <w:sz w:val="20"/>
          <w:szCs w:val="20"/>
        </w:rPr>
        <w:t>, 201</w:t>
      </w:r>
      <w:r w:rsidR="0013752A" w:rsidRPr="003E335B">
        <w:rPr>
          <w:rFonts w:asciiTheme="minorHAnsi" w:hAnsiTheme="minorHAnsi" w:cs="Arial"/>
          <w:sz w:val="20"/>
          <w:szCs w:val="20"/>
        </w:rPr>
        <w:t>1</w:t>
      </w:r>
      <w:r w:rsidRPr="003E335B">
        <w:rPr>
          <w:rFonts w:asciiTheme="minorHAnsi" w:hAnsiTheme="minorHAnsi" w:cs="Arial"/>
          <w:sz w:val="20"/>
          <w:szCs w:val="20"/>
        </w:rPr>
        <w:t xml:space="preserve"> and its fourth quarter will end on December 31, 201</w:t>
      </w:r>
      <w:r w:rsidR="0013752A" w:rsidRPr="003E335B">
        <w:rPr>
          <w:rFonts w:asciiTheme="minorHAnsi" w:hAnsiTheme="minorHAnsi" w:cs="Arial"/>
          <w:sz w:val="20"/>
          <w:szCs w:val="20"/>
        </w:rPr>
        <w:t>1</w:t>
      </w:r>
      <w:r w:rsidRPr="003E335B">
        <w:rPr>
          <w:rFonts w:asciiTheme="minorHAnsi" w:hAnsiTheme="minorHAnsi" w:cs="Arial"/>
          <w:sz w:val="20"/>
          <w:szCs w:val="20"/>
        </w:rPr>
        <w:t xml:space="preserve">. </w:t>
      </w:r>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 xml:space="preserve">These unaudited </w:t>
      </w:r>
      <w:r w:rsidR="005E1E77">
        <w:rPr>
          <w:rFonts w:asciiTheme="minorHAnsi" w:hAnsiTheme="minorHAnsi" w:cs="Arial"/>
          <w:sz w:val="20"/>
          <w:szCs w:val="20"/>
        </w:rPr>
        <w:t>Semi-Annual</w:t>
      </w:r>
      <w:r w:rsidRPr="003E335B">
        <w:rPr>
          <w:rFonts w:asciiTheme="minorHAnsi" w:hAnsiTheme="minorHAnsi" w:cs="Arial"/>
          <w:sz w:val="20"/>
          <w:szCs w:val="20"/>
        </w:rPr>
        <w:t xml:space="preserve"> </w:t>
      </w:r>
      <w:r w:rsidR="005E1E77">
        <w:rPr>
          <w:rFonts w:asciiTheme="minorHAnsi" w:hAnsiTheme="minorHAnsi" w:cs="Arial"/>
          <w:sz w:val="20"/>
          <w:szCs w:val="20"/>
        </w:rPr>
        <w:t>Financial Statements</w:t>
      </w:r>
      <w:r w:rsidRPr="003E335B">
        <w:rPr>
          <w:rFonts w:asciiTheme="minorHAnsi" w:hAnsiTheme="minorHAnsi" w:cs="Arial"/>
          <w:sz w:val="20"/>
          <w:szCs w:val="20"/>
        </w:rPr>
        <w:t xml:space="preserve"> have been approved on August 2</w:t>
      </w:r>
      <w:r w:rsidR="0013752A" w:rsidRPr="003E335B">
        <w:rPr>
          <w:rFonts w:asciiTheme="minorHAnsi" w:hAnsiTheme="minorHAnsi" w:cs="Arial"/>
          <w:sz w:val="20"/>
          <w:szCs w:val="20"/>
        </w:rPr>
        <w:t>3</w:t>
      </w:r>
      <w:r w:rsidRPr="003E335B">
        <w:rPr>
          <w:rFonts w:asciiTheme="minorHAnsi" w:hAnsiTheme="minorHAnsi" w:cs="Arial"/>
          <w:sz w:val="20"/>
          <w:szCs w:val="20"/>
        </w:rPr>
        <w:t>, 201</w:t>
      </w:r>
      <w:r w:rsidR="0013752A" w:rsidRPr="003E335B">
        <w:rPr>
          <w:rFonts w:asciiTheme="minorHAnsi" w:hAnsiTheme="minorHAnsi" w:cs="Arial"/>
          <w:sz w:val="20"/>
          <w:szCs w:val="20"/>
        </w:rPr>
        <w:t>1</w:t>
      </w:r>
      <w:r w:rsidRPr="003E335B">
        <w:rPr>
          <w:rFonts w:asciiTheme="minorHAnsi" w:hAnsiTheme="minorHAnsi" w:cs="Arial"/>
          <w:sz w:val="20"/>
          <w:szCs w:val="20"/>
        </w:rPr>
        <w:t xml:space="preserve"> for issue by the Supervisory Board.</w:t>
      </w:r>
    </w:p>
    <w:p w:rsidR="00847BCE" w:rsidRPr="003E335B" w:rsidRDefault="00847BCE" w:rsidP="000D70EC">
      <w:pPr>
        <w:spacing w:after="100" w:line="240" w:lineRule="auto"/>
        <w:rPr>
          <w:rFonts w:asciiTheme="minorHAnsi" w:hAnsiTheme="minorHAnsi" w:cs="Arial"/>
          <w:sz w:val="20"/>
          <w:szCs w:val="20"/>
        </w:rPr>
      </w:pPr>
    </w:p>
    <w:p w:rsidR="00847BCE" w:rsidRPr="003E335B" w:rsidRDefault="00847BCE" w:rsidP="000D70EC">
      <w:pPr>
        <w:pStyle w:val="Title3"/>
        <w:spacing w:after="100" w:line="240" w:lineRule="auto"/>
        <w:rPr>
          <w:rFonts w:asciiTheme="minorHAnsi" w:hAnsiTheme="minorHAnsi"/>
          <w:sz w:val="20"/>
          <w:szCs w:val="20"/>
        </w:rPr>
      </w:pPr>
      <w:bookmarkStart w:id="68" w:name="_Toc265058917"/>
      <w:bookmarkStart w:id="69" w:name="_Toc258421329"/>
      <w:bookmarkStart w:id="70" w:name="_Toc257898969"/>
      <w:bookmarkStart w:id="71" w:name="_Toc254686817"/>
      <w:bookmarkStart w:id="72" w:name="_Toc239128599"/>
      <w:bookmarkStart w:id="73" w:name="_Toc266868909"/>
      <w:bookmarkStart w:id="74" w:name="_Toc266869125"/>
      <w:bookmarkStart w:id="75" w:name="_Toc266885160"/>
      <w:bookmarkStart w:id="76" w:name="_Toc266886346"/>
      <w:bookmarkStart w:id="77" w:name="_Toc269825390"/>
      <w:bookmarkStart w:id="78" w:name="_Toc297204172"/>
      <w:bookmarkStart w:id="79" w:name="_Toc300834232"/>
      <w:r w:rsidRPr="003E335B">
        <w:rPr>
          <w:rFonts w:asciiTheme="minorHAnsi" w:hAnsiTheme="minorHAnsi"/>
          <w:sz w:val="20"/>
          <w:szCs w:val="20"/>
        </w:rPr>
        <w:t>Basis of preparation</w:t>
      </w:r>
      <w:bookmarkEnd w:id="68"/>
      <w:bookmarkEnd w:id="69"/>
      <w:bookmarkEnd w:id="70"/>
      <w:bookmarkEnd w:id="71"/>
      <w:bookmarkEnd w:id="72"/>
      <w:bookmarkEnd w:id="73"/>
      <w:bookmarkEnd w:id="74"/>
      <w:bookmarkEnd w:id="75"/>
      <w:bookmarkEnd w:id="76"/>
      <w:bookmarkEnd w:id="77"/>
      <w:bookmarkEnd w:id="78"/>
      <w:bookmarkEnd w:id="79"/>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 xml:space="preserve">These unaudited </w:t>
      </w:r>
      <w:r w:rsidR="005E1E77">
        <w:rPr>
          <w:rFonts w:asciiTheme="minorHAnsi" w:hAnsiTheme="minorHAnsi" w:cs="Arial"/>
          <w:sz w:val="20"/>
          <w:szCs w:val="20"/>
        </w:rPr>
        <w:t>Semi-Annual</w:t>
      </w:r>
      <w:r w:rsidRPr="003E335B">
        <w:rPr>
          <w:rFonts w:asciiTheme="minorHAnsi" w:hAnsiTheme="minorHAnsi" w:cs="Arial"/>
          <w:sz w:val="20"/>
          <w:szCs w:val="20"/>
        </w:rPr>
        <w:t xml:space="preserve"> </w:t>
      </w:r>
      <w:r w:rsidR="005E1E77">
        <w:rPr>
          <w:rFonts w:asciiTheme="minorHAnsi" w:hAnsiTheme="minorHAnsi" w:cs="Arial"/>
          <w:sz w:val="20"/>
          <w:szCs w:val="20"/>
        </w:rPr>
        <w:t>Financial Statements</w:t>
      </w:r>
      <w:r w:rsidRPr="003E335B">
        <w:rPr>
          <w:rFonts w:asciiTheme="minorHAnsi" w:hAnsiTheme="minorHAnsi" w:cs="Arial"/>
          <w:sz w:val="20"/>
          <w:szCs w:val="20"/>
        </w:rPr>
        <w:t xml:space="preserve"> for the six months ended Ju</w:t>
      </w:r>
      <w:r w:rsidR="0013752A" w:rsidRPr="003E335B">
        <w:rPr>
          <w:rFonts w:asciiTheme="minorHAnsi" w:hAnsiTheme="minorHAnsi" w:cs="Arial"/>
          <w:sz w:val="20"/>
          <w:szCs w:val="20"/>
        </w:rPr>
        <w:t>ly</w:t>
      </w:r>
      <w:r w:rsidRPr="003E335B">
        <w:rPr>
          <w:rFonts w:asciiTheme="minorHAnsi" w:hAnsiTheme="minorHAnsi" w:cs="Arial"/>
          <w:sz w:val="20"/>
          <w:szCs w:val="20"/>
        </w:rPr>
        <w:t xml:space="preserve"> 2, 201</w:t>
      </w:r>
      <w:r w:rsidR="0013752A" w:rsidRPr="003E335B">
        <w:rPr>
          <w:rFonts w:asciiTheme="minorHAnsi" w:hAnsiTheme="minorHAnsi" w:cs="Arial"/>
          <w:sz w:val="20"/>
          <w:szCs w:val="20"/>
        </w:rPr>
        <w:t>1</w:t>
      </w:r>
      <w:r w:rsidRPr="003E335B">
        <w:rPr>
          <w:rFonts w:asciiTheme="minorHAnsi" w:hAnsiTheme="minorHAnsi" w:cs="Arial"/>
          <w:sz w:val="20"/>
          <w:szCs w:val="20"/>
        </w:rPr>
        <w:t xml:space="preserve"> have been prepared in accordance with IAS 34 Interim Financial Reporting, as adopted in the European Union. </w:t>
      </w:r>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 xml:space="preserve">The unaudited </w:t>
      </w:r>
      <w:r w:rsidR="005E1E77">
        <w:rPr>
          <w:rFonts w:asciiTheme="minorHAnsi" w:hAnsiTheme="minorHAnsi" w:cs="Arial"/>
          <w:sz w:val="20"/>
          <w:szCs w:val="20"/>
        </w:rPr>
        <w:t>Semi-Annual</w:t>
      </w:r>
      <w:r w:rsidRPr="003E335B">
        <w:rPr>
          <w:rFonts w:asciiTheme="minorHAnsi" w:hAnsiTheme="minorHAnsi" w:cs="Arial"/>
          <w:sz w:val="20"/>
          <w:szCs w:val="20"/>
        </w:rPr>
        <w:t xml:space="preserve"> </w:t>
      </w:r>
      <w:r w:rsidR="005E1E77">
        <w:rPr>
          <w:rFonts w:asciiTheme="minorHAnsi" w:hAnsiTheme="minorHAnsi" w:cs="Arial"/>
          <w:sz w:val="20"/>
          <w:szCs w:val="20"/>
        </w:rPr>
        <w:t>Financial Statements</w:t>
      </w:r>
      <w:r w:rsidRPr="003E335B">
        <w:rPr>
          <w:rFonts w:asciiTheme="minorHAnsi" w:hAnsiTheme="minorHAnsi" w:cs="Arial"/>
          <w:sz w:val="20"/>
          <w:szCs w:val="20"/>
        </w:rPr>
        <w:t xml:space="preserve"> do not include all the information and disclosures required in the annual financial statements. They should be read in </w:t>
      </w:r>
      <w:bookmarkStart w:id="80" w:name="OLE_LINK3"/>
      <w:bookmarkStart w:id="81" w:name="OLE_LINK4"/>
      <w:r w:rsidRPr="003E335B">
        <w:rPr>
          <w:rFonts w:asciiTheme="minorHAnsi" w:hAnsiTheme="minorHAnsi" w:cs="Arial"/>
          <w:sz w:val="20"/>
          <w:szCs w:val="20"/>
        </w:rPr>
        <w:t>conjunction with the annual financial statements for the year ended December 31, 20</w:t>
      </w:r>
      <w:r w:rsidR="0013752A" w:rsidRPr="003E335B">
        <w:rPr>
          <w:rFonts w:asciiTheme="minorHAnsi" w:hAnsiTheme="minorHAnsi" w:cs="Arial"/>
          <w:sz w:val="20"/>
          <w:szCs w:val="20"/>
        </w:rPr>
        <w:t>10</w:t>
      </w:r>
      <w:r w:rsidRPr="003E335B">
        <w:rPr>
          <w:rFonts w:asciiTheme="minorHAnsi" w:hAnsiTheme="minorHAnsi" w:cs="Arial"/>
          <w:sz w:val="20"/>
          <w:szCs w:val="20"/>
        </w:rPr>
        <w:t>, prepared in accordance with IFRS</w:t>
      </w:r>
      <w:r w:rsidR="000D7374" w:rsidRPr="003E335B">
        <w:rPr>
          <w:rFonts w:asciiTheme="minorHAnsi" w:hAnsiTheme="minorHAnsi" w:cs="Arial"/>
          <w:sz w:val="20"/>
          <w:szCs w:val="20"/>
        </w:rPr>
        <w:t>, as adopted in the European Union</w:t>
      </w:r>
      <w:r w:rsidRPr="003E335B">
        <w:rPr>
          <w:rFonts w:asciiTheme="minorHAnsi" w:hAnsiTheme="minorHAnsi" w:cs="Arial"/>
          <w:sz w:val="20"/>
          <w:szCs w:val="20"/>
        </w:rPr>
        <w:t>, filed with the AFM (Autoriteit Financiële Markten) o</w:t>
      </w:r>
      <w:r w:rsidR="0009694B" w:rsidRPr="003E335B">
        <w:rPr>
          <w:rFonts w:asciiTheme="minorHAnsi" w:hAnsiTheme="minorHAnsi" w:cs="Arial"/>
          <w:sz w:val="20"/>
          <w:szCs w:val="20"/>
        </w:rPr>
        <w:t>n</w:t>
      </w:r>
      <w:r w:rsidR="00F2521F" w:rsidRPr="003E335B">
        <w:rPr>
          <w:rFonts w:asciiTheme="minorHAnsi" w:hAnsiTheme="minorHAnsi" w:cs="Arial"/>
          <w:sz w:val="20"/>
          <w:szCs w:val="20"/>
        </w:rPr>
        <w:t xml:space="preserve"> </w:t>
      </w:r>
      <w:r w:rsidR="005B0603">
        <w:rPr>
          <w:rFonts w:asciiTheme="minorHAnsi" w:hAnsiTheme="minorHAnsi" w:cs="Arial"/>
          <w:sz w:val="20"/>
          <w:szCs w:val="20"/>
        </w:rPr>
        <w:t>March 17, 2011</w:t>
      </w:r>
      <w:r w:rsidR="00F2521F" w:rsidRPr="003E335B">
        <w:rPr>
          <w:rFonts w:asciiTheme="minorHAnsi" w:hAnsiTheme="minorHAnsi" w:cs="Arial"/>
          <w:sz w:val="20"/>
          <w:szCs w:val="20"/>
        </w:rPr>
        <w:t xml:space="preserve"> and approved </w:t>
      </w:r>
      <w:r w:rsidR="0009694B" w:rsidRPr="003E335B">
        <w:rPr>
          <w:rFonts w:asciiTheme="minorHAnsi" w:hAnsiTheme="minorHAnsi" w:cs="Arial"/>
          <w:sz w:val="20"/>
          <w:szCs w:val="20"/>
        </w:rPr>
        <w:t>by the shareholders at</w:t>
      </w:r>
      <w:r w:rsidRPr="003E335B">
        <w:rPr>
          <w:rFonts w:asciiTheme="minorHAnsi" w:hAnsiTheme="minorHAnsi" w:cs="Arial"/>
          <w:sz w:val="20"/>
          <w:szCs w:val="20"/>
        </w:rPr>
        <w:t xml:space="preserve"> the Annual Shareholders’ Meeting on May </w:t>
      </w:r>
      <w:r w:rsidR="005B0603">
        <w:rPr>
          <w:rFonts w:asciiTheme="minorHAnsi" w:hAnsiTheme="minorHAnsi" w:cs="Arial"/>
          <w:sz w:val="20"/>
          <w:szCs w:val="20"/>
        </w:rPr>
        <w:t>3</w:t>
      </w:r>
      <w:r w:rsidRPr="003E335B">
        <w:rPr>
          <w:rFonts w:asciiTheme="minorHAnsi" w:hAnsiTheme="minorHAnsi" w:cs="Arial"/>
          <w:sz w:val="20"/>
          <w:szCs w:val="20"/>
        </w:rPr>
        <w:t xml:space="preserve">, </w:t>
      </w:r>
      <w:r w:rsidR="005B0603" w:rsidRPr="003E335B">
        <w:rPr>
          <w:rFonts w:asciiTheme="minorHAnsi" w:hAnsiTheme="minorHAnsi" w:cs="Arial"/>
          <w:sz w:val="20"/>
          <w:szCs w:val="20"/>
        </w:rPr>
        <w:t>201</w:t>
      </w:r>
      <w:r w:rsidR="005B0603">
        <w:rPr>
          <w:rFonts w:asciiTheme="minorHAnsi" w:hAnsiTheme="minorHAnsi" w:cs="Arial"/>
          <w:sz w:val="20"/>
          <w:szCs w:val="20"/>
        </w:rPr>
        <w:t>1</w:t>
      </w:r>
      <w:r w:rsidRPr="003E335B">
        <w:rPr>
          <w:rFonts w:asciiTheme="minorHAnsi" w:hAnsiTheme="minorHAnsi" w:cs="Arial"/>
          <w:sz w:val="20"/>
          <w:szCs w:val="20"/>
        </w:rPr>
        <w:t>.</w:t>
      </w:r>
      <w:bookmarkEnd w:id="80"/>
      <w:bookmarkEnd w:id="81"/>
    </w:p>
    <w:p w:rsidR="00847BCE" w:rsidRPr="003E335B" w:rsidRDefault="00847BCE" w:rsidP="000D70EC">
      <w:pPr>
        <w:pStyle w:val="Title3"/>
        <w:spacing w:after="100" w:line="240" w:lineRule="auto"/>
        <w:rPr>
          <w:rFonts w:asciiTheme="minorHAnsi" w:hAnsiTheme="minorHAnsi"/>
          <w:sz w:val="20"/>
          <w:szCs w:val="20"/>
        </w:rPr>
      </w:pPr>
      <w:r w:rsidRPr="003E335B">
        <w:rPr>
          <w:rFonts w:asciiTheme="minorHAnsi" w:hAnsiTheme="minorHAnsi"/>
          <w:sz w:val="20"/>
          <w:szCs w:val="20"/>
        </w:rPr>
        <w:br w:type="page"/>
      </w:r>
      <w:bookmarkStart w:id="82" w:name="_Toc258421332"/>
      <w:bookmarkStart w:id="83" w:name="_Toc257898972"/>
      <w:bookmarkStart w:id="84" w:name="_Toc254686820"/>
      <w:bookmarkStart w:id="85" w:name="_Toc265058918"/>
      <w:bookmarkStart w:id="86" w:name="_Toc266868910"/>
      <w:bookmarkStart w:id="87" w:name="_Toc266869126"/>
      <w:bookmarkStart w:id="88" w:name="_Toc266885161"/>
      <w:bookmarkStart w:id="89" w:name="_Toc266886347"/>
      <w:bookmarkStart w:id="90" w:name="_Toc269825391"/>
      <w:bookmarkStart w:id="91" w:name="_Toc297204173"/>
      <w:bookmarkStart w:id="92" w:name="_Toc300834233"/>
      <w:r w:rsidRPr="003E335B">
        <w:rPr>
          <w:rFonts w:asciiTheme="minorHAnsi" w:hAnsiTheme="minorHAnsi"/>
          <w:sz w:val="20"/>
          <w:szCs w:val="20"/>
        </w:rPr>
        <w:lastRenderedPageBreak/>
        <w:t>Significant accounting policies</w:t>
      </w:r>
      <w:bookmarkEnd w:id="82"/>
      <w:bookmarkEnd w:id="83"/>
      <w:bookmarkEnd w:id="84"/>
      <w:bookmarkEnd w:id="85"/>
      <w:bookmarkEnd w:id="86"/>
      <w:bookmarkEnd w:id="87"/>
      <w:bookmarkEnd w:id="88"/>
      <w:bookmarkEnd w:id="89"/>
      <w:bookmarkEnd w:id="90"/>
      <w:bookmarkEnd w:id="91"/>
      <w:bookmarkEnd w:id="92"/>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 xml:space="preserve">The accounting policies adopted in the preparation of the </w:t>
      </w:r>
      <w:r w:rsidR="005E1E77">
        <w:rPr>
          <w:rFonts w:asciiTheme="minorHAnsi" w:hAnsiTheme="minorHAnsi" w:cs="Arial"/>
          <w:sz w:val="20"/>
          <w:szCs w:val="20"/>
        </w:rPr>
        <w:t>Semi-Annual</w:t>
      </w:r>
      <w:r w:rsidRPr="003E335B">
        <w:rPr>
          <w:rFonts w:asciiTheme="minorHAnsi" w:hAnsiTheme="minorHAnsi" w:cs="Arial"/>
          <w:sz w:val="20"/>
          <w:szCs w:val="20"/>
        </w:rPr>
        <w:t xml:space="preserve"> </w:t>
      </w:r>
      <w:r w:rsidR="005E1E77">
        <w:rPr>
          <w:rFonts w:asciiTheme="minorHAnsi" w:hAnsiTheme="minorHAnsi" w:cs="Arial"/>
          <w:sz w:val="20"/>
          <w:szCs w:val="20"/>
        </w:rPr>
        <w:t>Financial Statements</w:t>
      </w:r>
      <w:r w:rsidRPr="003E335B">
        <w:rPr>
          <w:rFonts w:asciiTheme="minorHAnsi" w:hAnsiTheme="minorHAnsi" w:cs="Arial"/>
          <w:sz w:val="20"/>
          <w:szCs w:val="20"/>
        </w:rPr>
        <w:t xml:space="preserve"> are consistent with those followed in the preparation of the Group’s annual financial statements for the year ended December 31, 20</w:t>
      </w:r>
      <w:r w:rsidR="006D777B">
        <w:rPr>
          <w:rFonts w:asciiTheme="minorHAnsi" w:hAnsiTheme="minorHAnsi" w:cs="Arial"/>
          <w:sz w:val="20"/>
          <w:szCs w:val="20"/>
        </w:rPr>
        <w:t>10</w:t>
      </w:r>
      <w:r w:rsidRPr="003E335B">
        <w:rPr>
          <w:rFonts w:asciiTheme="minorHAnsi" w:hAnsiTheme="minorHAnsi" w:cs="Arial"/>
          <w:sz w:val="20"/>
          <w:szCs w:val="20"/>
        </w:rPr>
        <w:t xml:space="preserve">, except for the adoption of new Standards and amendments to Standards </w:t>
      </w:r>
      <w:r w:rsidR="006D777B">
        <w:rPr>
          <w:rFonts w:asciiTheme="minorHAnsi" w:hAnsiTheme="minorHAnsi" w:cs="Arial"/>
          <w:sz w:val="20"/>
          <w:szCs w:val="20"/>
        </w:rPr>
        <w:t>effective from</w:t>
      </w:r>
      <w:r w:rsidRPr="003E335B">
        <w:rPr>
          <w:rFonts w:asciiTheme="minorHAnsi" w:hAnsiTheme="minorHAnsi" w:cs="Arial"/>
          <w:sz w:val="20"/>
          <w:szCs w:val="20"/>
        </w:rPr>
        <w:t xml:space="preserve"> January 1, 201</w:t>
      </w:r>
      <w:r w:rsidR="00D90C3A" w:rsidRPr="003E335B">
        <w:rPr>
          <w:rFonts w:asciiTheme="minorHAnsi" w:hAnsiTheme="minorHAnsi" w:cs="Arial"/>
          <w:sz w:val="20"/>
          <w:szCs w:val="20"/>
        </w:rPr>
        <w:t>1</w:t>
      </w:r>
      <w:r w:rsidRPr="003E335B">
        <w:rPr>
          <w:rFonts w:asciiTheme="minorHAnsi" w:hAnsiTheme="minorHAnsi" w:cs="Arial"/>
          <w:sz w:val="20"/>
          <w:szCs w:val="20"/>
        </w:rPr>
        <w:t>. The adoption of new standards and interpretations effective from January 1, 201</w:t>
      </w:r>
      <w:r w:rsidR="00D90C3A" w:rsidRPr="003E335B">
        <w:rPr>
          <w:rFonts w:asciiTheme="minorHAnsi" w:hAnsiTheme="minorHAnsi" w:cs="Arial"/>
          <w:sz w:val="20"/>
          <w:szCs w:val="20"/>
        </w:rPr>
        <w:t>1</w:t>
      </w:r>
      <w:r w:rsidRPr="003E335B">
        <w:rPr>
          <w:rFonts w:asciiTheme="minorHAnsi" w:hAnsiTheme="minorHAnsi" w:cs="Arial"/>
          <w:sz w:val="20"/>
          <w:szCs w:val="20"/>
        </w:rPr>
        <w:t xml:space="preserve"> were not relevant or did not have a material impact on the Group’s </w:t>
      </w:r>
      <w:r w:rsidR="005E1E77">
        <w:rPr>
          <w:rFonts w:asciiTheme="minorHAnsi" w:hAnsiTheme="minorHAnsi" w:cs="Arial"/>
          <w:sz w:val="20"/>
          <w:szCs w:val="20"/>
        </w:rPr>
        <w:t>Semi-Annual Financial Statements</w:t>
      </w:r>
      <w:r w:rsidRPr="003E335B">
        <w:rPr>
          <w:rFonts w:asciiTheme="minorHAnsi" w:hAnsiTheme="minorHAnsi" w:cs="Arial"/>
          <w:sz w:val="20"/>
          <w:szCs w:val="20"/>
        </w:rPr>
        <w:t>.</w:t>
      </w:r>
    </w:p>
    <w:p w:rsidR="00847BCE" w:rsidRPr="003E335B" w:rsidRDefault="00847BCE" w:rsidP="000D70EC">
      <w:pPr>
        <w:pStyle w:val="Title3"/>
        <w:spacing w:after="100" w:line="240" w:lineRule="auto"/>
        <w:rPr>
          <w:rFonts w:asciiTheme="minorHAnsi" w:hAnsiTheme="minorHAnsi"/>
          <w:sz w:val="20"/>
          <w:szCs w:val="20"/>
        </w:rPr>
      </w:pPr>
      <w:bookmarkStart w:id="93" w:name="_Toc265058919"/>
      <w:bookmarkStart w:id="94" w:name="_Toc258421335"/>
      <w:bookmarkStart w:id="95" w:name="_Toc257898975"/>
      <w:bookmarkStart w:id="96" w:name="_Toc254686846"/>
      <w:bookmarkStart w:id="97" w:name="_Toc266868911"/>
      <w:bookmarkStart w:id="98" w:name="_Toc266869127"/>
      <w:bookmarkStart w:id="99" w:name="_Toc266885162"/>
      <w:bookmarkStart w:id="100" w:name="_Toc266886348"/>
      <w:bookmarkStart w:id="101" w:name="_Toc269825392"/>
      <w:bookmarkStart w:id="102" w:name="_Toc297204174"/>
      <w:bookmarkStart w:id="103" w:name="_Toc300834234"/>
      <w:r w:rsidRPr="003E335B">
        <w:rPr>
          <w:rFonts w:asciiTheme="minorHAnsi" w:hAnsiTheme="minorHAnsi"/>
          <w:sz w:val="20"/>
          <w:szCs w:val="20"/>
        </w:rPr>
        <w:t>Estimates</w:t>
      </w:r>
      <w:bookmarkEnd w:id="93"/>
      <w:bookmarkEnd w:id="94"/>
      <w:bookmarkEnd w:id="95"/>
      <w:bookmarkEnd w:id="96"/>
      <w:bookmarkEnd w:id="97"/>
      <w:bookmarkEnd w:id="98"/>
      <w:bookmarkEnd w:id="99"/>
      <w:bookmarkEnd w:id="100"/>
      <w:bookmarkEnd w:id="101"/>
      <w:bookmarkEnd w:id="102"/>
      <w:bookmarkEnd w:id="103"/>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 xml:space="preserve">The preparation of the </w:t>
      </w:r>
      <w:r w:rsidR="00F72C35">
        <w:rPr>
          <w:rFonts w:asciiTheme="minorHAnsi" w:hAnsiTheme="minorHAnsi" w:cs="Arial"/>
          <w:sz w:val="20"/>
          <w:szCs w:val="20"/>
        </w:rPr>
        <w:t>S</w:t>
      </w:r>
      <w:r w:rsidRPr="003E335B">
        <w:rPr>
          <w:rFonts w:asciiTheme="minorHAnsi" w:hAnsiTheme="minorHAnsi" w:cs="Arial"/>
          <w:sz w:val="20"/>
          <w:szCs w:val="20"/>
        </w:rPr>
        <w:t>emi-</w:t>
      </w:r>
      <w:r w:rsidR="00F72C35">
        <w:rPr>
          <w:rFonts w:asciiTheme="minorHAnsi" w:hAnsiTheme="minorHAnsi" w:cs="Arial"/>
          <w:sz w:val="20"/>
          <w:szCs w:val="20"/>
        </w:rPr>
        <w:t>A</w:t>
      </w:r>
      <w:r w:rsidR="00F72C35" w:rsidRPr="003E335B">
        <w:rPr>
          <w:rFonts w:asciiTheme="minorHAnsi" w:hAnsiTheme="minorHAnsi" w:cs="Arial"/>
          <w:sz w:val="20"/>
          <w:szCs w:val="20"/>
        </w:rPr>
        <w:t xml:space="preserve">nnual </w:t>
      </w:r>
      <w:r w:rsidR="005E1E77">
        <w:rPr>
          <w:rFonts w:asciiTheme="minorHAnsi" w:hAnsiTheme="minorHAnsi" w:cs="Arial"/>
          <w:sz w:val="20"/>
          <w:szCs w:val="20"/>
        </w:rPr>
        <w:t>Financial Statements</w:t>
      </w:r>
      <w:r w:rsidRPr="003E335B">
        <w:rPr>
          <w:rFonts w:asciiTheme="minorHAnsi" w:hAnsiTheme="minorHAnsi" w:cs="Arial"/>
          <w:sz w:val="20"/>
          <w:szCs w:val="20"/>
        </w:rPr>
        <w:t xml:space="preserve"> requires management to make judgments, estimates and assumptions that affect the application of accounting policies and the reported amount of assets and liabilities, income and expenses. Actual results may differ from these estimates.</w:t>
      </w:r>
    </w:p>
    <w:p w:rsidR="008733F0" w:rsidRDefault="000B3BDE">
      <w:pPr>
        <w:spacing w:after="100" w:line="240" w:lineRule="auto"/>
        <w:jc w:val="both"/>
        <w:rPr>
          <w:rFonts w:asciiTheme="minorHAnsi" w:hAnsiTheme="minorHAnsi" w:cs="Arial"/>
          <w:sz w:val="20"/>
          <w:szCs w:val="20"/>
        </w:rPr>
      </w:pPr>
      <w:r w:rsidRPr="003E335B">
        <w:rPr>
          <w:rFonts w:asciiTheme="minorHAnsi" w:hAnsiTheme="minorHAnsi" w:cs="Arial"/>
          <w:sz w:val="20"/>
          <w:szCs w:val="20"/>
        </w:rPr>
        <w:t xml:space="preserve">In preparing these </w:t>
      </w:r>
      <w:r w:rsidR="005E1E77">
        <w:rPr>
          <w:rFonts w:asciiTheme="minorHAnsi" w:hAnsiTheme="minorHAnsi" w:cs="Arial"/>
          <w:sz w:val="20"/>
          <w:szCs w:val="20"/>
        </w:rPr>
        <w:t>Semi-Annual Financial Statements</w:t>
      </w:r>
      <w:r w:rsidRPr="003E335B">
        <w:rPr>
          <w:rFonts w:asciiTheme="minorHAnsi" w:hAnsiTheme="minorHAnsi" w:cs="Arial"/>
          <w:sz w:val="20"/>
          <w:szCs w:val="20"/>
        </w:rPr>
        <w:t xml:space="preserve">, the significant </w:t>
      </w:r>
      <w:r w:rsidR="006D777B" w:rsidRPr="003E335B">
        <w:rPr>
          <w:rFonts w:asciiTheme="minorHAnsi" w:hAnsiTheme="minorHAnsi" w:cs="Arial"/>
          <w:sz w:val="20"/>
          <w:szCs w:val="20"/>
        </w:rPr>
        <w:t>judgments</w:t>
      </w:r>
      <w:r w:rsidRPr="003E335B">
        <w:rPr>
          <w:rFonts w:asciiTheme="minorHAnsi" w:hAnsiTheme="minorHAnsi" w:cs="Arial"/>
          <w:sz w:val="20"/>
          <w:szCs w:val="20"/>
        </w:rPr>
        <w:t xml:space="preserve"> made by management in applying the Group’s accounting policies and the key sources of estimation uncertainty were the same as those that applied to the consolidated </w:t>
      </w:r>
      <w:r w:rsidR="005E1E77">
        <w:rPr>
          <w:rFonts w:asciiTheme="minorHAnsi" w:hAnsiTheme="minorHAnsi" w:cs="Arial"/>
          <w:sz w:val="20"/>
          <w:szCs w:val="20"/>
        </w:rPr>
        <w:t>Financial Statements</w:t>
      </w:r>
      <w:r w:rsidRPr="003E335B">
        <w:rPr>
          <w:rFonts w:asciiTheme="minorHAnsi" w:hAnsiTheme="minorHAnsi" w:cs="Arial"/>
          <w:sz w:val="20"/>
          <w:szCs w:val="20"/>
        </w:rPr>
        <w:t xml:space="preserve"> for the year ended December 31, 2010, with the exception of changes in estimates that are required in determining the provision for income taxes and disclosure of exceptional items.</w:t>
      </w:r>
    </w:p>
    <w:p w:rsidR="00847BCE" w:rsidRPr="003E335B" w:rsidRDefault="00847BCE" w:rsidP="000D70EC">
      <w:pPr>
        <w:pStyle w:val="Title3"/>
        <w:spacing w:after="100" w:line="240" w:lineRule="auto"/>
        <w:rPr>
          <w:rFonts w:asciiTheme="minorHAnsi" w:hAnsiTheme="minorHAnsi"/>
          <w:sz w:val="20"/>
          <w:szCs w:val="20"/>
        </w:rPr>
      </w:pPr>
      <w:bookmarkStart w:id="104" w:name="_Toc265058920"/>
      <w:bookmarkStart w:id="105" w:name="_Toc258421355"/>
      <w:bookmarkStart w:id="106" w:name="_Toc257898995"/>
      <w:bookmarkStart w:id="107" w:name="_Toc266868912"/>
      <w:bookmarkStart w:id="108" w:name="_Toc266869128"/>
      <w:bookmarkStart w:id="109" w:name="_Toc266885163"/>
      <w:bookmarkStart w:id="110" w:name="_Toc266886349"/>
      <w:bookmarkStart w:id="111" w:name="_Toc269825393"/>
      <w:bookmarkStart w:id="112" w:name="_Toc297204175"/>
      <w:bookmarkStart w:id="113" w:name="_Toc300834235"/>
      <w:bookmarkStart w:id="114" w:name="_Ref255285825"/>
      <w:bookmarkStart w:id="115" w:name="_Ref255234079"/>
      <w:bookmarkStart w:id="116" w:name="_Ref255234078"/>
      <w:bookmarkStart w:id="117" w:name="_Toc239128673"/>
      <w:r w:rsidRPr="003E335B">
        <w:rPr>
          <w:rFonts w:asciiTheme="minorHAnsi" w:hAnsiTheme="minorHAnsi"/>
          <w:sz w:val="20"/>
          <w:szCs w:val="20"/>
        </w:rPr>
        <w:t>Operating segment information</w:t>
      </w:r>
      <w:bookmarkEnd w:id="104"/>
      <w:bookmarkEnd w:id="105"/>
      <w:bookmarkEnd w:id="106"/>
      <w:bookmarkEnd w:id="107"/>
      <w:bookmarkEnd w:id="108"/>
      <w:bookmarkEnd w:id="109"/>
      <w:bookmarkEnd w:id="110"/>
      <w:bookmarkEnd w:id="111"/>
      <w:bookmarkEnd w:id="112"/>
      <w:bookmarkEnd w:id="113"/>
    </w:p>
    <w:p w:rsidR="008733F0" w:rsidRDefault="00F05957">
      <w:pPr>
        <w:spacing w:line="240" w:lineRule="auto"/>
        <w:jc w:val="both"/>
        <w:rPr>
          <w:rFonts w:asciiTheme="minorHAnsi" w:hAnsiTheme="minorHAnsi" w:cs="Arial"/>
          <w:sz w:val="20"/>
          <w:szCs w:val="20"/>
        </w:rPr>
      </w:pPr>
      <w:r w:rsidRPr="003E335B">
        <w:rPr>
          <w:rFonts w:asciiTheme="minorHAnsi" w:hAnsiTheme="minorHAnsi" w:cs="Arial"/>
          <w:sz w:val="20"/>
          <w:szCs w:val="20"/>
        </w:rPr>
        <w:t xml:space="preserve">We operate in two business areas: Semiconductors and Subsystems. </w:t>
      </w:r>
    </w:p>
    <w:p w:rsidR="008733F0" w:rsidRDefault="00F05957">
      <w:pPr>
        <w:spacing w:line="240" w:lineRule="auto"/>
        <w:jc w:val="both"/>
        <w:rPr>
          <w:rFonts w:asciiTheme="minorHAnsi" w:hAnsiTheme="minorHAnsi" w:cs="Arial"/>
          <w:sz w:val="20"/>
          <w:szCs w:val="20"/>
        </w:rPr>
      </w:pPr>
      <w:r w:rsidRPr="003E335B">
        <w:rPr>
          <w:rFonts w:asciiTheme="minorHAnsi" w:hAnsiTheme="minorHAnsi" w:cs="Arial"/>
          <w:sz w:val="20"/>
          <w:szCs w:val="20"/>
        </w:rPr>
        <w:t>In the Semiconductors business area, we design, develop, manufacture and market a broad range of products, including discrete and standard commodity components, application-specific integrated circuits (“ASICs”), full-custom devices and semi-custom devices and application-specific standard products (“ASSPs”) for analog, digital and mixed-signal applications. In addition, we further participate in the manufacturing value chain of Smartcard products through our divisions, which include the production and sale of both silicon chips and Smart cards.</w:t>
      </w:r>
    </w:p>
    <w:p w:rsidR="008733F0" w:rsidRDefault="00F05957">
      <w:pPr>
        <w:spacing w:line="240" w:lineRule="auto"/>
        <w:jc w:val="both"/>
        <w:rPr>
          <w:rFonts w:asciiTheme="minorHAnsi" w:hAnsiTheme="minorHAnsi" w:cs="Arial"/>
          <w:sz w:val="20"/>
          <w:szCs w:val="20"/>
        </w:rPr>
      </w:pPr>
      <w:r w:rsidRPr="003E335B">
        <w:rPr>
          <w:rFonts w:asciiTheme="minorHAnsi" w:hAnsiTheme="minorHAnsi" w:cs="Arial"/>
          <w:sz w:val="20"/>
          <w:szCs w:val="20"/>
        </w:rPr>
        <w:t>As of January 1, 2011 we changed the segment organization structure. The current organization is as follows:</w:t>
      </w:r>
    </w:p>
    <w:p w:rsidR="00F05957" w:rsidRPr="003E335B" w:rsidRDefault="00F05957" w:rsidP="000A1B34">
      <w:pPr>
        <w:pStyle w:val="ListParagraph"/>
        <w:numPr>
          <w:ilvl w:val="0"/>
          <w:numId w:val="47"/>
        </w:numPr>
        <w:spacing w:line="240" w:lineRule="auto"/>
        <w:rPr>
          <w:rFonts w:cs="Arial"/>
        </w:rPr>
      </w:pPr>
      <w:r w:rsidRPr="003E335B">
        <w:rPr>
          <w:rFonts w:cs="Arial"/>
        </w:rPr>
        <w:t>Automotive, Consumer, Computer and Communication Infrastructure (“ACCI”), comprised of:</w:t>
      </w:r>
    </w:p>
    <w:p w:rsidR="00F05957" w:rsidRPr="003E335B" w:rsidRDefault="00F05957" w:rsidP="000A1B34">
      <w:pPr>
        <w:pStyle w:val="ListParagraph"/>
        <w:numPr>
          <w:ilvl w:val="1"/>
          <w:numId w:val="47"/>
        </w:numPr>
        <w:spacing w:line="240" w:lineRule="auto"/>
        <w:rPr>
          <w:rFonts w:cs="Arial"/>
        </w:rPr>
      </w:pPr>
      <w:r w:rsidRPr="003E335B">
        <w:rPr>
          <w:rFonts w:cs="Arial"/>
        </w:rPr>
        <w:t>Automotive Products Group (“APG”);</w:t>
      </w:r>
    </w:p>
    <w:p w:rsidR="00F05957" w:rsidRPr="003E335B" w:rsidRDefault="00F05957" w:rsidP="000A1B34">
      <w:pPr>
        <w:pStyle w:val="ListParagraph"/>
        <w:numPr>
          <w:ilvl w:val="1"/>
          <w:numId w:val="47"/>
        </w:numPr>
        <w:spacing w:line="240" w:lineRule="auto"/>
        <w:rPr>
          <w:rFonts w:cs="Arial"/>
        </w:rPr>
      </w:pPr>
      <w:r w:rsidRPr="003E335B">
        <w:rPr>
          <w:rFonts w:cs="Arial"/>
        </w:rPr>
        <w:t xml:space="preserve">Computer and Communication Infrastructure (“CCI”); </w:t>
      </w:r>
    </w:p>
    <w:p w:rsidR="00254A1E" w:rsidRDefault="00F05957">
      <w:pPr>
        <w:pStyle w:val="ListParagraph"/>
        <w:numPr>
          <w:ilvl w:val="1"/>
          <w:numId w:val="47"/>
        </w:numPr>
        <w:spacing w:line="240" w:lineRule="auto"/>
        <w:rPr>
          <w:rFonts w:cs="Arial"/>
        </w:rPr>
      </w:pPr>
      <w:r w:rsidRPr="003E335B">
        <w:rPr>
          <w:rFonts w:cs="Arial"/>
        </w:rPr>
        <w:t xml:space="preserve">Home Entertainment &amp; Displays (“HED”); and </w:t>
      </w:r>
    </w:p>
    <w:p w:rsidR="00254A1E" w:rsidRDefault="00F05957">
      <w:pPr>
        <w:pStyle w:val="ListParagraph"/>
        <w:numPr>
          <w:ilvl w:val="1"/>
          <w:numId w:val="47"/>
        </w:numPr>
        <w:spacing w:line="240" w:lineRule="auto"/>
        <w:rPr>
          <w:rFonts w:cs="Arial"/>
        </w:rPr>
      </w:pPr>
      <w:r w:rsidRPr="003E335B">
        <w:rPr>
          <w:rFonts w:cs="Arial"/>
        </w:rPr>
        <w:t xml:space="preserve">Imaging (“IMG”). </w:t>
      </w:r>
    </w:p>
    <w:p w:rsidR="00254A1E" w:rsidRDefault="00F05957">
      <w:pPr>
        <w:pStyle w:val="BulletedList"/>
        <w:numPr>
          <w:ilvl w:val="0"/>
          <w:numId w:val="47"/>
        </w:numPr>
        <w:spacing w:after="0" w:afterAutospacing="0"/>
        <w:rPr>
          <w:rFonts w:asciiTheme="minorHAnsi" w:hAnsiTheme="minorHAnsi" w:cs="Arial"/>
          <w:sz w:val="20"/>
          <w:szCs w:val="20"/>
          <w:lang w:val="en-US"/>
        </w:rPr>
      </w:pPr>
      <w:r w:rsidRPr="003E335B">
        <w:rPr>
          <w:rFonts w:asciiTheme="minorHAnsi" w:hAnsiTheme="minorHAnsi" w:cs="Arial"/>
          <w:sz w:val="20"/>
          <w:szCs w:val="20"/>
          <w:lang w:val="en-US"/>
        </w:rPr>
        <w:t>Analog, MEMS and Microcontrollers (“AMM”), comprised of</w:t>
      </w:r>
    </w:p>
    <w:p w:rsidR="00254A1E" w:rsidRDefault="00F05957">
      <w:pPr>
        <w:pStyle w:val="BulletedList"/>
        <w:numPr>
          <w:ilvl w:val="1"/>
          <w:numId w:val="47"/>
        </w:numPr>
        <w:spacing w:after="0" w:afterAutospacing="0"/>
        <w:rPr>
          <w:rFonts w:asciiTheme="minorHAnsi" w:hAnsiTheme="minorHAnsi" w:cs="Arial"/>
          <w:sz w:val="20"/>
          <w:szCs w:val="20"/>
          <w:lang w:val="en-US"/>
        </w:rPr>
      </w:pPr>
      <w:r w:rsidRPr="003E335B">
        <w:rPr>
          <w:rFonts w:asciiTheme="minorHAnsi" w:hAnsiTheme="minorHAnsi" w:cs="Arial"/>
          <w:sz w:val="20"/>
          <w:szCs w:val="20"/>
          <w:lang w:val="en-US"/>
        </w:rPr>
        <w:t>Analog Products and Micro-Electro-Mechanical Systems (“Analog &amp; MEMS”); and</w:t>
      </w:r>
    </w:p>
    <w:p w:rsidR="00254A1E" w:rsidRDefault="00F05957">
      <w:pPr>
        <w:pStyle w:val="BulletedList"/>
        <w:numPr>
          <w:ilvl w:val="1"/>
          <w:numId w:val="47"/>
        </w:numPr>
        <w:spacing w:after="0" w:afterAutospacing="0"/>
        <w:rPr>
          <w:rFonts w:asciiTheme="minorHAnsi" w:hAnsiTheme="minorHAnsi" w:cs="Arial"/>
          <w:sz w:val="20"/>
          <w:szCs w:val="20"/>
        </w:rPr>
      </w:pPr>
      <w:r w:rsidRPr="003E335B">
        <w:rPr>
          <w:rFonts w:asciiTheme="minorHAnsi" w:hAnsiTheme="minorHAnsi" w:cs="Arial"/>
          <w:sz w:val="20"/>
          <w:szCs w:val="20"/>
          <w:lang w:val="en-US"/>
        </w:rPr>
        <w:t>Microcontrollers, non-Flash, non-volatile Memory and Smart Card products (“MMS”).</w:t>
      </w:r>
    </w:p>
    <w:p w:rsidR="00254A1E" w:rsidRDefault="00F05957">
      <w:pPr>
        <w:pStyle w:val="BulletedList"/>
        <w:numPr>
          <w:ilvl w:val="0"/>
          <w:numId w:val="47"/>
        </w:numPr>
        <w:spacing w:after="0" w:afterAutospacing="0"/>
        <w:rPr>
          <w:rFonts w:asciiTheme="minorHAnsi" w:hAnsiTheme="minorHAnsi" w:cs="Arial"/>
          <w:sz w:val="20"/>
          <w:szCs w:val="20"/>
          <w:lang w:val="en-US"/>
        </w:rPr>
      </w:pPr>
      <w:r w:rsidRPr="003E335B">
        <w:rPr>
          <w:rFonts w:asciiTheme="minorHAnsi" w:hAnsiTheme="minorHAnsi" w:cs="Arial"/>
          <w:sz w:val="20"/>
          <w:szCs w:val="20"/>
          <w:lang w:val="en-US"/>
        </w:rPr>
        <w:t xml:space="preserve">Power Discrete Products (“PDP”), comprised of Rectifiers, Thyristors &amp; Triacs, Protection, Integrated Passive Active Devices (IPADs) and Transistors. </w:t>
      </w:r>
    </w:p>
    <w:p w:rsidR="00254A1E" w:rsidRDefault="00F05957">
      <w:pPr>
        <w:pStyle w:val="BulletedList"/>
        <w:numPr>
          <w:ilvl w:val="0"/>
          <w:numId w:val="47"/>
        </w:numPr>
        <w:spacing w:after="0" w:afterAutospacing="0"/>
        <w:rPr>
          <w:rFonts w:asciiTheme="minorHAnsi" w:hAnsiTheme="minorHAnsi" w:cs="Arial"/>
          <w:sz w:val="20"/>
          <w:szCs w:val="20"/>
          <w:lang w:val="en-US"/>
        </w:rPr>
      </w:pPr>
      <w:r w:rsidRPr="003E335B">
        <w:rPr>
          <w:rFonts w:asciiTheme="minorHAnsi" w:hAnsiTheme="minorHAnsi" w:cs="Arial"/>
          <w:sz w:val="20"/>
          <w:szCs w:val="20"/>
          <w:lang w:val="en-US"/>
        </w:rPr>
        <w:t>Wireless Segment (“Wireless”), comprised of:</w:t>
      </w:r>
    </w:p>
    <w:p w:rsidR="00254A1E" w:rsidRDefault="00DB7C6C">
      <w:pPr>
        <w:pStyle w:val="BulletedList"/>
        <w:numPr>
          <w:ilvl w:val="1"/>
          <w:numId w:val="47"/>
        </w:numPr>
        <w:spacing w:after="0" w:afterAutospacing="0"/>
        <w:rPr>
          <w:rFonts w:asciiTheme="minorHAnsi" w:hAnsiTheme="minorHAnsi" w:cs="Arial"/>
          <w:sz w:val="20"/>
          <w:szCs w:val="20"/>
          <w:lang w:val="en-US"/>
        </w:rPr>
      </w:pPr>
      <w:r w:rsidRPr="003E335B">
        <w:rPr>
          <w:rFonts w:hint="eastAsia"/>
          <w:color w:val="000000"/>
          <w:sz w:val="20"/>
          <w:szCs w:val="20"/>
        </w:rPr>
        <w:t>Entry Solutions and Connectivity (</w:t>
      </w:r>
      <w:r w:rsidRPr="003E335B">
        <w:rPr>
          <w:color w:val="000000"/>
          <w:sz w:val="20"/>
          <w:szCs w:val="20"/>
        </w:rPr>
        <w:t>“</w:t>
      </w:r>
      <w:r w:rsidRPr="003E335B">
        <w:rPr>
          <w:rFonts w:hint="eastAsia"/>
          <w:color w:val="000000"/>
          <w:sz w:val="20"/>
          <w:szCs w:val="20"/>
        </w:rPr>
        <w:t>ESC</w:t>
      </w:r>
      <w:r w:rsidRPr="003E335B">
        <w:rPr>
          <w:color w:val="000000"/>
          <w:sz w:val="20"/>
          <w:szCs w:val="20"/>
        </w:rPr>
        <w:t>”</w:t>
      </w:r>
      <w:r w:rsidRPr="003E335B">
        <w:rPr>
          <w:rFonts w:hint="eastAsia"/>
          <w:color w:val="000000"/>
          <w:sz w:val="20"/>
          <w:szCs w:val="20"/>
        </w:rPr>
        <w:t xml:space="preserve">) </w:t>
      </w:r>
      <w:r w:rsidRPr="003E335B">
        <w:rPr>
          <w:color w:val="000000"/>
          <w:sz w:val="20"/>
          <w:szCs w:val="20"/>
        </w:rPr>
        <w:t xml:space="preserve">(formerly </w:t>
      </w:r>
      <w:r w:rsidR="008366FF" w:rsidRPr="003E335B">
        <w:rPr>
          <w:color w:val="000000"/>
          <w:sz w:val="20"/>
          <w:szCs w:val="20"/>
        </w:rPr>
        <w:t>“</w:t>
      </w:r>
      <w:r w:rsidR="00F05957" w:rsidRPr="003E335B">
        <w:rPr>
          <w:rFonts w:asciiTheme="minorHAnsi" w:hAnsiTheme="minorHAnsi" w:cs="Arial"/>
          <w:sz w:val="20"/>
          <w:szCs w:val="20"/>
          <w:lang w:val="en-US"/>
        </w:rPr>
        <w:t>2G, EDGE, TD-SCDMA &amp; Connectivity</w:t>
      </w:r>
      <w:r w:rsidR="008366FF" w:rsidRPr="003E335B">
        <w:rPr>
          <w:rFonts w:asciiTheme="minorHAnsi" w:hAnsiTheme="minorHAnsi" w:cs="Arial"/>
          <w:sz w:val="20"/>
          <w:szCs w:val="20"/>
          <w:lang w:val="en-US"/>
        </w:rPr>
        <w:t>”)</w:t>
      </w:r>
      <w:r w:rsidR="00F05957" w:rsidRPr="003E335B">
        <w:rPr>
          <w:rFonts w:asciiTheme="minorHAnsi" w:hAnsiTheme="minorHAnsi" w:cs="Arial"/>
          <w:sz w:val="20"/>
          <w:szCs w:val="20"/>
          <w:lang w:val="en-US"/>
        </w:rPr>
        <w:t xml:space="preserve">; </w:t>
      </w:r>
    </w:p>
    <w:p w:rsidR="00254A1E" w:rsidRDefault="008366FF">
      <w:pPr>
        <w:pStyle w:val="BulletedList"/>
        <w:numPr>
          <w:ilvl w:val="1"/>
          <w:numId w:val="47"/>
        </w:numPr>
        <w:spacing w:after="0" w:afterAutospacing="0"/>
        <w:rPr>
          <w:rFonts w:asciiTheme="minorHAnsi" w:hAnsiTheme="minorHAnsi" w:cs="Arial"/>
          <w:sz w:val="20"/>
          <w:szCs w:val="20"/>
          <w:lang w:val="en-US"/>
        </w:rPr>
      </w:pPr>
      <w:r w:rsidRPr="003E335B">
        <w:rPr>
          <w:rFonts w:hint="eastAsia"/>
          <w:color w:val="000000"/>
          <w:sz w:val="20"/>
          <w:szCs w:val="20"/>
        </w:rPr>
        <w:t>Smartphone and Tablet Solutions (</w:t>
      </w:r>
      <w:r w:rsidRPr="003E335B">
        <w:rPr>
          <w:color w:val="000000"/>
          <w:sz w:val="20"/>
          <w:szCs w:val="20"/>
        </w:rPr>
        <w:t>“</w:t>
      </w:r>
      <w:r w:rsidRPr="003E335B">
        <w:rPr>
          <w:rFonts w:hint="eastAsia"/>
          <w:color w:val="000000"/>
          <w:sz w:val="20"/>
          <w:szCs w:val="20"/>
        </w:rPr>
        <w:t>STS</w:t>
      </w:r>
      <w:r w:rsidRPr="003E335B">
        <w:rPr>
          <w:color w:val="000000"/>
          <w:sz w:val="20"/>
          <w:szCs w:val="20"/>
        </w:rPr>
        <w:t>”</w:t>
      </w:r>
      <w:r w:rsidRPr="003E335B">
        <w:rPr>
          <w:rFonts w:hint="eastAsia"/>
          <w:color w:val="000000"/>
          <w:sz w:val="20"/>
          <w:szCs w:val="20"/>
        </w:rPr>
        <w:t xml:space="preserve">) </w:t>
      </w:r>
      <w:r w:rsidRPr="003E335B">
        <w:rPr>
          <w:color w:val="000000"/>
          <w:sz w:val="20"/>
          <w:szCs w:val="20"/>
        </w:rPr>
        <w:t>(formerly “</w:t>
      </w:r>
      <w:r w:rsidR="00F05957" w:rsidRPr="003E335B">
        <w:rPr>
          <w:rFonts w:asciiTheme="minorHAnsi" w:hAnsiTheme="minorHAnsi" w:cs="Arial"/>
          <w:sz w:val="20"/>
          <w:szCs w:val="20"/>
          <w:lang w:val="en-US"/>
        </w:rPr>
        <w:t>3G Multimedia &amp; Platforms</w:t>
      </w:r>
      <w:r w:rsidRPr="003E335B">
        <w:rPr>
          <w:rFonts w:asciiTheme="minorHAnsi" w:hAnsiTheme="minorHAnsi" w:cs="Arial"/>
          <w:sz w:val="20"/>
          <w:szCs w:val="20"/>
          <w:lang w:val="en-US"/>
        </w:rPr>
        <w:t>”)</w:t>
      </w:r>
      <w:r w:rsidR="00F05957" w:rsidRPr="003E335B">
        <w:rPr>
          <w:rFonts w:asciiTheme="minorHAnsi" w:hAnsiTheme="minorHAnsi" w:cs="Arial"/>
          <w:sz w:val="20"/>
          <w:szCs w:val="20"/>
          <w:lang w:val="en-US"/>
        </w:rPr>
        <w:t xml:space="preserve">; </w:t>
      </w:r>
    </w:p>
    <w:p w:rsidR="00254A1E" w:rsidRDefault="008366FF">
      <w:pPr>
        <w:pStyle w:val="BulletedList"/>
        <w:numPr>
          <w:ilvl w:val="1"/>
          <w:numId w:val="47"/>
        </w:numPr>
        <w:spacing w:after="0" w:afterAutospacing="0"/>
        <w:rPr>
          <w:rFonts w:asciiTheme="minorHAnsi" w:hAnsiTheme="minorHAnsi" w:cs="Arial"/>
          <w:sz w:val="20"/>
          <w:szCs w:val="20"/>
          <w:lang w:val="en-US"/>
        </w:rPr>
      </w:pPr>
      <w:r w:rsidRPr="003E335B">
        <w:rPr>
          <w:rFonts w:hint="eastAsia"/>
          <w:color w:val="000000"/>
          <w:sz w:val="20"/>
          <w:szCs w:val="20"/>
        </w:rPr>
        <w:t>Modems (</w:t>
      </w:r>
      <w:r w:rsidRPr="003E335B">
        <w:rPr>
          <w:color w:val="000000"/>
          <w:sz w:val="20"/>
          <w:szCs w:val="20"/>
        </w:rPr>
        <w:t>“</w:t>
      </w:r>
      <w:r w:rsidRPr="003E335B">
        <w:rPr>
          <w:rFonts w:hint="eastAsia"/>
          <w:color w:val="000000"/>
          <w:sz w:val="20"/>
          <w:szCs w:val="20"/>
        </w:rPr>
        <w:t>MOD</w:t>
      </w:r>
      <w:r w:rsidRPr="003E335B">
        <w:rPr>
          <w:color w:val="000000"/>
          <w:sz w:val="20"/>
          <w:szCs w:val="20"/>
        </w:rPr>
        <w:t>”</w:t>
      </w:r>
      <w:r w:rsidRPr="003E335B">
        <w:rPr>
          <w:rFonts w:hint="eastAsia"/>
          <w:color w:val="000000"/>
          <w:sz w:val="20"/>
          <w:szCs w:val="20"/>
        </w:rPr>
        <w:t xml:space="preserve">) </w:t>
      </w:r>
      <w:r w:rsidRPr="003E335B">
        <w:rPr>
          <w:color w:val="000000"/>
          <w:sz w:val="20"/>
          <w:szCs w:val="20"/>
        </w:rPr>
        <w:t>(formerly “</w:t>
      </w:r>
      <w:r w:rsidR="00F05957" w:rsidRPr="003E335B">
        <w:rPr>
          <w:rFonts w:asciiTheme="minorHAnsi" w:hAnsiTheme="minorHAnsi" w:cs="Arial"/>
          <w:sz w:val="20"/>
          <w:szCs w:val="20"/>
          <w:lang w:val="en-US"/>
        </w:rPr>
        <w:t>LTE &amp; 3G Modem Solutions</w:t>
      </w:r>
      <w:r w:rsidRPr="003E335B">
        <w:rPr>
          <w:rFonts w:asciiTheme="minorHAnsi" w:hAnsiTheme="minorHAnsi" w:cs="Arial"/>
          <w:sz w:val="20"/>
          <w:szCs w:val="20"/>
          <w:lang w:val="en-US"/>
        </w:rPr>
        <w:t>”)</w:t>
      </w:r>
      <w:r w:rsidR="00C257D0">
        <w:rPr>
          <w:rFonts w:asciiTheme="minorHAnsi" w:hAnsiTheme="minorHAnsi" w:cs="Arial"/>
          <w:sz w:val="20"/>
          <w:szCs w:val="20"/>
          <w:lang w:val="en-US"/>
        </w:rPr>
        <w:t>;</w:t>
      </w:r>
      <w:r w:rsidRPr="003E335B">
        <w:rPr>
          <w:rFonts w:asciiTheme="minorHAnsi" w:hAnsiTheme="minorHAnsi" w:cs="Arial"/>
          <w:sz w:val="20"/>
          <w:szCs w:val="20"/>
          <w:lang w:val="en-US"/>
        </w:rPr>
        <w:t xml:space="preserve"> </w:t>
      </w:r>
    </w:p>
    <w:p w:rsidR="008733F0" w:rsidRDefault="00F05957">
      <w:pPr>
        <w:pStyle w:val="BulletedList"/>
        <w:tabs>
          <w:tab w:val="clear" w:pos="-1440"/>
        </w:tabs>
        <w:spacing w:after="0" w:afterAutospacing="0"/>
        <w:ind w:left="1080" w:firstLine="0"/>
        <w:rPr>
          <w:rFonts w:asciiTheme="minorHAnsi" w:hAnsiTheme="minorHAnsi" w:cs="Arial"/>
          <w:sz w:val="20"/>
          <w:szCs w:val="20"/>
          <w:lang w:val="en-US"/>
        </w:rPr>
      </w:pPr>
      <w:r w:rsidRPr="003E335B">
        <w:rPr>
          <w:rFonts w:asciiTheme="minorHAnsi" w:hAnsiTheme="minorHAnsi" w:cs="Arial"/>
          <w:sz w:val="20"/>
          <w:szCs w:val="20"/>
          <w:lang w:val="en-US"/>
        </w:rPr>
        <w:t>in which since February 3, 2009, we report the portion of sales and operating results of ST-Ericsson JVS as consolidated in our revenue and operating results); and</w:t>
      </w:r>
    </w:p>
    <w:p w:rsidR="00F05957" w:rsidRPr="003E335B" w:rsidRDefault="00F05957" w:rsidP="000A1B34">
      <w:pPr>
        <w:pStyle w:val="BulletedList"/>
        <w:numPr>
          <w:ilvl w:val="1"/>
          <w:numId w:val="47"/>
        </w:numPr>
        <w:spacing w:after="0" w:afterAutospacing="0"/>
        <w:rPr>
          <w:rFonts w:asciiTheme="minorHAnsi" w:hAnsiTheme="minorHAnsi" w:cs="Arial"/>
          <w:sz w:val="20"/>
          <w:szCs w:val="20"/>
          <w:lang w:val="en-US"/>
        </w:rPr>
      </w:pPr>
      <w:r w:rsidRPr="003E335B">
        <w:rPr>
          <w:rFonts w:asciiTheme="minorHAnsi" w:hAnsiTheme="minorHAnsi" w:cs="Arial"/>
          <w:sz w:val="20"/>
          <w:szCs w:val="20"/>
          <w:lang w:val="en-US"/>
        </w:rPr>
        <w:t>Other Wireless (in which we report manufacturing margin, R&amp;D revenues and other items related to the wireless business but outside of the ST-Ericsson JVS).</w:t>
      </w:r>
    </w:p>
    <w:p w:rsidR="008733F0" w:rsidRDefault="008733F0">
      <w:pPr>
        <w:spacing w:line="240" w:lineRule="auto"/>
        <w:jc w:val="both"/>
        <w:rPr>
          <w:rFonts w:asciiTheme="minorHAnsi" w:hAnsiTheme="minorHAnsi" w:cs="Arial"/>
          <w:sz w:val="20"/>
          <w:szCs w:val="20"/>
        </w:rPr>
      </w:pPr>
    </w:p>
    <w:p w:rsidR="008733F0" w:rsidRDefault="00F05957">
      <w:pPr>
        <w:spacing w:line="240" w:lineRule="auto"/>
        <w:jc w:val="both"/>
        <w:rPr>
          <w:sz w:val="20"/>
          <w:szCs w:val="20"/>
        </w:rPr>
      </w:pPr>
      <w:r w:rsidRPr="003E335B">
        <w:rPr>
          <w:sz w:val="20"/>
          <w:szCs w:val="20"/>
        </w:rPr>
        <w:t xml:space="preserve">In 2011, we restated our results from prior period for illustrative comparisons of our performance by product segment due to the former Industrial and Multisegment Sector (“IMS”) now being tracked in two separate segments (“AMM” and “PDP”). The preparation of segment information based on the current segment structure requires us to make significant estimates, assumptions and judgments in determining the operating income of the segments for the prior reporting period. The tables set forth below also reflect the transfer of the Audio division from ACCI to AMM; accordingly, we have reclassified the prior period’s revenues and operating income results of ACCI and AMM. We believe that the restated 2010 presentation is consistent with that of 2011 and we use these comparatives when managing our </w:t>
      </w:r>
      <w:r w:rsidR="00F64C75">
        <w:rPr>
          <w:sz w:val="20"/>
          <w:szCs w:val="20"/>
        </w:rPr>
        <w:t>Group</w:t>
      </w:r>
      <w:r w:rsidRPr="003E335B">
        <w:rPr>
          <w:sz w:val="20"/>
          <w:szCs w:val="20"/>
        </w:rPr>
        <w:t>.</w:t>
      </w:r>
    </w:p>
    <w:p w:rsidR="008733F0" w:rsidRDefault="00F05957">
      <w:pPr>
        <w:spacing w:line="240" w:lineRule="auto"/>
        <w:jc w:val="both"/>
        <w:rPr>
          <w:sz w:val="20"/>
          <w:szCs w:val="20"/>
        </w:rPr>
      </w:pPr>
      <w:r w:rsidRPr="003E335B">
        <w:rPr>
          <w:sz w:val="20"/>
          <w:szCs w:val="20"/>
        </w:rPr>
        <w:t>Our principal investment and resource allocation decisions in the Semiconductor business area are for expenditures on R&amp;D and capital investments in front-end and back-end manufacturing facilities. These decisions are not made by product segments, but on the basis of the semiconductor business area. All these product segments share common R&amp;D for process technology and manufacturing capacity for most of their products.</w:t>
      </w:r>
    </w:p>
    <w:p w:rsidR="008733F0" w:rsidRDefault="00F05957">
      <w:pPr>
        <w:spacing w:line="240" w:lineRule="auto"/>
        <w:jc w:val="both"/>
        <w:rPr>
          <w:sz w:val="20"/>
          <w:szCs w:val="20"/>
        </w:rPr>
      </w:pPr>
      <w:r w:rsidRPr="003E335B">
        <w:rPr>
          <w:sz w:val="20"/>
          <w:szCs w:val="20"/>
        </w:rPr>
        <w:t>In the Subsystems business area, we design, develop, manufacture and market subsystems and modules for the telecommunications, automotive and industrial markets including mobile phone accessories, battery chargers, ISDN power supplies and in-vehicle equipment for electronic toll payment. Based on its immateriality to our business as a whole, the Subsystems segment does not meet the requirements for a reportable segment as defined in the guidance on disclosures about segments of an enterprise and related information.</w:t>
      </w:r>
    </w:p>
    <w:p w:rsidR="008733F0" w:rsidRDefault="00F05957">
      <w:pPr>
        <w:spacing w:after="100" w:line="240" w:lineRule="auto"/>
        <w:jc w:val="both"/>
        <w:rPr>
          <w:rFonts w:asciiTheme="minorHAnsi" w:hAnsiTheme="minorHAnsi" w:cs="Arial"/>
          <w:sz w:val="20"/>
          <w:szCs w:val="20"/>
        </w:rPr>
      </w:pPr>
      <w:r w:rsidRPr="003E335B">
        <w:rPr>
          <w:sz w:val="20"/>
          <w:szCs w:val="20"/>
        </w:rPr>
        <w:t>The following tables present our consolidated net revenues and consolidated operating income by product segment. For the computation of the segments’ internal financial measurements, we use certain internal rules of allocation for the costs not directly chargeable to the segments, including cost of sales, selling, general and administrative expenses and a significant part of research and development expenses. Additionally, in compliance with our internal policies, certain cost items are not charged to the segments, including unused capacity charges, impairment, restructuring charges and other related closure costs, start-up and phase out costs of certain manufacturing facilities, strategic and special R&amp;D programs or other corporate-sponsored initiatives, including certain corporate level operating expenses and certain other miscellaneous charges.</w:t>
      </w:r>
    </w:p>
    <w:p w:rsidR="00B423FB" w:rsidRDefault="00B423FB">
      <w:pPr>
        <w:spacing w:after="100" w:line="240" w:lineRule="auto"/>
        <w:rPr>
          <w:rFonts w:asciiTheme="minorHAnsi" w:hAnsiTheme="minorHAnsi" w:cs="Arial"/>
          <w:sz w:val="20"/>
          <w:szCs w:val="20"/>
        </w:rPr>
      </w:pPr>
      <w:r>
        <w:rPr>
          <w:rFonts w:asciiTheme="minorHAnsi" w:hAnsiTheme="minorHAnsi" w:cs="Arial"/>
          <w:sz w:val="20"/>
          <w:szCs w:val="20"/>
        </w:rPr>
        <w:br w:type="page"/>
      </w:r>
    </w:p>
    <w:p w:rsidR="008733F0" w:rsidRDefault="00BF69B1">
      <w:pPr>
        <w:spacing w:after="100" w:line="240" w:lineRule="auto"/>
        <w:jc w:val="both"/>
        <w:rPr>
          <w:rFonts w:asciiTheme="minorHAnsi" w:hAnsiTheme="minorHAnsi" w:cs="Arial"/>
          <w:sz w:val="20"/>
          <w:szCs w:val="20"/>
        </w:rPr>
      </w:pPr>
      <w:r w:rsidRPr="003E335B">
        <w:rPr>
          <w:rFonts w:asciiTheme="minorHAnsi" w:hAnsiTheme="minorHAnsi" w:cs="Arial"/>
          <w:sz w:val="20"/>
          <w:szCs w:val="20"/>
        </w:rPr>
        <w:lastRenderedPageBreak/>
        <w:t>The table</w:t>
      </w:r>
      <w:r w:rsidR="004E5D02" w:rsidRPr="003E335B">
        <w:rPr>
          <w:rFonts w:asciiTheme="minorHAnsi" w:hAnsiTheme="minorHAnsi" w:cs="Arial"/>
          <w:sz w:val="20"/>
          <w:szCs w:val="20"/>
        </w:rPr>
        <w:t>s</w:t>
      </w:r>
      <w:r w:rsidRPr="003E335B">
        <w:rPr>
          <w:rFonts w:asciiTheme="minorHAnsi" w:hAnsiTheme="minorHAnsi" w:cs="Arial"/>
          <w:sz w:val="20"/>
          <w:szCs w:val="20"/>
        </w:rPr>
        <w:t xml:space="preserve"> below set forth information on our </w:t>
      </w:r>
      <w:r w:rsidR="00013B53" w:rsidRPr="003E335B">
        <w:rPr>
          <w:rFonts w:asciiTheme="minorHAnsi" w:hAnsiTheme="minorHAnsi" w:cs="Arial"/>
          <w:sz w:val="20"/>
          <w:szCs w:val="20"/>
        </w:rPr>
        <w:t>net revenues by product segment, product line</w:t>
      </w:r>
      <w:r w:rsidR="004E5D02" w:rsidRPr="003E335B">
        <w:rPr>
          <w:rFonts w:asciiTheme="minorHAnsi" w:hAnsiTheme="minorHAnsi" w:cs="Arial"/>
          <w:sz w:val="20"/>
          <w:szCs w:val="20"/>
        </w:rPr>
        <w:t xml:space="preserve"> and location of order shipment</w:t>
      </w:r>
      <w:r w:rsidRPr="003E335B">
        <w:rPr>
          <w:rFonts w:asciiTheme="minorHAnsi" w:hAnsiTheme="minorHAnsi" w:cs="Arial"/>
          <w:sz w:val="20"/>
          <w:szCs w:val="20"/>
        </w:rPr>
        <w:t>:</w:t>
      </w:r>
    </w:p>
    <w:tbl>
      <w:tblPr>
        <w:tblW w:w="10098" w:type="dxa"/>
        <w:tblLayout w:type="fixed"/>
        <w:tblLook w:val="04A0"/>
      </w:tblPr>
      <w:tblGrid>
        <w:gridCol w:w="7578"/>
        <w:gridCol w:w="1260"/>
        <w:gridCol w:w="1260"/>
      </w:tblGrid>
      <w:tr w:rsidR="00BF69B1" w:rsidRPr="003E335B" w:rsidTr="00B423FB">
        <w:tc>
          <w:tcPr>
            <w:tcW w:w="7578" w:type="dxa"/>
            <w:shd w:val="clear" w:color="auto" w:fill="auto"/>
            <w:vAlign w:val="bottom"/>
            <w:hideMark/>
          </w:tcPr>
          <w:p w:rsidR="00BF69B1" w:rsidRPr="003E335B" w:rsidRDefault="00BF69B1" w:rsidP="000D70EC">
            <w:pPr>
              <w:spacing w:after="100" w:line="240" w:lineRule="auto"/>
              <w:jc w:val="center"/>
              <w:rPr>
                <w:rFonts w:asciiTheme="minorHAnsi" w:hAnsiTheme="minorHAnsi" w:cs="Arial"/>
                <w:sz w:val="20"/>
                <w:szCs w:val="20"/>
              </w:rPr>
            </w:pPr>
          </w:p>
        </w:tc>
        <w:tc>
          <w:tcPr>
            <w:tcW w:w="2520" w:type="dxa"/>
            <w:gridSpan w:val="2"/>
            <w:shd w:val="clear" w:color="auto" w:fill="auto"/>
            <w:vAlign w:val="bottom"/>
            <w:hideMark/>
          </w:tcPr>
          <w:p w:rsidR="00BF69B1" w:rsidRPr="003E335B" w:rsidRDefault="00BF69B1"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(unaudited)</w:t>
            </w:r>
          </w:p>
        </w:tc>
      </w:tr>
      <w:tr w:rsidR="00BF69B1" w:rsidRPr="003E335B" w:rsidTr="00B423FB">
        <w:tc>
          <w:tcPr>
            <w:tcW w:w="7578" w:type="dxa"/>
            <w:shd w:val="clear" w:color="auto" w:fill="auto"/>
            <w:vAlign w:val="bottom"/>
          </w:tcPr>
          <w:p w:rsidR="00BF69B1" w:rsidRPr="003E335B" w:rsidRDefault="00BF69B1" w:rsidP="000D70EC">
            <w:pPr>
              <w:spacing w:after="100" w:line="240" w:lineRule="auto"/>
              <w:rPr>
                <w:rFonts w:asciiTheme="minorHAnsi" w:hAnsiTheme="minorHAnsi" w:cs="Arial"/>
                <w:sz w:val="20"/>
                <w:szCs w:val="20"/>
              </w:rPr>
            </w:pPr>
          </w:p>
        </w:tc>
        <w:tc>
          <w:tcPr>
            <w:tcW w:w="2520" w:type="dxa"/>
            <w:gridSpan w:val="2"/>
            <w:tcBorders>
              <w:bottom w:val="single" w:sz="18" w:space="0" w:color="auto"/>
            </w:tcBorders>
            <w:shd w:val="clear" w:color="auto" w:fill="auto"/>
            <w:vAlign w:val="bottom"/>
            <w:hideMark/>
          </w:tcPr>
          <w:p w:rsidR="00BF69B1" w:rsidRPr="003E335B" w:rsidRDefault="00BF69B1"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Six months ended</w:t>
            </w:r>
          </w:p>
        </w:tc>
      </w:tr>
      <w:tr w:rsidR="00BF69B1" w:rsidRPr="003E335B" w:rsidTr="00B423FB">
        <w:tc>
          <w:tcPr>
            <w:tcW w:w="7578" w:type="dxa"/>
            <w:tcBorders>
              <w:bottom w:val="single" w:sz="18" w:space="0" w:color="auto"/>
            </w:tcBorders>
            <w:shd w:val="clear" w:color="auto" w:fill="auto"/>
            <w:vAlign w:val="bottom"/>
          </w:tcPr>
          <w:p w:rsidR="00BF69B1" w:rsidRPr="003E335B" w:rsidRDefault="00BF69B1" w:rsidP="000D70EC">
            <w:pPr>
              <w:spacing w:after="100" w:line="240" w:lineRule="auto"/>
              <w:rPr>
                <w:rFonts w:asciiTheme="minorHAnsi" w:hAnsiTheme="minorHAnsi" w:cs="Arial"/>
                <w:b/>
                <w:sz w:val="20"/>
                <w:szCs w:val="20"/>
              </w:rPr>
            </w:pPr>
            <w:r w:rsidRPr="003E335B">
              <w:rPr>
                <w:rFonts w:asciiTheme="minorHAnsi" w:hAnsiTheme="minorHAnsi" w:cs="Arial"/>
                <w:sz w:val="20"/>
                <w:szCs w:val="20"/>
              </w:rPr>
              <w:t>In millions of USD</w:t>
            </w:r>
          </w:p>
        </w:tc>
        <w:tc>
          <w:tcPr>
            <w:tcW w:w="1260" w:type="dxa"/>
            <w:tcBorders>
              <w:top w:val="single" w:sz="18" w:space="0" w:color="auto"/>
              <w:bottom w:val="single" w:sz="18" w:space="0" w:color="auto"/>
            </w:tcBorders>
            <w:shd w:val="clear" w:color="auto" w:fill="auto"/>
            <w:vAlign w:val="bottom"/>
            <w:hideMark/>
          </w:tcPr>
          <w:p w:rsidR="00BF69B1" w:rsidRPr="003E335B" w:rsidRDefault="000309BD"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July 2, 2011</w:t>
            </w:r>
          </w:p>
        </w:tc>
        <w:tc>
          <w:tcPr>
            <w:tcW w:w="1260" w:type="dxa"/>
            <w:tcBorders>
              <w:top w:val="single" w:sz="18" w:space="0" w:color="auto"/>
              <w:bottom w:val="single" w:sz="18" w:space="0" w:color="auto"/>
            </w:tcBorders>
            <w:shd w:val="clear" w:color="auto" w:fill="auto"/>
            <w:vAlign w:val="bottom"/>
            <w:hideMark/>
          </w:tcPr>
          <w:p w:rsidR="00BF69B1" w:rsidRPr="003E335B" w:rsidRDefault="000309BD"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June 26, 2010</w:t>
            </w:r>
          </w:p>
        </w:tc>
      </w:tr>
      <w:tr w:rsidR="00BF69B1" w:rsidRPr="003E335B" w:rsidTr="00B423FB">
        <w:tc>
          <w:tcPr>
            <w:tcW w:w="7578" w:type="dxa"/>
            <w:tcBorders>
              <w:top w:val="single" w:sz="18" w:space="0" w:color="auto"/>
            </w:tcBorders>
            <w:shd w:val="clear" w:color="auto" w:fill="auto"/>
            <w:hideMark/>
          </w:tcPr>
          <w:p w:rsidR="00BF69B1" w:rsidRPr="003E335B" w:rsidRDefault="00BF69B1"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Net revenues by product segments</w:t>
            </w:r>
          </w:p>
        </w:tc>
        <w:tc>
          <w:tcPr>
            <w:tcW w:w="1260" w:type="dxa"/>
            <w:tcBorders>
              <w:top w:val="single" w:sz="18" w:space="0" w:color="auto"/>
            </w:tcBorders>
            <w:shd w:val="clear" w:color="auto" w:fill="auto"/>
            <w:vAlign w:val="center"/>
          </w:tcPr>
          <w:p w:rsidR="00BF69B1" w:rsidRPr="003E335B" w:rsidRDefault="00BF69B1" w:rsidP="000D70EC">
            <w:pPr>
              <w:spacing w:after="100" w:line="240" w:lineRule="auto"/>
              <w:jc w:val="right"/>
              <w:rPr>
                <w:rFonts w:asciiTheme="minorHAnsi" w:hAnsiTheme="minorHAnsi" w:cs="Arial"/>
                <w:b/>
                <w:sz w:val="20"/>
                <w:szCs w:val="20"/>
              </w:rPr>
            </w:pPr>
          </w:p>
        </w:tc>
        <w:tc>
          <w:tcPr>
            <w:tcW w:w="1260" w:type="dxa"/>
            <w:tcBorders>
              <w:top w:val="single" w:sz="18" w:space="0" w:color="auto"/>
            </w:tcBorders>
            <w:shd w:val="clear" w:color="auto" w:fill="auto"/>
            <w:vAlign w:val="center"/>
            <w:hideMark/>
          </w:tcPr>
          <w:p w:rsidR="00BF69B1" w:rsidRPr="003E335B" w:rsidRDefault="00BF69B1" w:rsidP="000D70EC">
            <w:pPr>
              <w:spacing w:after="100" w:line="240" w:lineRule="auto"/>
              <w:jc w:val="right"/>
              <w:rPr>
                <w:rFonts w:asciiTheme="minorHAnsi" w:hAnsiTheme="minorHAnsi" w:cs="Arial"/>
                <w:b/>
                <w:sz w:val="20"/>
                <w:szCs w:val="20"/>
              </w:rPr>
            </w:pPr>
          </w:p>
        </w:tc>
      </w:tr>
      <w:tr w:rsidR="00BF69B1" w:rsidRPr="003E335B" w:rsidTr="00B423FB">
        <w:tc>
          <w:tcPr>
            <w:tcW w:w="7578" w:type="dxa"/>
            <w:shd w:val="clear" w:color="auto" w:fill="B8CCE4" w:themeFill="accent1" w:themeFillTint="66"/>
            <w:hideMark/>
          </w:tcPr>
          <w:p w:rsidR="00BF69B1" w:rsidRPr="003E335B" w:rsidRDefault="00BF69B1" w:rsidP="000D70EC">
            <w:pPr>
              <w:spacing w:after="100" w:line="240" w:lineRule="auto"/>
              <w:rPr>
                <w:rFonts w:asciiTheme="minorHAnsi" w:hAnsiTheme="minorHAnsi"/>
                <w:sz w:val="20"/>
                <w:szCs w:val="20"/>
              </w:rPr>
            </w:pPr>
            <w:r w:rsidRPr="003E335B">
              <w:rPr>
                <w:rFonts w:asciiTheme="minorHAnsi" w:hAnsiTheme="minorHAnsi" w:cs="Arial"/>
                <w:sz w:val="20"/>
                <w:szCs w:val="20"/>
              </w:rPr>
              <w:t>Automotive Consumer Computer and Communication Infrastructure (</w:t>
            </w:r>
            <w:r w:rsidR="003C39A0" w:rsidRPr="003E335B">
              <w:rPr>
                <w:rFonts w:asciiTheme="minorHAnsi" w:hAnsiTheme="minorHAnsi" w:cs="Arial"/>
                <w:sz w:val="20"/>
                <w:szCs w:val="20"/>
              </w:rPr>
              <w:t>“</w:t>
            </w:r>
            <w:r w:rsidRPr="003E335B">
              <w:rPr>
                <w:rFonts w:asciiTheme="minorHAnsi" w:hAnsiTheme="minorHAnsi" w:cs="Arial"/>
                <w:sz w:val="20"/>
                <w:szCs w:val="20"/>
              </w:rPr>
              <w:t>ACCI</w:t>
            </w:r>
            <w:r w:rsidR="003C39A0" w:rsidRPr="003E335B">
              <w:rPr>
                <w:rFonts w:asciiTheme="minorHAnsi" w:hAnsiTheme="minorHAnsi" w:cs="Arial"/>
                <w:sz w:val="20"/>
                <w:szCs w:val="20"/>
              </w:rPr>
              <w:t>”</w:t>
            </w:r>
            <w:r w:rsidRPr="003E335B">
              <w:rPr>
                <w:rFonts w:asciiTheme="minorHAnsi" w:hAnsiTheme="minorHAnsi" w:cs="Arial"/>
                <w:sz w:val="20"/>
                <w:szCs w:val="20"/>
              </w:rPr>
              <w:t>)</w:t>
            </w:r>
            <w:r w:rsidRPr="003E335B">
              <w:rPr>
                <w:rStyle w:val="FootnoteReference"/>
                <w:rFonts w:asciiTheme="minorHAnsi" w:hAnsiTheme="minorHAnsi"/>
                <w:sz w:val="20"/>
                <w:szCs w:val="20"/>
              </w:rPr>
              <w:footnoteReference w:id="1"/>
            </w:r>
          </w:p>
        </w:tc>
        <w:tc>
          <w:tcPr>
            <w:tcW w:w="1260" w:type="dxa"/>
            <w:shd w:val="clear" w:color="auto" w:fill="B8CCE4" w:themeFill="accent1" w:themeFillTint="66"/>
            <w:vAlign w:val="center"/>
          </w:tcPr>
          <w:p w:rsidR="00BF69B1"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2,170</w:t>
            </w:r>
          </w:p>
        </w:tc>
        <w:tc>
          <w:tcPr>
            <w:tcW w:w="1260" w:type="dxa"/>
            <w:shd w:val="clear" w:color="auto" w:fill="B8CCE4" w:themeFill="accent1" w:themeFillTint="66"/>
            <w:vAlign w:val="center"/>
            <w:hideMark/>
          </w:tcPr>
          <w:p w:rsidR="00BF69B1"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1,915</w:t>
            </w:r>
          </w:p>
        </w:tc>
      </w:tr>
      <w:tr w:rsidR="000309BD" w:rsidRPr="003E335B" w:rsidTr="00B423FB">
        <w:trPr>
          <w:trHeight w:val="216"/>
        </w:trPr>
        <w:tc>
          <w:tcPr>
            <w:tcW w:w="7578" w:type="dxa"/>
            <w:shd w:val="clear" w:color="auto" w:fill="auto"/>
            <w:hideMark/>
          </w:tcPr>
          <w:p w:rsidR="000309BD" w:rsidRPr="003E335B" w:rsidRDefault="003C39A0"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Analog, MEMS and Microcontrollers (“AMM”)</w:t>
            </w:r>
          </w:p>
        </w:tc>
        <w:tc>
          <w:tcPr>
            <w:tcW w:w="1260" w:type="dxa"/>
            <w:shd w:val="clear" w:color="auto" w:fill="auto"/>
            <w:vAlign w:val="center"/>
          </w:tcPr>
          <w:p w:rsidR="000309BD"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1,505</w:t>
            </w:r>
          </w:p>
        </w:tc>
        <w:tc>
          <w:tcPr>
            <w:tcW w:w="1260" w:type="dxa"/>
            <w:shd w:val="clear" w:color="auto" w:fill="auto"/>
            <w:vAlign w:val="center"/>
            <w:hideMark/>
          </w:tcPr>
          <w:p w:rsidR="000309BD"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1,183</w:t>
            </w:r>
          </w:p>
        </w:tc>
      </w:tr>
      <w:tr w:rsidR="00BF69B1" w:rsidRPr="003E335B" w:rsidTr="00B423FB">
        <w:tc>
          <w:tcPr>
            <w:tcW w:w="7578" w:type="dxa"/>
            <w:shd w:val="clear" w:color="auto" w:fill="B8CCE4" w:themeFill="accent1" w:themeFillTint="66"/>
            <w:hideMark/>
          </w:tcPr>
          <w:p w:rsidR="00BF69B1" w:rsidRPr="003E335B" w:rsidRDefault="003C39A0"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Power Discrete Products (“PDP”)</w:t>
            </w:r>
          </w:p>
        </w:tc>
        <w:tc>
          <w:tcPr>
            <w:tcW w:w="1260" w:type="dxa"/>
            <w:shd w:val="clear" w:color="auto" w:fill="B8CCE4" w:themeFill="accent1" w:themeFillTint="66"/>
            <w:vAlign w:val="center"/>
          </w:tcPr>
          <w:p w:rsidR="00BF69B1"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670</w:t>
            </w:r>
          </w:p>
        </w:tc>
        <w:tc>
          <w:tcPr>
            <w:tcW w:w="1260" w:type="dxa"/>
            <w:shd w:val="clear" w:color="auto" w:fill="B8CCE4" w:themeFill="accent1" w:themeFillTint="66"/>
            <w:vAlign w:val="center"/>
            <w:hideMark/>
          </w:tcPr>
          <w:p w:rsidR="00BF69B1"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612</w:t>
            </w:r>
          </w:p>
        </w:tc>
      </w:tr>
      <w:tr w:rsidR="00BF69B1" w:rsidRPr="003E335B" w:rsidTr="00B423FB">
        <w:tc>
          <w:tcPr>
            <w:tcW w:w="7578" w:type="dxa"/>
            <w:shd w:val="clear" w:color="auto" w:fill="auto"/>
            <w:hideMark/>
          </w:tcPr>
          <w:p w:rsidR="00BF69B1" w:rsidRPr="003E335B" w:rsidRDefault="00BF69B1"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Wireless</w:t>
            </w:r>
          </w:p>
        </w:tc>
        <w:tc>
          <w:tcPr>
            <w:tcW w:w="1260" w:type="dxa"/>
            <w:shd w:val="clear" w:color="auto" w:fill="auto"/>
            <w:vAlign w:val="center"/>
          </w:tcPr>
          <w:p w:rsidR="00BF69B1"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731</w:t>
            </w:r>
          </w:p>
        </w:tc>
        <w:tc>
          <w:tcPr>
            <w:tcW w:w="1260" w:type="dxa"/>
            <w:shd w:val="clear" w:color="auto" w:fill="auto"/>
            <w:vAlign w:val="center"/>
            <w:hideMark/>
          </w:tcPr>
          <w:p w:rsidR="00BF69B1"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1,112</w:t>
            </w:r>
          </w:p>
        </w:tc>
      </w:tr>
      <w:tr w:rsidR="00BF69B1" w:rsidRPr="003E335B" w:rsidTr="00B423FB">
        <w:tc>
          <w:tcPr>
            <w:tcW w:w="7578" w:type="dxa"/>
            <w:shd w:val="clear" w:color="auto" w:fill="B8CCE4" w:themeFill="accent1" w:themeFillTint="66"/>
            <w:hideMark/>
          </w:tcPr>
          <w:p w:rsidR="00BF69B1" w:rsidRPr="003E335B" w:rsidRDefault="00BF69B1"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Others</w:t>
            </w:r>
            <w:r w:rsidRPr="003E335B">
              <w:rPr>
                <w:rStyle w:val="FootnoteReference"/>
                <w:rFonts w:asciiTheme="minorHAnsi" w:hAnsiTheme="minorHAnsi"/>
                <w:sz w:val="20"/>
                <w:szCs w:val="20"/>
              </w:rPr>
              <w:footnoteReference w:id="2"/>
            </w:r>
          </w:p>
        </w:tc>
        <w:tc>
          <w:tcPr>
            <w:tcW w:w="1260" w:type="dxa"/>
            <w:shd w:val="clear" w:color="auto" w:fill="B8CCE4" w:themeFill="accent1" w:themeFillTint="66"/>
            <w:vAlign w:val="center"/>
          </w:tcPr>
          <w:p w:rsidR="00BF69B1"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25</w:t>
            </w:r>
          </w:p>
        </w:tc>
        <w:tc>
          <w:tcPr>
            <w:tcW w:w="1260" w:type="dxa"/>
            <w:shd w:val="clear" w:color="auto" w:fill="B8CCE4" w:themeFill="accent1" w:themeFillTint="66"/>
            <w:vAlign w:val="center"/>
            <w:hideMark/>
          </w:tcPr>
          <w:p w:rsidR="00BF69B1"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34</w:t>
            </w:r>
          </w:p>
        </w:tc>
      </w:tr>
      <w:tr w:rsidR="00BF69B1" w:rsidRPr="003E335B" w:rsidTr="00B423FB">
        <w:tc>
          <w:tcPr>
            <w:tcW w:w="7578" w:type="dxa"/>
            <w:tcBorders>
              <w:bottom w:val="single" w:sz="18" w:space="0" w:color="auto"/>
            </w:tcBorders>
            <w:shd w:val="clear" w:color="auto" w:fill="auto"/>
            <w:hideMark/>
          </w:tcPr>
          <w:p w:rsidR="00BF69B1" w:rsidRPr="003E335B" w:rsidRDefault="00BF69B1"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Total consolidated net revenues</w:t>
            </w:r>
          </w:p>
        </w:tc>
        <w:tc>
          <w:tcPr>
            <w:tcW w:w="1260" w:type="dxa"/>
            <w:tcBorders>
              <w:bottom w:val="single" w:sz="18" w:space="0" w:color="auto"/>
            </w:tcBorders>
            <w:shd w:val="clear" w:color="auto" w:fill="auto"/>
            <w:vAlign w:val="center"/>
          </w:tcPr>
          <w:p w:rsidR="00BF69B1" w:rsidRPr="003E335B" w:rsidRDefault="00DB7C6C"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5,101</w:t>
            </w:r>
          </w:p>
        </w:tc>
        <w:tc>
          <w:tcPr>
            <w:tcW w:w="1260" w:type="dxa"/>
            <w:tcBorders>
              <w:bottom w:val="single" w:sz="18" w:space="0" w:color="auto"/>
            </w:tcBorders>
            <w:shd w:val="clear" w:color="auto" w:fill="auto"/>
            <w:vAlign w:val="center"/>
          </w:tcPr>
          <w:p w:rsidR="00BF69B1" w:rsidRPr="003E335B" w:rsidRDefault="00DB7C6C"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4</w:t>
            </w:r>
            <w:r w:rsidR="00F64C75">
              <w:rPr>
                <w:rFonts w:asciiTheme="minorHAnsi" w:hAnsiTheme="minorHAnsi" w:cs="Arial"/>
                <w:b/>
                <w:sz w:val="20"/>
                <w:szCs w:val="20"/>
              </w:rPr>
              <w:t>,</w:t>
            </w:r>
            <w:r w:rsidRPr="003E335B">
              <w:rPr>
                <w:rFonts w:asciiTheme="minorHAnsi" w:hAnsiTheme="minorHAnsi" w:cs="Arial"/>
                <w:b/>
                <w:sz w:val="20"/>
                <w:szCs w:val="20"/>
              </w:rPr>
              <w:t>856</w:t>
            </w:r>
          </w:p>
        </w:tc>
      </w:tr>
    </w:tbl>
    <w:p w:rsidR="00BF69B1" w:rsidRPr="003E335B" w:rsidRDefault="00BF69B1" w:rsidP="000D70EC">
      <w:pPr>
        <w:spacing w:after="100" w:line="240" w:lineRule="auto"/>
        <w:rPr>
          <w:rFonts w:asciiTheme="minorHAnsi" w:hAnsiTheme="minorHAnsi" w:cs="Arial"/>
          <w:b/>
          <w:i/>
          <w:sz w:val="20"/>
          <w:szCs w:val="20"/>
        </w:rPr>
      </w:pPr>
    </w:p>
    <w:tbl>
      <w:tblPr>
        <w:tblW w:w="0" w:type="auto"/>
        <w:tblLook w:val="04A0"/>
      </w:tblPr>
      <w:tblGrid>
        <w:gridCol w:w="6883"/>
        <w:gridCol w:w="1387"/>
        <w:gridCol w:w="482"/>
        <w:gridCol w:w="1334"/>
      </w:tblGrid>
      <w:tr w:rsidR="00847BCE" w:rsidRPr="003E335B" w:rsidTr="00C769AC">
        <w:tc>
          <w:tcPr>
            <w:tcW w:w="6908" w:type="dxa"/>
            <w:vMerge w:val="restart"/>
            <w:shd w:val="clear" w:color="auto" w:fill="auto"/>
            <w:vAlign w:val="bottom"/>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3178" w:type="dxa"/>
            <w:gridSpan w:val="3"/>
            <w:shd w:val="clear" w:color="auto" w:fill="auto"/>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(unaudited)</w:t>
            </w:r>
          </w:p>
        </w:tc>
      </w:tr>
      <w:tr w:rsidR="00847BCE" w:rsidRPr="003E335B" w:rsidTr="00C769AC">
        <w:tc>
          <w:tcPr>
            <w:tcW w:w="6908" w:type="dxa"/>
            <w:vMerge/>
            <w:shd w:val="clear" w:color="auto" w:fill="auto"/>
            <w:vAlign w:val="center"/>
            <w:hideMark/>
          </w:tcPr>
          <w:p w:rsidR="00847BCE" w:rsidRPr="003E335B" w:rsidRDefault="00847BCE" w:rsidP="000D70EC">
            <w:pPr>
              <w:spacing w:after="100" w:line="240" w:lineRule="auto"/>
              <w:rPr>
                <w:rFonts w:asciiTheme="minorHAnsi" w:hAnsiTheme="minorHAnsi" w:cs="Arial"/>
                <w:sz w:val="20"/>
                <w:szCs w:val="20"/>
              </w:rPr>
            </w:pPr>
          </w:p>
        </w:tc>
        <w:tc>
          <w:tcPr>
            <w:tcW w:w="3178" w:type="dxa"/>
            <w:gridSpan w:val="3"/>
            <w:tcBorders>
              <w:bottom w:val="single" w:sz="18" w:space="0" w:color="auto"/>
            </w:tcBorders>
            <w:shd w:val="clear" w:color="auto" w:fill="auto"/>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Six months ended</w:t>
            </w:r>
          </w:p>
        </w:tc>
      </w:tr>
      <w:tr w:rsidR="003C39A0" w:rsidRPr="003E335B" w:rsidTr="00C769AC">
        <w:tc>
          <w:tcPr>
            <w:tcW w:w="6908" w:type="dxa"/>
            <w:vMerge/>
            <w:tcBorders>
              <w:bottom w:val="single" w:sz="18" w:space="0" w:color="auto"/>
            </w:tcBorders>
            <w:shd w:val="clear" w:color="auto" w:fill="auto"/>
            <w:vAlign w:val="center"/>
            <w:hideMark/>
          </w:tcPr>
          <w:p w:rsidR="003C39A0" w:rsidRPr="003E335B" w:rsidRDefault="003C39A0" w:rsidP="000D70EC">
            <w:pPr>
              <w:spacing w:after="100" w:line="240" w:lineRule="auto"/>
              <w:rPr>
                <w:rFonts w:asciiTheme="minorHAnsi" w:hAnsiTheme="minorHAnsi" w:cs="Arial"/>
                <w:sz w:val="20"/>
                <w:szCs w:val="20"/>
              </w:rPr>
            </w:pPr>
          </w:p>
        </w:tc>
        <w:tc>
          <w:tcPr>
            <w:tcW w:w="1876" w:type="dxa"/>
            <w:gridSpan w:val="2"/>
            <w:tcBorders>
              <w:top w:val="single" w:sz="18" w:space="0" w:color="auto"/>
              <w:bottom w:val="single" w:sz="18" w:space="0" w:color="auto"/>
            </w:tcBorders>
            <w:shd w:val="clear" w:color="auto" w:fill="auto"/>
            <w:vAlign w:val="bottom"/>
            <w:hideMark/>
          </w:tcPr>
          <w:p w:rsidR="003C39A0" w:rsidRPr="003E335B" w:rsidRDefault="003C39A0"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July 2, 2011</w:t>
            </w:r>
          </w:p>
        </w:tc>
        <w:tc>
          <w:tcPr>
            <w:tcW w:w="0" w:type="auto"/>
            <w:tcBorders>
              <w:top w:val="single" w:sz="18" w:space="0" w:color="auto"/>
              <w:bottom w:val="single" w:sz="18" w:space="0" w:color="auto"/>
            </w:tcBorders>
            <w:shd w:val="clear" w:color="auto" w:fill="auto"/>
            <w:vAlign w:val="bottom"/>
            <w:hideMark/>
          </w:tcPr>
          <w:p w:rsidR="003C39A0" w:rsidRPr="003E335B" w:rsidRDefault="003C39A0"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June 26, 2010</w:t>
            </w:r>
          </w:p>
        </w:tc>
      </w:tr>
      <w:tr w:rsidR="00847BCE" w:rsidRPr="003E335B" w:rsidTr="00C769AC">
        <w:tc>
          <w:tcPr>
            <w:tcW w:w="6908" w:type="dxa"/>
            <w:tcBorders>
              <w:top w:val="single" w:sz="18" w:space="0" w:color="auto"/>
            </w:tcBorders>
            <w:shd w:val="clear" w:color="auto" w:fill="auto"/>
            <w:hideMark/>
          </w:tcPr>
          <w:p w:rsidR="00847BCE" w:rsidRPr="003E335B" w:rsidRDefault="00847BCE"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Automotive products Group (“APG”)</w:t>
            </w:r>
          </w:p>
        </w:tc>
        <w:tc>
          <w:tcPr>
            <w:tcW w:w="1876" w:type="dxa"/>
            <w:gridSpan w:val="2"/>
            <w:tcBorders>
              <w:top w:val="single" w:sz="18" w:space="0" w:color="auto"/>
            </w:tcBorders>
            <w:shd w:val="clear" w:color="auto" w:fill="auto"/>
            <w:vAlign w:val="center"/>
          </w:tcPr>
          <w:p w:rsidR="00847BCE"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891</w:t>
            </w:r>
          </w:p>
        </w:tc>
        <w:tc>
          <w:tcPr>
            <w:tcW w:w="0" w:type="auto"/>
            <w:tcBorders>
              <w:top w:val="single" w:sz="18" w:space="0" w:color="auto"/>
            </w:tcBorders>
            <w:shd w:val="clear" w:color="auto" w:fill="auto"/>
            <w:vAlign w:val="center"/>
            <w:hideMark/>
          </w:tcPr>
          <w:p w:rsidR="00847BCE"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651</w:t>
            </w:r>
          </w:p>
        </w:tc>
      </w:tr>
      <w:tr w:rsidR="00847BCE" w:rsidRPr="003E335B" w:rsidTr="00C769AC">
        <w:tc>
          <w:tcPr>
            <w:tcW w:w="6908" w:type="dxa"/>
            <w:shd w:val="clear" w:color="auto" w:fill="B8CCE4" w:themeFill="accent1" w:themeFillTint="66"/>
            <w:hideMark/>
          </w:tcPr>
          <w:p w:rsidR="00847BCE" w:rsidRPr="003E335B" w:rsidRDefault="00847BCE"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Computer and Communication Infrastructure (“CCI”)</w:t>
            </w:r>
          </w:p>
        </w:tc>
        <w:tc>
          <w:tcPr>
            <w:tcW w:w="1876" w:type="dxa"/>
            <w:gridSpan w:val="2"/>
            <w:shd w:val="clear" w:color="auto" w:fill="B8CCE4" w:themeFill="accent1" w:themeFillTint="66"/>
            <w:vAlign w:val="center"/>
          </w:tcPr>
          <w:p w:rsidR="00847BCE"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534</w:t>
            </w:r>
          </w:p>
        </w:tc>
        <w:tc>
          <w:tcPr>
            <w:tcW w:w="0" w:type="auto"/>
            <w:shd w:val="clear" w:color="auto" w:fill="B8CCE4" w:themeFill="accent1" w:themeFillTint="66"/>
            <w:vAlign w:val="center"/>
            <w:hideMark/>
          </w:tcPr>
          <w:p w:rsidR="00847BCE"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539</w:t>
            </w:r>
          </w:p>
        </w:tc>
      </w:tr>
      <w:tr w:rsidR="00847BCE" w:rsidRPr="003E335B" w:rsidTr="00C769AC">
        <w:tc>
          <w:tcPr>
            <w:tcW w:w="6908" w:type="dxa"/>
            <w:shd w:val="clear" w:color="auto" w:fill="auto"/>
            <w:hideMark/>
          </w:tcPr>
          <w:p w:rsidR="00847BCE" w:rsidRPr="003E335B" w:rsidRDefault="00847BCE"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Home Entertainment &amp; Displays (“HED”)</w:t>
            </w:r>
          </w:p>
        </w:tc>
        <w:tc>
          <w:tcPr>
            <w:tcW w:w="1876" w:type="dxa"/>
            <w:gridSpan w:val="2"/>
            <w:shd w:val="clear" w:color="auto" w:fill="auto"/>
            <w:vAlign w:val="center"/>
          </w:tcPr>
          <w:p w:rsidR="00847BCE"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412</w:t>
            </w:r>
          </w:p>
        </w:tc>
        <w:tc>
          <w:tcPr>
            <w:tcW w:w="0" w:type="auto"/>
            <w:shd w:val="clear" w:color="auto" w:fill="auto"/>
            <w:vAlign w:val="center"/>
            <w:hideMark/>
          </w:tcPr>
          <w:p w:rsidR="00847BCE"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452</w:t>
            </w:r>
          </w:p>
        </w:tc>
      </w:tr>
      <w:tr w:rsidR="00847BCE" w:rsidRPr="003E335B" w:rsidTr="00C769AC">
        <w:tc>
          <w:tcPr>
            <w:tcW w:w="6908" w:type="dxa"/>
            <w:shd w:val="clear" w:color="auto" w:fill="B8CCE4" w:themeFill="accent1" w:themeFillTint="66"/>
            <w:hideMark/>
          </w:tcPr>
          <w:p w:rsidR="00847BCE" w:rsidRPr="003E335B" w:rsidRDefault="00847BCE"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Imaging (“IMG”)</w:t>
            </w:r>
          </w:p>
        </w:tc>
        <w:tc>
          <w:tcPr>
            <w:tcW w:w="1876" w:type="dxa"/>
            <w:gridSpan w:val="2"/>
            <w:shd w:val="clear" w:color="auto" w:fill="B8CCE4" w:themeFill="accent1" w:themeFillTint="66"/>
            <w:vAlign w:val="center"/>
          </w:tcPr>
          <w:p w:rsidR="00847BCE"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323</w:t>
            </w:r>
          </w:p>
        </w:tc>
        <w:tc>
          <w:tcPr>
            <w:tcW w:w="0" w:type="auto"/>
            <w:shd w:val="clear" w:color="auto" w:fill="B8CCE4" w:themeFill="accent1" w:themeFillTint="66"/>
            <w:vAlign w:val="center"/>
            <w:hideMark/>
          </w:tcPr>
          <w:p w:rsidR="00847BCE"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250</w:t>
            </w:r>
          </w:p>
        </w:tc>
      </w:tr>
      <w:tr w:rsidR="00847BCE" w:rsidRPr="003E335B" w:rsidTr="00C769AC">
        <w:tc>
          <w:tcPr>
            <w:tcW w:w="6908" w:type="dxa"/>
            <w:shd w:val="clear" w:color="auto" w:fill="auto"/>
            <w:hideMark/>
          </w:tcPr>
          <w:p w:rsidR="00847BCE" w:rsidRPr="003E335B" w:rsidRDefault="00847BCE"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Others</w:t>
            </w:r>
          </w:p>
        </w:tc>
        <w:tc>
          <w:tcPr>
            <w:tcW w:w="1876" w:type="dxa"/>
            <w:gridSpan w:val="2"/>
            <w:tcBorders>
              <w:bottom w:val="single" w:sz="18" w:space="0" w:color="auto"/>
            </w:tcBorders>
            <w:shd w:val="clear" w:color="auto" w:fill="auto"/>
            <w:vAlign w:val="center"/>
          </w:tcPr>
          <w:p w:rsidR="00847BCE"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10</w:t>
            </w:r>
          </w:p>
        </w:tc>
        <w:tc>
          <w:tcPr>
            <w:tcW w:w="0" w:type="auto"/>
            <w:tcBorders>
              <w:bottom w:val="single" w:sz="18" w:space="0" w:color="auto"/>
            </w:tcBorders>
            <w:shd w:val="clear" w:color="auto" w:fill="auto"/>
            <w:vAlign w:val="center"/>
            <w:hideMark/>
          </w:tcPr>
          <w:p w:rsidR="00847BCE"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23</w:t>
            </w:r>
          </w:p>
        </w:tc>
      </w:tr>
      <w:tr w:rsidR="00847BCE" w:rsidRPr="003E335B" w:rsidTr="00C769AC">
        <w:tc>
          <w:tcPr>
            <w:tcW w:w="690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Automotive Consumer Computer and Communication Infrastructure (ACCI)</w:t>
            </w:r>
          </w:p>
        </w:tc>
        <w:tc>
          <w:tcPr>
            <w:tcW w:w="1876" w:type="dxa"/>
            <w:gridSpan w:val="2"/>
            <w:tcBorders>
              <w:top w:val="single" w:sz="18" w:space="0" w:color="auto"/>
            </w:tcBorders>
            <w:shd w:val="clear" w:color="auto" w:fill="B8CCE4" w:themeFill="accent1" w:themeFillTint="66"/>
            <w:vAlign w:val="center"/>
          </w:tcPr>
          <w:p w:rsidR="00847BCE" w:rsidRPr="003E335B" w:rsidRDefault="00DB7C6C"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2,170</w:t>
            </w:r>
          </w:p>
        </w:tc>
        <w:tc>
          <w:tcPr>
            <w:tcW w:w="0" w:type="auto"/>
            <w:tcBorders>
              <w:top w:val="single" w:sz="18" w:space="0" w:color="auto"/>
            </w:tcBorders>
            <w:shd w:val="clear" w:color="auto" w:fill="B8CCE4" w:themeFill="accent1" w:themeFillTint="66"/>
            <w:vAlign w:val="center"/>
            <w:hideMark/>
          </w:tcPr>
          <w:p w:rsidR="00847BCE" w:rsidRPr="003E335B" w:rsidRDefault="00DB7C6C"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1,915</w:t>
            </w:r>
          </w:p>
        </w:tc>
      </w:tr>
      <w:tr w:rsidR="00847BCE" w:rsidRPr="003E335B" w:rsidTr="00C769AC">
        <w:tc>
          <w:tcPr>
            <w:tcW w:w="6908" w:type="dxa"/>
            <w:shd w:val="clear" w:color="auto" w:fill="auto"/>
            <w:hideMark/>
          </w:tcPr>
          <w:p w:rsidR="00847BCE" w:rsidRPr="003E335B" w:rsidRDefault="003C39A0"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Analog and Micro-Electro-Mechanical Systems (“Analog and MEMS”)</w:t>
            </w:r>
          </w:p>
        </w:tc>
        <w:tc>
          <w:tcPr>
            <w:tcW w:w="1876" w:type="dxa"/>
            <w:gridSpan w:val="2"/>
            <w:shd w:val="clear" w:color="auto" w:fill="auto"/>
            <w:vAlign w:val="center"/>
          </w:tcPr>
          <w:p w:rsidR="00847BCE"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872</w:t>
            </w:r>
          </w:p>
        </w:tc>
        <w:tc>
          <w:tcPr>
            <w:tcW w:w="0" w:type="auto"/>
            <w:shd w:val="clear" w:color="auto" w:fill="auto"/>
            <w:vAlign w:val="center"/>
            <w:hideMark/>
          </w:tcPr>
          <w:p w:rsidR="00847BCE"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651</w:t>
            </w:r>
          </w:p>
        </w:tc>
      </w:tr>
      <w:tr w:rsidR="00847BCE" w:rsidRPr="003E335B" w:rsidTr="00C769AC">
        <w:tc>
          <w:tcPr>
            <w:tcW w:w="6908" w:type="dxa"/>
            <w:shd w:val="clear" w:color="auto" w:fill="B8CCE4" w:themeFill="accent1" w:themeFillTint="66"/>
            <w:hideMark/>
          </w:tcPr>
          <w:p w:rsidR="00847BCE" w:rsidRPr="003E335B" w:rsidRDefault="003C39A0"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Microcontrollers, non-Flash, non-volatile Memory and Smartcard products (“MMS”)</w:t>
            </w:r>
          </w:p>
        </w:tc>
        <w:tc>
          <w:tcPr>
            <w:tcW w:w="1876" w:type="dxa"/>
            <w:gridSpan w:val="2"/>
            <w:shd w:val="clear" w:color="auto" w:fill="B8CCE4" w:themeFill="accent1" w:themeFillTint="66"/>
            <w:vAlign w:val="center"/>
          </w:tcPr>
          <w:p w:rsidR="00847BCE"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632</w:t>
            </w:r>
          </w:p>
        </w:tc>
        <w:tc>
          <w:tcPr>
            <w:tcW w:w="0" w:type="auto"/>
            <w:shd w:val="clear" w:color="auto" w:fill="B8CCE4" w:themeFill="accent1" w:themeFillTint="66"/>
            <w:vAlign w:val="center"/>
            <w:hideMark/>
          </w:tcPr>
          <w:p w:rsidR="00847BCE"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530</w:t>
            </w:r>
          </w:p>
        </w:tc>
      </w:tr>
      <w:tr w:rsidR="00DB7C6C" w:rsidRPr="003E335B" w:rsidTr="00C769AC">
        <w:tc>
          <w:tcPr>
            <w:tcW w:w="6908" w:type="dxa"/>
            <w:shd w:val="clear" w:color="auto" w:fill="auto"/>
            <w:hideMark/>
          </w:tcPr>
          <w:p w:rsidR="00DB7C6C" w:rsidRPr="003E335B" w:rsidRDefault="00DB7C6C"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Others</w:t>
            </w:r>
          </w:p>
        </w:tc>
        <w:tc>
          <w:tcPr>
            <w:tcW w:w="1876" w:type="dxa"/>
            <w:gridSpan w:val="2"/>
            <w:tcBorders>
              <w:bottom w:val="single" w:sz="18" w:space="0" w:color="auto"/>
            </w:tcBorders>
            <w:shd w:val="clear" w:color="auto" w:fill="auto"/>
            <w:vAlign w:val="center"/>
          </w:tcPr>
          <w:p w:rsidR="00DB7C6C"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w:t>
            </w:r>
          </w:p>
        </w:tc>
        <w:tc>
          <w:tcPr>
            <w:tcW w:w="0" w:type="auto"/>
            <w:tcBorders>
              <w:bottom w:val="single" w:sz="18" w:space="0" w:color="auto"/>
            </w:tcBorders>
            <w:shd w:val="clear" w:color="auto" w:fill="auto"/>
            <w:vAlign w:val="center"/>
            <w:hideMark/>
          </w:tcPr>
          <w:p w:rsidR="00DB7C6C"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w:t>
            </w:r>
          </w:p>
        </w:tc>
      </w:tr>
      <w:tr w:rsidR="00847BCE" w:rsidRPr="003E335B" w:rsidTr="00C769AC">
        <w:tc>
          <w:tcPr>
            <w:tcW w:w="6908" w:type="dxa"/>
            <w:shd w:val="clear" w:color="auto" w:fill="B8CCE4" w:themeFill="accent1" w:themeFillTint="66"/>
            <w:hideMark/>
          </w:tcPr>
          <w:p w:rsidR="00847BCE" w:rsidRPr="003E335B" w:rsidRDefault="003C39A0"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Analog, MEMS and Microcontrollers (“AMM”)</w:t>
            </w:r>
          </w:p>
        </w:tc>
        <w:tc>
          <w:tcPr>
            <w:tcW w:w="1876" w:type="dxa"/>
            <w:gridSpan w:val="2"/>
            <w:tcBorders>
              <w:top w:val="single" w:sz="18" w:space="0" w:color="auto"/>
            </w:tcBorders>
            <w:shd w:val="clear" w:color="auto" w:fill="B8CCE4" w:themeFill="accent1" w:themeFillTint="66"/>
            <w:vAlign w:val="center"/>
          </w:tcPr>
          <w:p w:rsidR="00847BCE" w:rsidRPr="003E335B" w:rsidRDefault="00DB7C6C"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1,505</w:t>
            </w:r>
          </w:p>
        </w:tc>
        <w:tc>
          <w:tcPr>
            <w:tcW w:w="0" w:type="auto"/>
            <w:tcBorders>
              <w:top w:val="single" w:sz="18" w:space="0" w:color="auto"/>
            </w:tcBorders>
            <w:shd w:val="clear" w:color="auto" w:fill="B8CCE4" w:themeFill="accent1" w:themeFillTint="66"/>
            <w:vAlign w:val="center"/>
            <w:hideMark/>
          </w:tcPr>
          <w:p w:rsidR="00847BCE" w:rsidRPr="003E335B" w:rsidRDefault="00DB7C6C"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1,183</w:t>
            </w:r>
          </w:p>
        </w:tc>
      </w:tr>
      <w:tr w:rsidR="00847BCE" w:rsidRPr="003E335B" w:rsidTr="00C769AC">
        <w:tc>
          <w:tcPr>
            <w:tcW w:w="6908" w:type="dxa"/>
            <w:shd w:val="clear" w:color="auto" w:fill="auto"/>
            <w:hideMark/>
          </w:tcPr>
          <w:p w:rsidR="00847BCE" w:rsidRPr="003E335B" w:rsidRDefault="003C39A0"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Power Discrete Products (“PDP”)</w:t>
            </w:r>
          </w:p>
        </w:tc>
        <w:tc>
          <w:tcPr>
            <w:tcW w:w="1876" w:type="dxa"/>
            <w:gridSpan w:val="2"/>
            <w:shd w:val="clear" w:color="auto" w:fill="auto"/>
            <w:vAlign w:val="center"/>
          </w:tcPr>
          <w:p w:rsidR="00847BCE" w:rsidRPr="003E335B" w:rsidRDefault="00DB7C6C"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670</w:t>
            </w:r>
          </w:p>
        </w:tc>
        <w:tc>
          <w:tcPr>
            <w:tcW w:w="0" w:type="auto"/>
            <w:shd w:val="clear" w:color="auto" w:fill="auto"/>
            <w:vAlign w:val="center"/>
            <w:hideMark/>
          </w:tcPr>
          <w:p w:rsidR="00847BCE" w:rsidRPr="003E335B" w:rsidRDefault="00DB7C6C"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612</w:t>
            </w:r>
          </w:p>
        </w:tc>
      </w:tr>
      <w:tr w:rsidR="00847BCE" w:rsidRPr="003E335B" w:rsidTr="00C769AC">
        <w:tc>
          <w:tcPr>
            <w:tcW w:w="6908" w:type="dxa"/>
            <w:shd w:val="clear" w:color="auto" w:fill="B8CCE4" w:themeFill="accent1" w:themeFillTint="66"/>
            <w:hideMark/>
          </w:tcPr>
          <w:p w:rsidR="00847BCE" w:rsidRPr="003E335B" w:rsidRDefault="00DB7C6C"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Entry Solutions and Connectivity (“ESC”)</w:t>
            </w:r>
          </w:p>
        </w:tc>
        <w:tc>
          <w:tcPr>
            <w:tcW w:w="1876" w:type="dxa"/>
            <w:gridSpan w:val="2"/>
            <w:shd w:val="clear" w:color="auto" w:fill="B8CCE4" w:themeFill="accent1" w:themeFillTint="66"/>
            <w:vAlign w:val="center"/>
          </w:tcPr>
          <w:p w:rsidR="00847BCE"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357</w:t>
            </w:r>
          </w:p>
        </w:tc>
        <w:tc>
          <w:tcPr>
            <w:tcW w:w="0" w:type="auto"/>
            <w:shd w:val="clear" w:color="auto" w:fill="B8CCE4" w:themeFill="accent1" w:themeFillTint="66"/>
            <w:vAlign w:val="center"/>
            <w:hideMark/>
          </w:tcPr>
          <w:p w:rsidR="00847BCE"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453</w:t>
            </w:r>
          </w:p>
        </w:tc>
      </w:tr>
      <w:tr w:rsidR="00847BCE" w:rsidRPr="003E335B" w:rsidTr="00C769AC">
        <w:tc>
          <w:tcPr>
            <w:tcW w:w="6908" w:type="dxa"/>
            <w:shd w:val="clear" w:color="auto" w:fill="auto"/>
            <w:hideMark/>
          </w:tcPr>
          <w:p w:rsidR="00847BCE" w:rsidRPr="003E335B" w:rsidRDefault="00DB7C6C"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Smartphones and Tablet Solutions (“STS”)</w:t>
            </w:r>
          </w:p>
        </w:tc>
        <w:tc>
          <w:tcPr>
            <w:tcW w:w="1876" w:type="dxa"/>
            <w:gridSpan w:val="2"/>
            <w:shd w:val="clear" w:color="auto" w:fill="auto"/>
            <w:vAlign w:val="center"/>
          </w:tcPr>
          <w:p w:rsidR="00847BCE"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317</w:t>
            </w:r>
          </w:p>
        </w:tc>
        <w:tc>
          <w:tcPr>
            <w:tcW w:w="0" w:type="auto"/>
            <w:shd w:val="clear" w:color="auto" w:fill="auto"/>
            <w:vAlign w:val="center"/>
            <w:hideMark/>
          </w:tcPr>
          <w:p w:rsidR="00847BCE"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645</w:t>
            </w:r>
          </w:p>
        </w:tc>
      </w:tr>
      <w:tr w:rsidR="00847BCE" w:rsidRPr="003E335B" w:rsidTr="00C769AC">
        <w:tc>
          <w:tcPr>
            <w:tcW w:w="6908" w:type="dxa"/>
            <w:shd w:val="clear" w:color="auto" w:fill="B8CCE4" w:themeFill="accent1" w:themeFillTint="66"/>
            <w:hideMark/>
          </w:tcPr>
          <w:p w:rsidR="00847BCE" w:rsidRPr="003E335B" w:rsidRDefault="00DB7C6C"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Modems (“MOD”)</w:t>
            </w:r>
          </w:p>
        </w:tc>
        <w:tc>
          <w:tcPr>
            <w:tcW w:w="1876" w:type="dxa"/>
            <w:gridSpan w:val="2"/>
            <w:shd w:val="clear" w:color="auto" w:fill="B8CCE4" w:themeFill="accent1" w:themeFillTint="66"/>
            <w:vAlign w:val="center"/>
          </w:tcPr>
          <w:p w:rsidR="00847BCE"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55</w:t>
            </w:r>
          </w:p>
        </w:tc>
        <w:tc>
          <w:tcPr>
            <w:tcW w:w="0" w:type="auto"/>
            <w:shd w:val="clear" w:color="auto" w:fill="B8CCE4" w:themeFill="accent1" w:themeFillTint="66"/>
            <w:vAlign w:val="center"/>
            <w:hideMark/>
          </w:tcPr>
          <w:p w:rsidR="00847BCE"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13</w:t>
            </w:r>
          </w:p>
        </w:tc>
      </w:tr>
      <w:tr w:rsidR="003C39A0" w:rsidRPr="003E335B" w:rsidTr="00C769AC">
        <w:tc>
          <w:tcPr>
            <w:tcW w:w="6908" w:type="dxa"/>
            <w:shd w:val="clear" w:color="auto" w:fill="auto"/>
            <w:hideMark/>
          </w:tcPr>
          <w:p w:rsidR="003C39A0" w:rsidRPr="003E335B" w:rsidRDefault="00244437"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Others</w:t>
            </w:r>
          </w:p>
        </w:tc>
        <w:tc>
          <w:tcPr>
            <w:tcW w:w="1876" w:type="dxa"/>
            <w:gridSpan w:val="2"/>
            <w:tcBorders>
              <w:bottom w:val="single" w:sz="18" w:space="0" w:color="auto"/>
            </w:tcBorders>
            <w:shd w:val="clear" w:color="auto" w:fill="auto"/>
            <w:vAlign w:val="center"/>
          </w:tcPr>
          <w:p w:rsidR="003C39A0"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w:t>
            </w:r>
          </w:p>
        </w:tc>
        <w:tc>
          <w:tcPr>
            <w:tcW w:w="0" w:type="auto"/>
            <w:tcBorders>
              <w:bottom w:val="single" w:sz="18" w:space="0" w:color="auto"/>
            </w:tcBorders>
            <w:shd w:val="clear" w:color="auto" w:fill="auto"/>
            <w:vAlign w:val="center"/>
            <w:hideMark/>
          </w:tcPr>
          <w:p w:rsidR="003C39A0"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w:t>
            </w:r>
          </w:p>
        </w:tc>
      </w:tr>
      <w:tr w:rsidR="003C39A0" w:rsidRPr="003E335B" w:rsidTr="00C769AC">
        <w:tc>
          <w:tcPr>
            <w:tcW w:w="6908" w:type="dxa"/>
            <w:shd w:val="clear" w:color="auto" w:fill="B8CCE4" w:themeFill="accent1" w:themeFillTint="66"/>
            <w:hideMark/>
          </w:tcPr>
          <w:p w:rsidR="003C39A0" w:rsidRPr="003E335B" w:rsidRDefault="00244437"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Wireless</w:t>
            </w:r>
          </w:p>
        </w:tc>
        <w:tc>
          <w:tcPr>
            <w:tcW w:w="1876" w:type="dxa"/>
            <w:gridSpan w:val="2"/>
            <w:tcBorders>
              <w:top w:val="single" w:sz="18" w:space="0" w:color="auto"/>
            </w:tcBorders>
            <w:shd w:val="clear" w:color="auto" w:fill="B8CCE4" w:themeFill="accent1" w:themeFillTint="66"/>
            <w:vAlign w:val="center"/>
          </w:tcPr>
          <w:p w:rsidR="003C39A0"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731</w:t>
            </w:r>
          </w:p>
        </w:tc>
        <w:tc>
          <w:tcPr>
            <w:tcW w:w="0" w:type="auto"/>
            <w:tcBorders>
              <w:top w:val="single" w:sz="18" w:space="0" w:color="auto"/>
            </w:tcBorders>
            <w:shd w:val="clear" w:color="auto" w:fill="B8CCE4" w:themeFill="accent1" w:themeFillTint="66"/>
            <w:vAlign w:val="center"/>
            <w:hideMark/>
          </w:tcPr>
          <w:p w:rsidR="003C39A0"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1,112</w:t>
            </w:r>
          </w:p>
        </w:tc>
      </w:tr>
      <w:tr w:rsidR="00847BCE" w:rsidRPr="003E335B" w:rsidTr="00C769AC">
        <w:tc>
          <w:tcPr>
            <w:tcW w:w="6908" w:type="dxa"/>
            <w:shd w:val="clear" w:color="auto" w:fill="auto"/>
            <w:hideMark/>
          </w:tcPr>
          <w:p w:rsidR="00847BCE" w:rsidRPr="003E335B" w:rsidRDefault="007D0E6D"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Others</w:t>
            </w:r>
            <w:r w:rsidR="00002A35" w:rsidRPr="003E335B">
              <w:rPr>
                <w:rStyle w:val="FootnoteReference"/>
                <w:rFonts w:asciiTheme="minorHAnsi" w:hAnsiTheme="minorHAnsi"/>
                <w:b/>
                <w:sz w:val="20"/>
                <w:szCs w:val="20"/>
              </w:rPr>
              <w:footnoteReference w:id="3"/>
            </w:r>
          </w:p>
        </w:tc>
        <w:tc>
          <w:tcPr>
            <w:tcW w:w="1876" w:type="dxa"/>
            <w:gridSpan w:val="2"/>
            <w:tcBorders>
              <w:bottom w:val="single" w:sz="18" w:space="0" w:color="auto"/>
            </w:tcBorders>
            <w:shd w:val="clear" w:color="auto" w:fill="auto"/>
            <w:vAlign w:val="center"/>
          </w:tcPr>
          <w:p w:rsidR="00847BCE"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25</w:t>
            </w:r>
          </w:p>
        </w:tc>
        <w:tc>
          <w:tcPr>
            <w:tcW w:w="0" w:type="auto"/>
            <w:tcBorders>
              <w:bottom w:val="single" w:sz="18" w:space="0" w:color="auto"/>
            </w:tcBorders>
            <w:shd w:val="clear" w:color="auto" w:fill="auto"/>
            <w:vAlign w:val="center"/>
            <w:hideMark/>
          </w:tcPr>
          <w:p w:rsidR="00847BCE" w:rsidRPr="003E335B" w:rsidRDefault="00DB7C6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34</w:t>
            </w:r>
          </w:p>
        </w:tc>
      </w:tr>
      <w:tr w:rsidR="00847BCE" w:rsidRPr="003E335B" w:rsidTr="00C769AC">
        <w:tc>
          <w:tcPr>
            <w:tcW w:w="6908" w:type="dxa"/>
            <w:tcBorders>
              <w:bottom w:val="single" w:sz="18" w:space="0" w:color="auto"/>
            </w:tcBorders>
            <w:shd w:val="clear" w:color="auto" w:fill="B8CCE4" w:themeFill="accent1" w:themeFillTint="66"/>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Total consolidated net revenues</w:t>
            </w:r>
          </w:p>
        </w:tc>
        <w:tc>
          <w:tcPr>
            <w:tcW w:w="1876" w:type="dxa"/>
            <w:gridSpan w:val="2"/>
            <w:tcBorders>
              <w:top w:val="single" w:sz="18" w:space="0" w:color="auto"/>
              <w:bottom w:val="single" w:sz="18" w:space="0" w:color="auto"/>
            </w:tcBorders>
            <w:shd w:val="clear" w:color="auto" w:fill="B8CCE4" w:themeFill="accent1" w:themeFillTint="66"/>
            <w:vAlign w:val="center"/>
          </w:tcPr>
          <w:p w:rsidR="00847BCE" w:rsidRPr="003E335B" w:rsidRDefault="00DB7C6C"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5,101</w:t>
            </w:r>
          </w:p>
        </w:tc>
        <w:tc>
          <w:tcPr>
            <w:tcW w:w="0" w:type="auto"/>
            <w:tcBorders>
              <w:top w:val="single" w:sz="18" w:space="0" w:color="auto"/>
              <w:bottom w:val="single" w:sz="18" w:space="0" w:color="auto"/>
            </w:tcBorders>
            <w:shd w:val="clear" w:color="auto" w:fill="B8CCE4" w:themeFill="accent1" w:themeFillTint="66"/>
            <w:vAlign w:val="center"/>
            <w:hideMark/>
          </w:tcPr>
          <w:p w:rsidR="00847BCE" w:rsidRPr="003E335B" w:rsidRDefault="00DB7C6C"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4,856</w:t>
            </w:r>
          </w:p>
        </w:tc>
      </w:tr>
      <w:tr w:rsidR="00BF69B1" w:rsidRPr="003E335B" w:rsidTr="00C769AC">
        <w:tblPrEx>
          <w:tblBorders>
            <w:top w:val="single" w:sz="4" w:space="0" w:color="000000"/>
            <w:bottom w:val="single" w:sz="4" w:space="0" w:color="000000"/>
            <w:insideH w:val="single" w:sz="4" w:space="0" w:color="000000"/>
          </w:tblBorders>
        </w:tblPrEx>
        <w:trPr>
          <w:trHeight w:val="188"/>
        </w:trPr>
        <w:tc>
          <w:tcPr>
            <w:tcW w:w="6908" w:type="dxa"/>
            <w:tcBorders>
              <w:top w:val="nil"/>
              <w:left w:val="nil"/>
              <w:bottom w:val="nil"/>
              <w:right w:val="nil"/>
            </w:tcBorders>
            <w:hideMark/>
          </w:tcPr>
          <w:p w:rsidR="00BF69B1" w:rsidRDefault="00BF69B1" w:rsidP="000D70EC">
            <w:pPr>
              <w:spacing w:after="100" w:line="240" w:lineRule="auto"/>
              <w:rPr>
                <w:rFonts w:asciiTheme="minorHAnsi" w:hAnsiTheme="minorHAnsi" w:cs="Arial"/>
                <w:sz w:val="20"/>
                <w:szCs w:val="20"/>
              </w:rPr>
            </w:pPr>
          </w:p>
          <w:p w:rsidR="00B423FB" w:rsidRPr="003E335B" w:rsidRDefault="00B423FB" w:rsidP="000D70EC">
            <w:pPr>
              <w:spacing w:after="100" w:line="240" w:lineRule="auto"/>
              <w:rPr>
                <w:rFonts w:asciiTheme="minorHAnsi" w:hAnsiTheme="minorHAnsi" w:cs="Arial"/>
                <w:sz w:val="20"/>
                <w:szCs w:val="20"/>
              </w:rPr>
            </w:pPr>
          </w:p>
        </w:tc>
        <w:tc>
          <w:tcPr>
            <w:tcW w:w="3178" w:type="dxa"/>
            <w:gridSpan w:val="3"/>
            <w:tcBorders>
              <w:top w:val="nil"/>
              <w:left w:val="nil"/>
              <w:bottom w:val="nil"/>
              <w:right w:val="nil"/>
            </w:tcBorders>
            <w:vAlign w:val="bottom"/>
            <w:hideMark/>
          </w:tcPr>
          <w:p w:rsidR="00BF69B1" w:rsidRPr="003E335B" w:rsidRDefault="00BF69B1" w:rsidP="00B423FB">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(unaudited)</w:t>
            </w:r>
          </w:p>
        </w:tc>
      </w:tr>
      <w:tr w:rsidR="00BF69B1" w:rsidRPr="003E335B" w:rsidTr="00C769AC">
        <w:tblPrEx>
          <w:tblBorders>
            <w:top w:val="single" w:sz="4" w:space="0" w:color="000000"/>
            <w:bottom w:val="single" w:sz="4" w:space="0" w:color="000000"/>
            <w:insideH w:val="single" w:sz="4" w:space="0" w:color="000000"/>
          </w:tblBorders>
        </w:tblPrEx>
        <w:tc>
          <w:tcPr>
            <w:tcW w:w="6908" w:type="dxa"/>
            <w:tcBorders>
              <w:top w:val="nil"/>
              <w:left w:val="nil"/>
              <w:bottom w:val="nil"/>
              <w:right w:val="nil"/>
            </w:tcBorders>
            <w:vAlign w:val="bottom"/>
          </w:tcPr>
          <w:p w:rsidR="00BF69B1" w:rsidRPr="003E335B" w:rsidRDefault="00BF69B1" w:rsidP="000D70EC">
            <w:pPr>
              <w:spacing w:after="100" w:line="240" w:lineRule="auto"/>
              <w:rPr>
                <w:rFonts w:asciiTheme="minorHAnsi" w:hAnsiTheme="minorHAnsi" w:cs="Arial"/>
                <w:sz w:val="20"/>
                <w:szCs w:val="20"/>
              </w:rPr>
            </w:pPr>
          </w:p>
        </w:tc>
        <w:tc>
          <w:tcPr>
            <w:tcW w:w="3178" w:type="dxa"/>
            <w:gridSpan w:val="3"/>
            <w:tcBorders>
              <w:top w:val="nil"/>
              <w:left w:val="nil"/>
              <w:bottom w:val="single" w:sz="18" w:space="0" w:color="auto"/>
              <w:right w:val="nil"/>
            </w:tcBorders>
            <w:vAlign w:val="bottom"/>
            <w:hideMark/>
          </w:tcPr>
          <w:p w:rsidR="00BF69B1" w:rsidRPr="003E335B" w:rsidRDefault="00BF69B1"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Six months ended</w:t>
            </w:r>
          </w:p>
        </w:tc>
      </w:tr>
      <w:tr w:rsidR="00244437" w:rsidRPr="003E335B" w:rsidTr="00C769AC">
        <w:tblPrEx>
          <w:tblBorders>
            <w:top w:val="single" w:sz="4" w:space="0" w:color="000000"/>
            <w:bottom w:val="single" w:sz="4" w:space="0" w:color="000000"/>
            <w:insideH w:val="single" w:sz="4" w:space="0" w:color="000000"/>
          </w:tblBorders>
        </w:tblPrEx>
        <w:tc>
          <w:tcPr>
            <w:tcW w:w="6908" w:type="dxa"/>
            <w:tcBorders>
              <w:top w:val="nil"/>
              <w:left w:val="nil"/>
              <w:bottom w:val="single" w:sz="18" w:space="0" w:color="auto"/>
              <w:right w:val="nil"/>
            </w:tcBorders>
            <w:vAlign w:val="bottom"/>
          </w:tcPr>
          <w:p w:rsidR="00244437" w:rsidRPr="003E335B" w:rsidRDefault="00244437"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1391" w:type="dxa"/>
            <w:tcBorders>
              <w:top w:val="single" w:sz="18" w:space="0" w:color="auto"/>
              <w:left w:val="nil"/>
              <w:bottom w:val="single" w:sz="18" w:space="0" w:color="auto"/>
              <w:right w:val="nil"/>
            </w:tcBorders>
            <w:vAlign w:val="bottom"/>
            <w:hideMark/>
          </w:tcPr>
          <w:p w:rsidR="00244437" w:rsidRPr="003E335B" w:rsidRDefault="00244437"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July 2, 2011</w:t>
            </w:r>
          </w:p>
        </w:tc>
        <w:tc>
          <w:tcPr>
            <w:tcW w:w="1787" w:type="dxa"/>
            <w:gridSpan w:val="2"/>
            <w:tcBorders>
              <w:top w:val="single" w:sz="18" w:space="0" w:color="auto"/>
              <w:left w:val="nil"/>
              <w:bottom w:val="single" w:sz="18" w:space="0" w:color="auto"/>
              <w:right w:val="nil"/>
            </w:tcBorders>
            <w:vAlign w:val="bottom"/>
            <w:hideMark/>
          </w:tcPr>
          <w:p w:rsidR="00244437" w:rsidRPr="003E335B" w:rsidRDefault="00244437"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June 26, 2010</w:t>
            </w:r>
          </w:p>
        </w:tc>
      </w:tr>
      <w:tr w:rsidR="00244437" w:rsidRPr="003E335B" w:rsidTr="00C769AC">
        <w:tblPrEx>
          <w:tblBorders>
            <w:top w:val="single" w:sz="4" w:space="0" w:color="000000"/>
            <w:bottom w:val="single" w:sz="4" w:space="0" w:color="000000"/>
            <w:insideH w:val="single" w:sz="4" w:space="0" w:color="000000"/>
          </w:tblBorders>
        </w:tblPrEx>
        <w:tc>
          <w:tcPr>
            <w:tcW w:w="6908" w:type="dxa"/>
            <w:tcBorders>
              <w:top w:val="single" w:sz="18" w:space="0" w:color="auto"/>
              <w:left w:val="nil"/>
              <w:bottom w:val="nil"/>
              <w:right w:val="nil"/>
            </w:tcBorders>
            <w:hideMark/>
          </w:tcPr>
          <w:p w:rsidR="00244437" w:rsidRPr="003E335B" w:rsidRDefault="00244437"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Net revenues by location of order shipment</w:t>
            </w:r>
            <w:r w:rsidRPr="003E335B">
              <w:rPr>
                <w:rStyle w:val="FootnoteReference"/>
                <w:rFonts w:asciiTheme="minorHAnsi" w:hAnsiTheme="minorHAnsi"/>
                <w:b/>
                <w:sz w:val="20"/>
                <w:szCs w:val="20"/>
              </w:rPr>
              <w:footnoteReference w:id="4"/>
            </w:r>
          </w:p>
        </w:tc>
        <w:tc>
          <w:tcPr>
            <w:tcW w:w="1391" w:type="dxa"/>
            <w:tcBorders>
              <w:top w:val="single" w:sz="18" w:space="0" w:color="auto"/>
              <w:left w:val="nil"/>
              <w:bottom w:val="nil"/>
              <w:right w:val="nil"/>
            </w:tcBorders>
            <w:vAlign w:val="center"/>
          </w:tcPr>
          <w:p w:rsidR="00244437" w:rsidRPr="003E335B" w:rsidRDefault="00244437" w:rsidP="000D70EC">
            <w:pPr>
              <w:spacing w:after="100" w:line="240" w:lineRule="auto"/>
              <w:jc w:val="right"/>
              <w:rPr>
                <w:rFonts w:asciiTheme="minorHAnsi" w:hAnsiTheme="minorHAnsi" w:cs="Arial"/>
                <w:b/>
                <w:sz w:val="20"/>
                <w:szCs w:val="20"/>
              </w:rPr>
            </w:pPr>
          </w:p>
        </w:tc>
        <w:tc>
          <w:tcPr>
            <w:tcW w:w="1787" w:type="dxa"/>
            <w:gridSpan w:val="2"/>
            <w:tcBorders>
              <w:top w:val="single" w:sz="18" w:space="0" w:color="auto"/>
              <w:left w:val="nil"/>
              <w:bottom w:val="nil"/>
              <w:right w:val="nil"/>
            </w:tcBorders>
            <w:vAlign w:val="center"/>
            <w:hideMark/>
          </w:tcPr>
          <w:p w:rsidR="00244437" w:rsidRPr="003E335B" w:rsidRDefault="00244437" w:rsidP="000D70EC">
            <w:pPr>
              <w:spacing w:after="100" w:line="240" w:lineRule="auto"/>
              <w:jc w:val="right"/>
              <w:rPr>
                <w:rFonts w:asciiTheme="minorHAnsi" w:hAnsiTheme="minorHAnsi" w:cs="Arial"/>
                <w:b/>
                <w:sz w:val="20"/>
                <w:szCs w:val="20"/>
              </w:rPr>
            </w:pPr>
          </w:p>
        </w:tc>
      </w:tr>
      <w:tr w:rsidR="00244437" w:rsidRPr="003E335B" w:rsidTr="00C769AC">
        <w:tblPrEx>
          <w:tblBorders>
            <w:top w:val="single" w:sz="4" w:space="0" w:color="000000"/>
            <w:bottom w:val="single" w:sz="4" w:space="0" w:color="000000"/>
            <w:insideH w:val="single" w:sz="4" w:space="0" w:color="000000"/>
          </w:tblBorders>
        </w:tblPrEx>
        <w:tc>
          <w:tcPr>
            <w:tcW w:w="6908" w:type="dxa"/>
            <w:tcBorders>
              <w:top w:val="nil"/>
              <w:left w:val="nil"/>
              <w:bottom w:val="nil"/>
              <w:right w:val="nil"/>
            </w:tcBorders>
            <w:shd w:val="clear" w:color="auto" w:fill="B8CCE4" w:themeFill="accent1" w:themeFillTint="66"/>
            <w:hideMark/>
          </w:tcPr>
          <w:p w:rsidR="00244437" w:rsidRPr="003E335B" w:rsidRDefault="00244437"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EMEA</w:t>
            </w:r>
          </w:p>
        </w:tc>
        <w:tc>
          <w:tcPr>
            <w:tcW w:w="1391" w:type="dxa"/>
            <w:tcBorders>
              <w:top w:val="nil"/>
              <w:left w:val="nil"/>
              <w:bottom w:val="nil"/>
              <w:right w:val="nil"/>
            </w:tcBorders>
            <w:shd w:val="clear" w:color="auto" w:fill="B8CCE4" w:themeFill="accent1" w:themeFillTint="66"/>
            <w:vAlign w:val="center"/>
          </w:tcPr>
          <w:p w:rsidR="00244437" w:rsidRPr="003E335B" w:rsidRDefault="00FA358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1,263</w:t>
            </w:r>
          </w:p>
        </w:tc>
        <w:tc>
          <w:tcPr>
            <w:tcW w:w="1787" w:type="dxa"/>
            <w:gridSpan w:val="2"/>
            <w:tcBorders>
              <w:top w:val="nil"/>
              <w:left w:val="nil"/>
              <w:bottom w:val="nil"/>
              <w:right w:val="nil"/>
            </w:tcBorders>
            <w:shd w:val="clear" w:color="auto" w:fill="B8CCE4" w:themeFill="accent1" w:themeFillTint="66"/>
            <w:vAlign w:val="center"/>
            <w:hideMark/>
          </w:tcPr>
          <w:p w:rsidR="00244437" w:rsidRPr="003E335B" w:rsidRDefault="00244437"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1,277</w:t>
            </w:r>
          </w:p>
        </w:tc>
      </w:tr>
      <w:tr w:rsidR="00244437" w:rsidRPr="003E335B" w:rsidTr="00C769AC">
        <w:tblPrEx>
          <w:tblBorders>
            <w:top w:val="single" w:sz="4" w:space="0" w:color="000000"/>
            <w:bottom w:val="single" w:sz="4" w:space="0" w:color="000000"/>
            <w:insideH w:val="single" w:sz="4" w:space="0" w:color="000000"/>
          </w:tblBorders>
        </w:tblPrEx>
        <w:tc>
          <w:tcPr>
            <w:tcW w:w="6908" w:type="dxa"/>
            <w:tcBorders>
              <w:top w:val="nil"/>
              <w:left w:val="nil"/>
              <w:bottom w:val="nil"/>
              <w:right w:val="nil"/>
            </w:tcBorders>
            <w:hideMark/>
          </w:tcPr>
          <w:p w:rsidR="00244437" w:rsidRPr="003E335B" w:rsidRDefault="00244437"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Americas</w:t>
            </w:r>
          </w:p>
        </w:tc>
        <w:tc>
          <w:tcPr>
            <w:tcW w:w="1391" w:type="dxa"/>
            <w:tcBorders>
              <w:top w:val="nil"/>
              <w:left w:val="nil"/>
              <w:bottom w:val="nil"/>
              <w:right w:val="nil"/>
            </w:tcBorders>
            <w:vAlign w:val="center"/>
          </w:tcPr>
          <w:p w:rsidR="00244437" w:rsidRPr="003E335B" w:rsidRDefault="00FA358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692</w:t>
            </w:r>
          </w:p>
        </w:tc>
        <w:tc>
          <w:tcPr>
            <w:tcW w:w="1787" w:type="dxa"/>
            <w:gridSpan w:val="2"/>
            <w:tcBorders>
              <w:top w:val="nil"/>
              <w:left w:val="nil"/>
              <w:bottom w:val="nil"/>
              <w:right w:val="nil"/>
            </w:tcBorders>
            <w:vAlign w:val="center"/>
            <w:hideMark/>
          </w:tcPr>
          <w:p w:rsidR="00244437" w:rsidRPr="003E335B" w:rsidRDefault="00244437"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633</w:t>
            </w:r>
          </w:p>
        </w:tc>
      </w:tr>
      <w:tr w:rsidR="00244437" w:rsidRPr="003E335B" w:rsidTr="00C769AC">
        <w:tblPrEx>
          <w:tblBorders>
            <w:top w:val="single" w:sz="4" w:space="0" w:color="000000"/>
            <w:bottom w:val="single" w:sz="4" w:space="0" w:color="000000"/>
            <w:insideH w:val="single" w:sz="4" w:space="0" w:color="000000"/>
          </w:tblBorders>
        </w:tblPrEx>
        <w:tc>
          <w:tcPr>
            <w:tcW w:w="6908" w:type="dxa"/>
            <w:tcBorders>
              <w:top w:val="nil"/>
              <w:left w:val="nil"/>
              <w:bottom w:val="nil"/>
              <w:right w:val="nil"/>
            </w:tcBorders>
            <w:shd w:val="clear" w:color="auto" w:fill="B8CCE4" w:themeFill="accent1" w:themeFillTint="66"/>
            <w:hideMark/>
          </w:tcPr>
          <w:p w:rsidR="00244437" w:rsidRPr="003E335B" w:rsidRDefault="00244437"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Greater China and South Asia</w:t>
            </w:r>
          </w:p>
        </w:tc>
        <w:tc>
          <w:tcPr>
            <w:tcW w:w="1391" w:type="dxa"/>
            <w:tcBorders>
              <w:top w:val="nil"/>
              <w:left w:val="nil"/>
              <w:bottom w:val="nil"/>
              <w:right w:val="nil"/>
            </w:tcBorders>
            <w:shd w:val="clear" w:color="auto" w:fill="B8CCE4" w:themeFill="accent1" w:themeFillTint="66"/>
            <w:vAlign w:val="center"/>
          </w:tcPr>
          <w:p w:rsidR="00244437" w:rsidRPr="003E335B" w:rsidRDefault="00FA358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2,287</w:t>
            </w:r>
          </w:p>
        </w:tc>
        <w:tc>
          <w:tcPr>
            <w:tcW w:w="1787" w:type="dxa"/>
            <w:gridSpan w:val="2"/>
            <w:tcBorders>
              <w:top w:val="nil"/>
              <w:left w:val="nil"/>
              <w:bottom w:val="nil"/>
              <w:right w:val="nil"/>
            </w:tcBorders>
            <w:shd w:val="clear" w:color="auto" w:fill="B8CCE4" w:themeFill="accent1" w:themeFillTint="66"/>
            <w:vAlign w:val="center"/>
            <w:hideMark/>
          </w:tcPr>
          <w:p w:rsidR="00244437" w:rsidRPr="003E335B" w:rsidRDefault="00244437"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2,061</w:t>
            </w:r>
          </w:p>
        </w:tc>
      </w:tr>
      <w:tr w:rsidR="00244437" w:rsidRPr="003E335B" w:rsidTr="00C769AC">
        <w:tblPrEx>
          <w:tblBorders>
            <w:top w:val="single" w:sz="4" w:space="0" w:color="000000"/>
            <w:bottom w:val="single" w:sz="4" w:space="0" w:color="000000"/>
            <w:insideH w:val="single" w:sz="4" w:space="0" w:color="000000"/>
          </w:tblBorders>
        </w:tblPrEx>
        <w:tc>
          <w:tcPr>
            <w:tcW w:w="6908" w:type="dxa"/>
            <w:tcBorders>
              <w:top w:val="nil"/>
              <w:left w:val="nil"/>
              <w:bottom w:val="nil"/>
              <w:right w:val="nil"/>
            </w:tcBorders>
            <w:hideMark/>
          </w:tcPr>
          <w:p w:rsidR="00244437" w:rsidRPr="003E335B" w:rsidRDefault="00244437"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Japan and Korea</w:t>
            </w:r>
          </w:p>
        </w:tc>
        <w:tc>
          <w:tcPr>
            <w:tcW w:w="1391" w:type="dxa"/>
            <w:tcBorders>
              <w:top w:val="nil"/>
              <w:left w:val="nil"/>
              <w:bottom w:val="nil"/>
              <w:right w:val="nil"/>
            </w:tcBorders>
            <w:vAlign w:val="center"/>
          </w:tcPr>
          <w:p w:rsidR="00244437" w:rsidRPr="003E335B" w:rsidRDefault="00FA358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859</w:t>
            </w:r>
          </w:p>
        </w:tc>
        <w:tc>
          <w:tcPr>
            <w:tcW w:w="1787" w:type="dxa"/>
            <w:gridSpan w:val="2"/>
            <w:tcBorders>
              <w:top w:val="nil"/>
              <w:left w:val="nil"/>
              <w:bottom w:val="nil"/>
              <w:right w:val="nil"/>
            </w:tcBorders>
            <w:vAlign w:val="center"/>
            <w:hideMark/>
          </w:tcPr>
          <w:p w:rsidR="00244437" w:rsidRPr="003E335B" w:rsidRDefault="00244437"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885</w:t>
            </w:r>
          </w:p>
        </w:tc>
      </w:tr>
      <w:tr w:rsidR="00244437" w:rsidRPr="003E335B" w:rsidTr="00C769AC">
        <w:tblPrEx>
          <w:tblBorders>
            <w:top w:val="single" w:sz="4" w:space="0" w:color="000000"/>
            <w:bottom w:val="single" w:sz="4" w:space="0" w:color="000000"/>
            <w:insideH w:val="single" w:sz="4" w:space="0" w:color="000000"/>
          </w:tblBorders>
        </w:tblPrEx>
        <w:tc>
          <w:tcPr>
            <w:tcW w:w="6908" w:type="dxa"/>
            <w:tcBorders>
              <w:top w:val="nil"/>
              <w:left w:val="nil"/>
              <w:bottom w:val="single" w:sz="18" w:space="0" w:color="auto"/>
              <w:right w:val="nil"/>
            </w:tcBorders>
            <w:shd w:val="clear" w:color="auto" w:fill="B8CCE4" w:themeFill="accent1" w:themeFillTint="66"/>
            <w:hideMark/>
          </w:tcPr>
          <w:p w:rsidR="00244437" w:rsidRPr="003E335B" w:rsidRDefault="00244437"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Total consolidated net revenues</w:t>
            </w:r>
          </w:p>
        </w:tc>
        <w:tc>
          <w:tcPr>
            <w:tcW w:w="1391" w:type="dxa"/>
            <w:tcBorders>
              <w:top w:val="nil"/>
              <w:left w:val="nil"/>
              <w:bottom w:val="single" w:sz="18" w:space="0" w:color="auto"/>
              <w:right w:val="nil"/>
            </w:tcBorders>
            <w:shd w:val="clear" w:color="auto" w:fill="B8CCE4" w:themeFill="accent1" w:themeFillTint="66"/>
            <w:vAlign w:val="center"/>
          </w:tcPr>
          <w:p w:rsidR="00244437" w:rsidRPr="003E335B" w:rsidRDefault="00FA3584"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5,101</w:t>
            </w:r>
          </w:p>
        </w:tc>
        <w:tc>
          <w:tcPr>
            <w:tcW w:w="1787" w:type="dxa"/>
            <w:gridSpan w:val="2"/>
            <w:tcBorders>
              <w:top w:val="nil"/>
              <w:left w:val="nil"/>
              <w:bottom w:val="single" w:sz="18" w:space="0" w:color="auto"/>
              <w:right w:val="nil"/>
            </w:tcBorders>
            <w:shd w:val="clear" w:color="auto" w:fill="B8CCE4" w:themeFill="accent1" w:themeFillTint="66"/>
            <w:vAlign w:val="center"/>
          </w:tcPr>
          <w:p w:rsidR="00244437" w:rsidRPr="003E335B" w:rsidRDefault="00244437"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4,856</w:t>
            </w:r>
          </w:p>
        </w:tc>
      </w:tr>
    </w:tbl>
    <w:p w:rsidR="00BF69B1" w:rsidRPr="003E335B" w:rsidRDefault="00BF69B1" w:rsidP="000D70EC">
      <w:pPr>
        <w:spacing w:after="100" w:line="240" w:lineRule="auto"/>
        <w:rPr>
          <w:rFonts w:asciiTheme="minorHAnsi" w:hAnsiTheme="minorHAnsi" w:cs="Arial"/>
          <w:b/>
          <w:i/>
          <w:sz w:val="20"/>
          <w:szCs w:val="20"/>
        </w:rPr>
      </w:pPr>
    </w:p>
    <w:p w:rsidR="008733F0" w:rsidRDefault="000C6914">
      <w:pPr>
        <w:spacing w:after="100" w:line="240" w:lineRule="auto"/>
        <w:jc w:val="both"/>
        <w:rPr>
          <w:rFonts w:asciiTheme="minorHAnsi" w:hAnsiTheme="minorHAnsi" w:cs="Arial"/>
          <w:sz w:val="20"/>
          <w:szCs w:val="20"/>
        </w:rPr>
      </w:pPr>
      <w:r w:rsidRPr="003E335B">
        <w:rPr>
          <w:rFonts w:asciiTheme="minorHAnsi" w:hAnsiTheme="minorHAnsi" w:cs="Arial"/>
          <w:sz w:val="20"/>
          <w:szCs w:val="20"/>
        </w:rPr>
        <w:t>The o</w:t>
      </w:r>
      <w:r w:rsidR="00847BCE" w:rsidRPr="003E335B">
        <w:rPr>
          <w:rFonts w:asciiTheme="minorHAnsi" w:hAnsiTheme="minorHAnsi" w:cs="Arial"/>
          <w:sz w:val="20"/>
          <w:szCs w:val="20"/>
        </w:rPr>
        <w:t xml:space="preserve">perating income by product </w:t>
      </w:r>
      <w:r w:rsidR="00F64C75">
        <w:rPr>
          <w:rFonts w:asciiTheme="minorHAnsi" w:hAnsiTheme="minorHAnsi" w:cs="Arial"/>
          <w:sz w:val="20"/>
          <w:szCs w:val="20"/>
        </w:rPr>
        <w:t>segment</w:t>
      </w:r>
      <w:r w:rsidR="00F64C75" w:rsidRPr="003E335B">
        <w:rPr>
          <w:rFonts w:asciiTheme="minorHAnsi" w:hAnsiTheme="minorHAnsi" w:cs="Arial"/>
          <w:sz w:val="20"/>
          <w:szCs w:val="20"/>
        </w:rPr>
        <w:t xml:space="preserve"> </w:t>
      </w:r>
      <w:r w:rsidR="00847BCE" w:rsidRPr="003E335B">
        <w:rPr>
          <w:rFonts w:asciiTheme="minorHAnsi" w:hAnsiTheme="minorHAnsi" w:cs="Arial"/>
          <w:sz w:val="20"/>
          <w:szCs w:val="20"/>
        </w:rPr>
        <w:t>and reconciliation to operating income</w:t>
      </w:r>
      <w:r w:rsidRPr="003E335B">
        <w:rPr>
          <w:rFonts w:asciiTheme="minorHAnsi" w:hAnsiTheme="minorHAnsi" w:cs="Arial"/>
          <w:sz w:val="20"/>
          <w:szCs w:val="20"/>
        </w:rPr>
        <w:t xml:space="preserve"> can be detailed as follows:</w:t>
      </w:r>
    </w:p>
    <w:tbl>
      <w:tblPr>
        <w:tblW w:w="10098" w:type="dxa"/>
        <w:tblLook w:val="04A0"/>
      </w:tblPr>
      <w:tblGrid>
        <w:gridCol w:w="6858"/>
        <w:gridCol w:w="1620"/>
        <w:gridCol w:w="1620"/>
      </w:tblGrid>
      <w:tr w:rsidR="00847BCE" w:rsidRPr="003E335B" w:rsidTr="00C769AC">
        <w:tc>
          <w:tcPr>
            <w:tcW w:w="6858" w:type="dxa"/>
            <w:vMerge w:val="restart"/>
            <w:tcBorders>
              <w:bottom w:val="single" w:sz="18" w:space="0" w:color="auto"/>
            </w:tcBorders>
            <w:shd w:val="clear" w:color="auto" w:fill="auto"/>
            <w:vAlign w:val="bottom"/>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3240" w:type="dxa"/>
            <w:gridSpan w:val="2"/>
            <w:shd w:val="clear" w:color="auto" w:fill="auto"/>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(unaudited)</w:t>
            </w:r>
          </w:p>
        </w:tc>
      </w:tr>
      <w:tr w:rsidR="00847BCE" w:rsidRPr="003E335B" w:rsidTr="00C769AC">
        <w:tc>
          <w:tcPr>
            <w:tcW w:w="6858" w:type="dxa"/>
            <w:vMerge/>
            <w:tcBorders>
              <w:bottom w:val="single" w:sz="18" w:space="0" w:color="auto"/>
            </w:tcBorders>
            <w:shd w:val="clear" w:color="auto" w:fill="auto"/>
            <w:vAlign w:val="center"/>
            <w:hideMark/>
          </w:tcPr>
          <w:p w:rsidR="00847BCE" w:rsidRPr="003E335B" w:rsidRDefault="00847BCE" w:rsidP="000D70EC">
            <w:pPr>
              <w:spacing w:after="100" w:line="240" w:lineRule="auto"/>
              <w:rPr>
                <w:rFonts w:asciiTheme="minorHAnsi" w:hAnsiTheme="minorHAnsi" w:cs="Arial"/>
                <w:sz w:val="20"/>
                <w:szCs w:val="20"/>
              </w:rPr>
            </w:pPr>
          </w:p>
        </w:tc>
        <w:tc>
          <w:tcPr>
            <w:tcW w:w="3240" w:type="dxa"/>
            <w:gridSpan w:val="2"/>
            <w:tcBorders>
              <w:bottom w:val="single" w:sz="18" w:space="0" w:color="auto"/>
            </w:tcBorders>
            <w:shd w:val="clear" w:color="auto" w:fill="auto"/>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Six months ended</w:t>
            </w:r>
          </w:p>
        </w:tc>
      </w:tr>
      <w:tr w:rsidR="00244437" w:rsidRPr="003E335B" w:rsidTr="00C769AC">
        <w:tc>
          <w:tcPr>
            <w:tcW w:w="6858" w:type="dxa"/>
            <w:vMerge/>
            <w:tcBorders>
              <w:bottom w:val="single" w:sz="18" w:space="0" w:color="auto"/>
            </w:tcBorders>
            <w:shd w:val="clear" w:color="auto" w:fill="auto"/>
            <w:vAlign w:val="center"/>
            <w:hideMark/>
          </w:tcPr>
          <w:p w:rsidR="00244437" w:rsidRPr="003E335B" w:rsidRDefault="00244437" w:rsidP="000D70EC">
            <w:pPr>
              <w:spacing w:after="100" w:line="240" w:lineRule="auto"/>
              <w:rPr>
                <w:rFonts w:asciiTheme="minorHAnsi" w:hAnsiTheme="minorHAnsi" w:cs="Arial"/>
                <w:sz w:val="20"/>
                <w:szCs w:val="20"/>
              </w:rPr>
            </w:pPr>
          </w:p>
        </w:tc>
        <w:tc>
          <w:tcPr>
            <w:tcW w:w="1620" w:type="dxa"/>
            <w:tcBorders>
              <w:top w:val="single" w:sz="18" w:space="0" w:color="auto"/>
              <w:bottom w:val="single" w:sz="18" w:space="0" w:color="auto"/>
            </w:tcBorders>
            <w:shd w:val="clear" w:color="auto" w:fill="auto"/>
            <w:vAlign w:val="bottom"/>
            <w:hideMark/>
          </w:tcPr>
          <w:p w:rsidR="00244437" w:rsidRPr="003E335B" w:rsidRDefault="00244437"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July 2, 2011</w:t>
            </w:r>
          </w:p>
        </w:tc>
        <w:tc>
          <w:tcPr>
            <w:tcW w:w="1620" w:type="dxa"/>
            <w:tcBorders>
              <w:top w:val="single" w:sz="18" w:space="0" w:color="auto"/>
              <w:bottom w:val="single" w:sz="18" w:space="0" w:color="auto"/>
            </w:tcBorders>
            <w:shd w:val="clear" w:color="auto" w:fill="auto"/>
            <w:vAlign w:val="bottom"/>
            <w:hideMark/>
          </w:tcPr>
          <w:p w:rsidR="00244437" w:rsidRPr="003E335B" w:rsidRDefault="00244437"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June 26, 2010</w:t>
            </w:r>
          </w:p>
        </w:tc>
      </w:tr>
      <w:tr w:rsidR="00847BCE" w:rsidRPr="003E335B" w:rsidTr="00C769AC">
        <w:tc>
          <w:tcPr>
            <w:tcW w:w="6858" w:type="dxa"/>
            <w:tcBorders>
              <w:top w:val="single" w:sz="18" w:space="0" w:color="auto"/>
            </w:tcBorders>
            <w:shd w:val="clear" w:color="auto" w:fill="B8CCE4" w:themeFill="accent1" w:themeFillTint="66"/>
            <w:hideMark/>
          </w:tcPr>
          <w:p w:rsidR="00847BCE" w:rsidRPr="003E335B" w:rsidRDefault="00847BCE"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Automotive Consumer Computer and Communication Infrastructure (</w:t>
            </w:r>
            <w:r w:rsidR="00DB7C6C" w:rsidRPr="003E335B">
              <w:rPr>
                <w:rFonts w:asciiTheme="minorHAnsi" w:hAnsiTheme="minorHAnsi" w:cs="Arial"/>
                <w:sz w:val="20"/>
                <w:szCs w:val="20"/>
              </w:rPr>
              <w:t>“</w:t>
            </w:r>
            <w:r w:rsidRPr="003E335B">
              <w:rPr>
                <w:rFonts w:asciiTheme="minorHAnsi" w:hAnsiTheme="minorHAnsi" w:cs="Arial"/>
                <w:sz w:val="20"/>
                <w:szCs w:val="20"/>
              </w:rPr>
              <w:t>ACCI</w:t>
            </w:r>
            <w:r w:rsidR="00DB7C6C" w:rsidRPr="003E335B">
              <w:rPr>
                <w:rFonts w:asciiTheme="minorHAnsi" w:hAnsiTheme="minorHAnsi" w:cs="Arial"/>
                <w:sz w:val="20"/>
                <w:szCs w:val="20"/>
              </w:rPr>
              <w:t>”</w:t>
            </w:r>
            <w:r w:rsidRPr="003E335B">
              <w:rPr>
                <w:rFonts w:asciiTheme="minorHAnsi" w:hAnsiTheme="minorHAnsi" w:cs="Arial"/>
                <w:sz w:val="20"/>
                <w:szCs w:val="20"/>
              </w:rPr>
              <w:t>)</w:t>
            </w:r>
          </w:p>
        </w:tc>
        <w:tc>
          <w:tcPr>
            <w:tcW w:w="1620" w:type="dxa"/>
            <w:tcBorders>
              <w:top w:val="single" w:sz="18" w:space="0" w:color="auto"/>
            </w:tcBorders>
            <w:shd w:val="clear" w:color="auto" w:fill="B8CCE4" w:themeFill="accent1" w:themeFillTint="66"/>
            <w:vAlign w:val="center"/>
          </w:tcPr>
          <w:p w:rsidR="00847BCE" w:rsidRPr="003E335B" w:rsidRDefault="00754443"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237</w:t>
            </w:r>
          </w:p>
        </w:tc>
        <w:tc>
          <w:tcPr>
            <w:tcW w:w="1620" w:type="dxa"/>
            <w:tcBorders>
              <w:top w:val="single" w:sz="18" w:space="0" w:color="auto"/>
            </w:tcBorders>
            <w:shd w:val="clear" w:color="auto" w:fill="B8CCE4" w:themeFill="accent1" w:themeFillTint="66"/>
            <w:vAlign w:val="center"/>
            <w:hideMark/>
          </w:tcPr>
          <w:p w:rsidR="00847BCE" w:rsidRPr="003E335B" w:rsidRDefault="00754443"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149</w:t>
            </w:r>
          </w:p>
        </w:tc>
      </w:tr>
      <w:tr w:rsidR="00244437" w:rsidRPr="003E335B" w:rsidTr="00C769AC">
        <w:tc>
          <w:tcPr>
            <w:tcW w:w="6858" w:type="dxa"/>
            <w:shd w:val="clear" w:color="auto" w:fill="auto"/>
            <w:hideMark/>
          </w:tcPr>
          <w:p w:rsidR="00244437" w:rsidRPr="003E335B" w:rsidRDefault="00244437"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Analog, MEMS and Microcontrollers (“AMM”)</w:t>
            </w:r>
          </w:p>
        </w:tc>
        <w:tc>
          <w:tcPr>
            <w:tcW w:w="1620" w:type="dxa"/>
            <w:shd w:val="clear" w:color="auto" w:fill="auto"/>
            <w:vAlign w:val="center"/>
          </w:tcPr>
          <w:p w:rsidR="00244437" w:rsidRPr="003E335B" w:rsidRDefault="00754443"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325</w:t>
            </w:r>
          </w:p>
        </w:tc>
        <w:tc>
          <w:tcPr>
            <w:tcW w:w="1620" w:type="dxa"/>
            <w:shd w:val="clear" w:color="auto" w:fill="auto"/>
            <w:vAlign w:val="center"/>
            <w:hideMark/>
          </w:tcPr>
          <w:p w:rsidR="00244437" w:rsidRPr="003E335B" w:rsidRDefault="00754443"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164</w:t>
            </w:r>
          </w:p>
        </w:tc>
      </w:tr>
      <w:tr w:rsidR="00847BCE" w:rsidRPr="003E335B" w:rsidTr="00C769AC">
        <w:tc>
          <w:tcPr>
            <w:tcW w:w="6858" w:type="dxa"/>
            <w:shd w:val="clear" w:color="auto" w:fill="B8CCE4" w:themeFill="accent1" w:themeFillTint="66"/>
            <w:hideMark/>
          </w:tcPr>
          <w:p w:rsidR="00847BCE" w:rsidRPr="003E335B" w:rsidRDefault="00244437"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Power Discrete Products (“PDP”)</w:t>
            </w:r>
          </w:p>
        </w:tc>
        <w:tc>
          <w:tcPr>
            <w:tcW w:w="1620" w:type="dxa"/>
            <w:shd w:val="clear" w:color="auto" w:fill="B8CCE4" w:themeFill="accent1" w:themeFillTint="66"/>
            <w:vAlign w:val="center"/>
          </w:tcPr>
          <w:p w:rsidR="00847BCE" w:rsidRPr="003E335B" w:rsidRDefault="00754443"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90</w:t>
            </w:r>
          </w:p>
        </w:tc>
        <w:tc>
          <w:tcPr>
            <w:tcW w:w="1620" w:type="dxa"/>
            <w:shd w:val="clear" w:color="auto" w:fill="B8CCE4" w:themeFill="accent1" w:themeFillTint="66"/>
            <w:vAlign w:val="center"/>
            <w:hideMark/>
          </w:tcPr>
          <w:p w:rsidR="00847BCE" w:rsidRPr="003E335B" w:rsidRDefault="00754443"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62</w:t>
            </w:r>
          </w:p>
        </w:tc>
      </w:tr>
      <w:tr w:rsidR="00847BCE" w:rsidRPr="003E335B" w:rsidTr="00C769AC">
        <w:tc>
          <w:tcPr>
            <w:tcW w:w="6858" w:type="dxa"/>
            <w:shd w:val="clear" w:color="auto" w:fill="auto"/>
            <w:hideMark/>
          </w:tcPr>
          <w:p w:rsidR="00847BCE" w:rsidRPr="003E335B" w:rsidRDefault="00847BCE"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Wireless</w:t>
            </w:r>
          </w:p>
        </w:tc>
        <w:tc>
          <w:tcPr>
            <w:tcW w:w="1620" w:type="dxa"/>
            <w:shd w:val="clear" w:color="auto" w:fill="auto"/>
            <w:vAlign w:val="center"/>
          </w:tcPr>
          <w:p w:rsidR="00847BCE" w:rsidRPr="003E335B" w:rsidRDefault="00A34960"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(386)</w:t>
            </w:r>
          </w:p>
        </w:tc>
        <w:tc>
          <w:tcPr>
            <w:tcW w:w="1620" w:type="dxa"/>
            <w:shd w:val="clear" w:color="auto" w:fill="auto"/>
            <w:vAlign w:val="center"/>
            <w:hideMark/>
          </w:tcPr>
          <w:p w:rsidR="00847BCE" w:rsidRPr="003E335B" w:rsidRDefault="00A34960"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(253)</w:t>
            </w:r>
          </w:p>
        </w:tc>
      </w:tr>
      <w:tr w:rsidR="00847BCE" w:rsidRPr="003E335B" w:rsidTr="00C769AC">
        <w:tc>
          <w:tcPr>
            <w:tcW w:w="6858" w:type="dxa"/>
            <w:shd w:val="clear" w:color="auto" w:fill="B8CCE4" w:themeFill="accent1" w:themeFillTint="66"/>
            <w:hideMark/>
          </w:tcPr>
          <w:p w:rsidR="00847BCE" w:rsidRPr="003E335B" w:rsidRDefault="00691A31" w:rsidP="00F64C75">
            <w:pPr>
              <w:spacing w:after="100" w:line="240" w:lineRule="auto"/>
              <w:rPr>
                <w:rFonts w:asciiTheme="minorHAnsi" w:hAnsiTheme="minorHAnsi" w:cs="Arial"/>
                <w:b/>
                <w:sz w:val="20"/>
                <w:szCs w:val="20"/>
              </w:rPr>
            </w:pPr>
            <w:r w:rsidRPr="003E335B">
              <w:rPr>
                <w:rFonts w:asciiTheme="minorHAnsi" w:hAnsiTheme="minorHAnsi" w:cs="Arial"/>
                <w:b/>
                <w:sz w:val="20"/>
                <w:szCs w:val="20"/>
              </w:rPr>
              <w:t>Sub-t</w:t>
            </w:r>
            <w:r w:rsidR="00847BCE" w:rsidRPr="003E335B">
              <w:rPr>
                <w:rFonts w:asciiTheme="minorHAnsi" w:hAnsiTheme="minorHAnsi" w:cs="Arial"/>
                <w:b/>
                <w:sz w:val="20"/>
                <w:szCs w:val="20"/>
              </w:rPr>
              <w:t xml:space="preserve">otal operating income of product </w:t>
            </w:r>
            <w:r w:rsidR="00F64C75">
              <w:rPr>
                <w:rFonts w:asciiTheme="minorHAnsi" w:hAnsiTheme="minorHAnsi" w:cs="Arial"/>
                <w:b/>
                <w:sz w:val="20"/>
                <w:szCs w:val="20"/>
              </w:rPr>
              <w:t>segments</w:t>
            </w:r>
          </w:p>
        </w:tc>
        <w:tc>
          <w:tcPr>
            <w:tcW w:w="1620" w:type="dxa"/>
            <w:shd w:val="clear" w:color="auto" w:fill="B8CCE4" w:themeFill="accent1" w:themeFillTint="66"/>
            <w:vAlign w:val="center"/>
          </w:tcPr>
          <w:p w:rsidR="00847BCE" w:rsidRPr="003E335B" w:rsidRDefault="00A34960"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266</w:t>
            </w:r>
          </w:p>
        </w:tc>
        <w:tc>
          <w:tcPr>
            <w:tcW w:w="1620" w:type="dxa"/>
            <w:shd w:val="clear" w:color="auto" w:fill="B8CCE4" w:themeFill="accent1" w:themeFillTint="66"/>
            <w:vAlign w:val="center"/>
            <w:hideMark/>
          </w:tcPr>
          <w:p w:rsidR="00847BCE" w:rsidRPr="003E335B" w:rsidRDefault="00A34960"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122</w:t>
            </w:r>
          </w:p>
        </w:tc>
      </w:tr>
      <w:tr w:rsidR="00847BCE" w:rsidRPr="003E335B" w:rsidTr="00C769AC">
        <w:tc>
          <w:tcPr>
            <w:tcW w:w="6858" w:type="dxa"/>
            <w:shd w:val="clear" w:color="auto" w:fill="auto"/>
            <w:hideMark/>
          </w:tcPr>
          <w:p w:rsidR="00847BCE" w:rsidRPr="003E335B" w:rsidRDefault="00847BCE"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Strategic R&amp;D and other R&amp;D programs</w:t>
            </w:r>
          </w:p>
        </w:tc>
        <w:tc>
          <w:tcPr>
            <w:tcW w:w="1620" w:type="dxa"/>
            <w:shd w:val="clear" w:color="auto" w:fill="auto"/>
            <w:vAlign w:val="center"/>
          </w:tcPr>
          <w:p w:rsidR="00847BCE" w:rsidRPr="003E335B" w:rsidRDefault="00A34960"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(6)</w:t>
            </w:r>
          </w:p>
        </w:tc>
        <w:tc>
          <w:tcPr>
            <w:tcW w:w="1620" w:type="dxa"/>
            <w:shd w:val="clear" w:color="auto" w:fill="auto"/>
            <w:vAlign w:val="center"/>
            <w:hideMark/>
          </w:tcPr>
          <w:p w:rsidR="00847BCE" w:rsidRPr="003E335B" w:rsidRDefault="00A34960"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(7)</w:t>
            </w:r>
          </w:p>
        </w:tc>
      </w:tr>
      <w:tr w:rsidR="00847BCE" w:rsidRPr="003E335B" w:rsidTr="00C769AC">
        <w:tc>
          <w:tcPr>
            <w:tcW w:w="6858" w:type="dxa"/>
            <w:shd w:val="clear" w:color="auto" w:fill="B8CCE4" w:themeFill="accent1" w:themeFillTint="66"/>
            <w:hideMark/>
          </w:tcPr>
          <w:p w:rsidR="00847BCE" w:rsidRPr="003E335B" w:rsidRDefault="00847BCE"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Phase-out and start-up costs</w:t>
            </w:r>
          </w:p>
        </w:tc>
        <w:tc>
          <w:tcPr>
            <w:tcW w:w="1620" w:type="dxa"/>
            <w:shd w:val="clear" w:color="auto" w:fill="B8CCE4" w:themeFill="accent1" w:themeFillTint="66"/>
            <w:vAlign w:val="center"/>
          </w:tcPr>
          <w:p w:rsidR="00847BCE" w:rsidRPr="003E335B" w:rsidRDefault="00A34960"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(8)</w:t>
            </w:r>
          </w:p>
        </w:tc>
        <w:tc>
          <w:tcPr>
            <w:tcW w:w="1620" w:type="dxa"/>
            <w:shd w:val="clear" w:color="auto" w:fill="B8CCE4" w:themeFill="accent1" w:themeFillTint="66"/>
            <w:vAlign w:val="center"/>
            <w:hideMark/>
          </w:tcPr>
          <w:p w:rsidR="00847BCE" w:rsidRPr="003E335B" w:rsidRDefault="00A34960"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(5)</w:t>
            </w:r>
          </w:p>
        </w:tc>
      </w:tr>
      <w:tr w:rsidR="00847BCE" w:rsidRPr="003E335B" w:rsidTr="00C769AC">
        <w:tc>
          <w:tcPr>
            <w:tcW w:w="6858" w:type="dxa"/>
            <w:shd w:val="clear" w:color="auto" w:fill="auto"/>
            <w:hideMark/>
          </w:tcPr>
          <w:p w:rsidR="00847BCE" w:rsidRPr="003E335B" w:rsidRDefault="00847BCE"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Impairment and restructuring charges</w:t>
            </w:r>
          </w:p>
        </w:tc>
        <w:tc>
          <w:tcPr>
            <w:tcW w:w="1620" w:type="dxa"/>
            <w:shd w:val="clear" w:color="auto" w:fill="auto"/>
            <w:vAlign w:val="center"/>
          </w:tcPr>
          <w:p w:rsidR="00847BCE" w:rsidRPr="003E335B" w:rsidRDefault="00A34960"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(55)</w:t>
            </w:r>
          </w:p>
        </w:tc>
        <w:tc>
          <w:tcPr>
            <w:tcW w:w="1620" w:type="dxa"/>
            <w:shd w:val="clear" w:color="auto" w:fill="auto"/>
            <w:vAlign w:val="center"/>
            <w:hideMark/>
          </w:tcPr>
          <w:p w:rsidR="00847BCE" w:rsidRPr="003E335B" w:rsidRDefault="00A34960"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(45)</w:t>
            </w:r>
          </w:p>
        </w:tc>
      </w:tr>
      <w:tr w:rsidR="00847BCE" w:rsidRPr="003E335B" w:rsidTr="00C769AC">
        <w:tc>
          <w:tcPr>
            <w:tcW w:w="6858" w:type="dxa"/>
            <w:shd w:val="clear" w:color="auto" w:fill="B8CCE4" w:themeFill="accent1" w:themeFillTint="66"/>
            <w:hideMark/>
          </w:tcPr>
          <w:p w:rsidR="00847BCE" w:rsidRPr="003E335B" w:rsidRDefault="00847BCE"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Unused capacity charges</w:t>
            </w:r>
          </w:p>
        </w:tc>
        <w:tc>
          <w:tcPr>
            <w:tcW w:w="1620" w:type="dxa"/>
            <w:shd w:val="clear" w:color="auto" w:fill="B8CCE4" w:themeFill="accent1" w:themeFillTint="66"/>
            <w:vAlign w:val="center"/>
          </w:tcPr>
          <w:p w:rsidR="00847BCE" w:rsidRPr="003E335B" w:rsidRDefault="00A34960"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(8)</w:t>
            </w:r>
          </w:p>
        </w:tc>
        <w:tc>
          <w:tcPr>
            <w:tcW w:w="1620" w:type="dxa"/>
            <w:shd w:val="clear" w:color="auto" w:fill="B8CCE4" w:themeFill="accent1" w:themeFillTint="66"/>
            <w:vAlign w:val="center"/>
            <w:hideMark/>
          </w:tcPr>
          <w:p w:rsidR="00847BCE" w:rsidRPr="003E335B" w:rsidRDefault="00A34960"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w:t>
            </w:r>
          </w:p>
        </w:tc>
      </w:tr>
      <w:tr w:rsidR="00847BCE" w:rsidRPr="003E335B" w:rsidTr="00C769AC">
        <w:tc>
          <w:tcPr>
            <w:tcW w:w="6858" w:type="dxa"/>
            <w:shd w:val="clear" w:color="auto" w:fill="auto"/>
            <w:hideMark/>
          </w:tcPr>
          <w:p w:rsidR="00847BCE" w:rsidRPr="003E335B" w:rsidRDefault="00A34960"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Sales of materials</w:t>
            </w:r>
          </w:p>
        </w:tc>
        <w:tc>
          <w:tcPr>
            <w:tcW w:w="1620" w:type="dxa"/>
            <w:shd w:val="clear" w:color="auto" w:fill="auto"/>
            <w:vAlign w:val="center"/>
          </w:tcPr>
          <w:p w:rsidR="00847BCE" w:rsidRPr="003E335B" w:rsidRDefault="00A34960"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13</w:t>
            </w:r>
          </w:p>
        </w:tc>
        <w:tc>
          <w:tcPr>
            <w:tcW w:w="1620" w:type="dxa"/>
            <w:shd w:val="clear" w:color="auto" w:fill="auto"/>
            <w:vAlign w:val="center"/>
            <w:hideMark/>
          </w:tcPr>
          <w:p w:rsidR="00847BCE" w:rsidRPr="003E335B" w:rsidRDefault="00A34960"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11</w:t>
            </w:r>
          </w:p>
        </w:tc>
      </w:tr>
      <w:tr w:rsidR="00847BCE" w:rsidRPr="003E335B" w:rsidTr="00C769AC">
        <w:tc>
          <w:tcPr>
            <w:tcW w:w="6858" w:type="dxa"/>
            <w:shd w:val="clear" w:color="auto" w:fill="B8CCE4" w:themeFill="accent1" w:themeFillTint="66"/>
            <w:hideMark/>
          </w:tcPr>
          <w:p w:rsidR="00847BCE" w:rsidRPr="003E335B" w:rsidRDefault="00847BCE"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 xml:space="preserve">Other non-allocated </w:t>
            </w:r>
            <w:r w:rsidR="00A51B29" w:rsidRPr="003E335B">
              <w:rPr>
                <w:rFonts w:asciiTheme="minorHAnsi" w:hAnsiTheme="minorHAnsi" w:cs="Arial"/>
                <w:sz w:val="20"/>
                <w:szCs w:val="20"/>
              </w:rPr>
              <w:t>income and costs</w:t>
            </w:r>
            <w:r w:rsidR="00F524A0" w:rsidRPr="003E335B">
              <w:rPr>
                <w:rStyle w:val="FootnoteReference"/>
                <w:rFonts w:asciiTheme="minorHAnsi" w:hAnsiTheme="minorHAnsi"/>
                <w:sz w:val="20"/>
                <w:szCs w:val="20"/>
              </w:rPr>
              <w:footnoteReference w:id="5"/>
            </w:r>
          </w:p>
        </w:tc>
        <w:tc>
          <w:tcPr>
            <w:tcW w:w="1620" w:type="dxa"/>
            <w:shd w:val="clear" w:color="auto" w:fill="B8CCE4" w:themeFill="accent1" w:themeFillTint="66"/>
            <w:vAlign w:val="center"/>
          </w:tcPr>
          <w:p w:rsidR="00847BCE" w:rsidRPr="003E335B" w:rsidRDefault="00A34960"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w:t>
            </w:r>
          </w:p>
        </w:tc>
        <w:tc>
          <w:tcPr>
            <w:tcW w:w="1620" w:type="dxa"/>
            <w:shd w:val="clear" w:color="auto" w:fill="B8CCE4" w:themeFill="accent1" w:themeFillTint="66"/>
            <w:vAlign w:val="center"/>
            <w:hideMark/>
          </w:tcPr>
          <w:p w:rsidR="00847BCE" w:rsidRPr="003E335B" w:rsidRDefault="00A34960"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(4)</w:t>
            </w:r>
          </w:p>
        </w:tc>
      </w:tr>
      <w:tr w:rsidR="00847BCE" w:rsidRPr="003E335B" w:rsidTr="00C769AC">
        <w:tc>
          <w:tcPr>
            <w:tcW w:w="6858" w:type="dxa"/>
            <w:shd w:val="clear" w:color="auto" w:fill="auto"/>
            <w:hideMark/>
          </w:tcPr>
          <w:p w:rsidR="00847BCE" w:rsidRPr="003E335B" w:rsidRDefault="00691A31"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Sub-t</w:t>
            </w:r>
            <w:r w:rsidR="00A51B29" w:rsidRPr="003E335B">
              <w:rPr>
                <w:rFonts w:asciiTheme="minorHAnsi" w:hAnsiTheme="minorHAnsi" w:cs="Arial"/>
                <w:b/>
                <w:sz w:val="20"/>
                <w:szCs w:val="20"/>
              </w:rPr>
              <w:t>otal operating loss Others</w:t>
            </w:r>
          </w:p>
        </w:tc>
        <w:tc>
          <w:tcPr>
            <w:tcW w:w="1620" w:type="dxa"/>
            <w:shd w:val="clear" w:color="auto" w:fill="auto"/>
            <w:vAlign w:val="center"/>
          </w:tcPr>
          <w:p w:rsidR="00847BCE" w:rsidRPr="003E335B" w:rsidRDefault="00A34960"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(65)</w:t>
            </w:r>
          </w:p>
        </w:tc>
        <w:tc>
          <w:tcPr>
            <w:tcW w:w="1620" w:type="dxa"/>
            <w:shd w:val="clear" w:color="auto" w:fill="auto"/>
            <w:vAlign w:val="center"/>
            <w:hideMark/>
          </w:tcPr>
          <w:p w:rsidR="00847BCE" w:rsidRPr="003E335B" w:rsidRDefault="00A34960"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(51)</w:t>
            </w:r>
          </w:p>
        </w:tc>
      </w:tr>
      <w:tr w:rsidR="00847BCE" w:rsidRPr="003E335B" w:rsidTr="00C769AC">
        <w:tc>
          <w:tcPr>
            <w:tcW w:w="6858" w:type="dxa"/>
            <w:shd w:val="clear" w:color="auto" w:fill="B8CCE4" w:themeFill="accent1" w:themeFillTint="66"/>
            <w:hideMark/>
          </w:tcPr>
          <w:p w:rsidR="00847BCE" w:rsidRPr="003E335B" w:rsidRDefault="00847BCE"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Adjustment</w:t>
            </w:r>
            <w:r w:rsidR="00FA3584" w:rsidRPr="003E335B">
              <w:rPr>
                <w:rFonts w:asciiTheme="minorHAnsi" w:hAnsiTheme="minorHAnsi" w:cs="Arial"/>
                <w:sz w:val="20"/>
                <w:szCs w:val="20"/>
              </w:rPr>
              <w:t>s</w:t>
            </w:r>
            <w:r w:rsidRPr="003E335B">
              <w:rPr>
                <w:rFonts w:asciiTheme="minorHAnsi" w:hAnsiTheme="minorHAnsi" w:cs="Arial"/>
                <w:sz w:val="20"/>
                <w:szCs w:val="20"/>
              </w:rPr>
              <w:t xml:space="preserve"> on </w:t>
            </w:r>
            <w:r w:rsidR="00FA3584" w:rsidRPr="003E335B">
              <w:rPr>
                <w:rFonts w:asciiTheme="minorHAnsi" w:hAnsiTheme="minorHAnsi" w:cs="Arial"/>
                <w:sz w:val="20"/>
                <w:szCs w:val="20"/>
              </w:rPr>
              <w:t>past business combinations</w:t>
            </w:r>
          </w:p>
        </w:tc>
        <w:tc>
          <w:tcPr>
            <w:tcW w:w="1620" w:type="dxa"/>
            <w:shd w:val="clear" w:color="auto" w:fill="B8CCE4" w:themeFill="accent1" w:themeFillTint="66"/>
            <w:vAlign w:val="center"/>
          </w:tcPr>
          <w:p w:rsidR="00847BCE" w:rsidRPr="003E335B" w:rsidRDefault="00A34960"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r w:rsidR="00FA3584" w:rsidRPr="003E335B">
              <w:rPr>
                <w:rFonts w:asciiTheme="minorHAnsi" w:hAnsiTheme="minorHAnsi" w:cs="Arial"/>
                <w:sz w:val="20"/>
                <w:szCs w:val="20"/>
              </w:rPr>
              <w:t>24</w:t>
            </w:r>
            <w:r w:rsidRPr="003E335B">
              <w:rPr>
                <w:rFonts w:asciiTheme="minorHAnsi" w:hAnsiTheme="minorHAnsi" w:cs="Arial"/>
                <w:sz w:val="20"/>
                <w:szCs w:val="20"/>
              </w:rPr>
              <w:t>)</w:t>
            </w:r>
          </w:p>
        </w:tc>
        <w:tc>
          <w:tcPr>
            <w:tcW w:w="1620" w:type="dxa"/>
            <w:shd w:val="clear" w:color="auto" w:fill="B8CCE4" w:themeFill="accent1" w:themeFillTint="66"/>
            <w:vAlign w:val="center"/>
            <w:hideMark/>
          </w:tcPr>
          <w:p w:rsidR="00847BCE" w:rsidRPr="003E335B" w:rsidRDefault="00FA358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(23)</w:t>
            </w:r>
          </w:p>
        </w:tc>
      </w:tr>
      <w:tr w:rsidR="00847BCE" w:rsidRPr="003E335B" w:rsidTr="00C769AC">
        <w:tc>
          <w:tcPr>
            <w:tcW w:w="6858" w:type="dxa"/>
            <w:shd w:val="clear" w:color="auto" w:fill="auto"/>
            <w:hideMark/>
          </w:tcPr>
          <w:p w:rsidR="00847BCE" w:rsidRPr="003E335B" w:rsidRDefault="00847BCE"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Net impact of capitalized development costs</w:t>
            </w:r>
          </w:p>
        </w:tc>
        <w:tc>
          <w:tcPr>
            <w:tcW w:w="1620" w:type="dxa"/>
            <w:shd w:val="clear" w:color="auto" w:fill="auto"/>
            <w:vAlign w:val="center"/>
          </w:tcPr>
          <w:p w:rsidR="00847BCE" w:rsidRPr="003E335B" w:rsidRDefault="00A34960"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w:t>
            </w:r>
            <w:r w:rsidR="006265F9" w:rsidRPr="003E335B">
              <w:rPr>
                <w:rFonts w:asciiTheme="minorHAnsi" w:hAnsiTheme="minorHAnsi" w:cs="Arial"/>
                <w:sz w:val="20"/>
                <w:szCs w:val="20"/>
              </w:rPr>
              <w:t>07</w:t>
            </w:r>
          </w:p>
        </w:tc>
        <w:tc>
          <w:tcPr>
            <w:tcW w:w="1620" w:type="dxa"/>
            <w:shd w:val="clear" w:color="auto" w:fill="auto"/>
            <w:vAlign w:val="center"/>
            <w:hideMark/>
          </w:tcPr>
          <w:p w:rsidR="00847BCE" w:rsidRPr="003E335B" w:rsidRDefault="00FA358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133</w:t>
            </w:r>
          </w:p>
        </w:tc>
      </w:tr>
      <w:tr w:rsidR="00847BCE" w:rsidRPr="003E335B" w:rsidTr="00C769AC">
        <w:tc>
          <w:tcPr>
            <w:tcW w:w="6858" w:type="dxa"/>
            <w:shd w:val="clear" w:color="auto" w:fill="B8CCE4" w:themeFill="accent1" w:themeFillTint="66"/>
            <w:hideMark/>
          </w:tcPr>
          <w:p w:rsidR="00847BCE" w:rsidRPr="003E335B" w:rsidRDefault="00847BCE"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Derivative instruments not designated as hedge instruments under IFRS</w:t>
            </w:r>
          </w:p>
        </w:tc>
        <w:tc>
          <w:tcPr>
            <w:tcW w:w="1620" w:type="dxa"/>
            <w:shd w:val="clear" w:color="auto" w:fill="B8CCE4" w:themeFill="accent1" w:themeFillTint="66"/>
            <w:vAlign w:val="center"/>
          </w:tcPr>
          <w:p w:rsidR="00847BCE" w:rsidRPr="003E335B" w:rsidRDefault="00BF48C5" w:rsidP="000D70EC">
            <w:pPr>
              <w:spacing w:after="100" w:line="240" w:lineRule="auto"/>
              <w:jc w:val="right"/>
              <w:rPr>
                <w:rFonts w:asciiTheme="minorHAnsi" w:hAnsiTheme="minorHAnsi" w:cs="Arial"/>
                <w:sz w:val="20"/>
                <w:szCs w:val="20"/>
              </w:rPr>
            </w:pPr>
            <w:r>
              <w:rPr>
                <w:rFonts w:asciiTheme="minorHAnsi" w:hAnsiTheme="minorHAnsi" w:cs="Arial"/>
                <w:sz w:val="20"/>
                <w:szCs w:val="20"/>
              </w:rPr>
              <w:t>15</w:t>
            </w:r>
          </w:p>
        </w:tc>
        <w:tc>
          <w:tcPr>
            <w:tcW w:w="1620" w:type="dxa"/>
            <w:shd w:val="clear" w:color="auto" w:fill="B8CCE4" w:themeFill="accent1" w:themeFillTint="66"/>
            <w:vAlign w:val="center"/>
            <w:hideMark/>
          </w:tcPr>
          <w:p w:rsidR="00847BCE" w:rsidRPr="003E335B" w:rsidRDefault="00FA358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(72)</w:t>
            </w:r>
          </w:p>
        </w:tc>
      </w:tr>
      <w:tr w:rsidR="00847BCE" w:rsidRPr="003E335B" w:rsidTr="00C769AC">
        <w:tc>
          <w:tcPr>
            <w:tcW w:w="6858" w:type="dxa"/>
            <w:shd w:val="clear" w:color="auto" w:fill="auto"/>
            <w:hideMark/>
          </w:tcPr>
          <w:p w:rsidR="00847BCE" w:rsidRPr="003E335B" w:rsidRDefault="00847BCE" w:rsidP="000D70E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Other non-allocated expenses and IFRS/US GAAP adjustments</w:t>
            </w:r>
          </w:p>
        </w:tc>
        <w:tc>
          <w:tcPr>
            <w:tcW w:w="1620" w:type="dxa"/>
            <w:shd w:val="clear" w:color="auto" w:fill="auto"/>
            <w:vAlign w:val="center"/>
          </w:tcPr>
          <w:p w:rsidR="00847BCE" w:rsidRPr="003E335B" w:rsidRDefault="00A23733" w:rsidP="00270B39">
            <w:pPr>
              <w:spacing w:after="100" w:line="240" w:lineRule="auto"/>
              <w:jc w:val="right"/>
              <w:rPr>
                <w:rFonts w:asciiTheme="minorHAnsi" w:hAnsiTheme="minorHAnsi" w:cs="Arial"/>
                <w:sz w:val="20"/>
                <w:szCs w:val="20"/>
              </w:rPr>
            </w:pPr>
            <w:r>
              <w:rPr>
                <w:rFonts w:asciiTheme="minorHAnsi" w:hAnsiTheme="minorHAnsi" w:cs="Arial"/>
                <w:sz w:val="20"/>
                <w:szCs w:val="20"/>
              </w:rPr>
              <w:t>(</w:t>
            </w:r>
            <w:r w:rsidR="00270B39">
              <w:rPr>
                <w:rFonts w:asciiTheme="minorHAnsi" w:hAnsiTheme="minorHAnsi" w:cs="Arial"/>
                <w:sz w:val="20"/>
                <w:szCs w:val="20"/>
              </w:rPr>
              <w:t>5</w:t>
            </w:r>
            <w:r>
              <w:rPr>
                <w:rFonts w:asciiTheme="minorHAnsi" w:hAnsiTheme="minorHAnsi" w:cs="Arial"/>
                <w:sz w:val="20"/>
                <w:szCs w:val="20"/>
              </w:rPr>
              <w:t>)</w:t>
            </w:r>
          </w:p>
        </w:tc>
        <w:tc>
          <w:tcPr>
            <w:tcW w:w="1620" w:type="dxa"/>
            <w:shd w:val="clear" w:color="auto" w:fill="auto"/>
            <w:vAlign w:val="center"/>
            <w:hideMark/>
          </w:tcPr>
          <w:p w:rsidR="00847BCE" w:rsidRPr="003E335B" w:rsidRDefault="00FA3584"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w:t>
            </w:r>
          </w:p>
        </w:tc>
      </w:tr>
      <w:tr w:rsidR="00847BCE" w:rsidRPr="003E335B" w:rsidTr="00C769AC">
        <w:tc>
          <w:tcPr>
            <w:tcW w:w="6858" w:type="dxa"/>
            <w:shd w:val="clear" w:color="auto" w:fill="B8CCE4" w:themeFill="accent1" w:themeFillTint="66"/>
            <w:hideMark/>
          </w:tcPr>
          <w:p w:rsidR="00847BCE" w:rsidRPr="003E335B" w:rsidRDefault="00691A31"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Sub-t</w:t>
            </w:r>
            <w:r w:rsidR="00847BCE" w:rsidRPr="003E335B">
              <w:rPr>
                <w:rFonts w:asciiTheme="minorHAnsi" w:hAnsiTheme="minorHAnsi" w:cs="Arial"/>
                <w:b/>
                <w:sz w:val="20"/>
                <w:szCs w:val="20"/>
              </w:rPr>
              <w:t>otal IFRS/US GAAP impact on operating income</w:t>
            </w:r>
          </w:p>
        </w:tc>
        <w:tc>
          <w:tcPr>
            <w:tcW w:w="1620" w:type="dxa"/>
            <w:shd w:val="clear" w:color="auto" w:fill="B8CCE4" w:themeFill="accent1" w:themeFillTint="66"/>
            <w:vAlign w:val="center"/>
          </w:tcPr>
          <w:p w:rsidR="00847BCE" w:rsidRPr="003E335B" w:rsidRDefault="00270B39" w:rsidP="00270B39">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9</w:t>
            </w:r>
            <w:r>
              <w:rPr>
                <w:rFonts w:asciiTheme="minorHAnsi" w:hAnsiTheme="minorHAnsi" w:cs="Arial"/>
                <w:b/>
                <w:sz w:val="20"/>
                <w:szCs w:val="20"/>
              </w:rPr>
              <w:t>3</w:t>
            </w:r>
          </w:p>
        </w:tc>
        <w:tc>
          <w:tcPr>
            <w:tcW w:w="1620" w:type="dxa"/>
            <w:shd w:val="clear" w:color="auto" w:fill="B8CCE4" w:themeFill="accent1" w:themeFillTint="66"/>
            <w:vAlign w:val="center"/>
            <w:hideMark/>
          </w:tcPr>
          <w:p w:rsidR="00847BCE" w:rsidRPr="003E335B" w:rsidRDefault="00FA3584"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36</w:t>
            </w:r>
          </w:p>
        </w:tc>
      </w:tr>
      <w:tr w:rsidR="00847BCE" w:rsidRPr="003E335B" w:rsidTr="00C769AC">
        <w:tc>
          <w:tcPr>
            <w:tcW w:w="6858" w:type="dxa"/>
            <w:tcBorders>
              <w:bottom w:val="single" w:sz="18" w:space="0" w:color="auto"/>
            </w:tcBorders>
            <w:shd w:val="clear" w:color="auto" w:fill="auto"/>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Total operating income</w:t>
            </w:r>
          </w:p>
        </w:tc>
        <w:tc>
          <w:tcPr>
            <w:tcW w:w="1620" w:type="dxa"/>
            <w:tcBorders>
              <w:bottom w:val="single" w:sz="18" w:space="0" w:color="auto"/>
            </w:tcBorders>
            <w:shd w:val="clear" w:color="auto" w:fill="auto"/>
            <w:vAlign w:val="center"/>
          </w:tcPr>
          <w:p w:rsidR="00847BCE" w:rsidRPr="003E335B" w:rsidRDefault="00BF48C5"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294</w:t>
            </w:r>
          </w:p>
        </w:tc>
        <w:tc>
          <w:tcPr>
            <w:tcW w:w="1620" w:type="dxa"/>
            <w:tcBorders>
              <w:bottom w:val="single" w:sz="18" w:space="0" w:color="auto"/>
            </w:tcBorders>
            <w:shd w:val="clear" w:color="auto" w:fill="auto"/>
            <w:vAlign w:val="center"/>
            <w:hideMark/>
          </w:tcPr>
          <w:p w:rsidR="00847BCE" w:rsidRPr="003E335B" w:rsidRDefault="00FA3584"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107</w:t>
            </w:r>
          </w:p>
        </w:tc>
      </w:tr>
    </w:tbl>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 xml:space="preserve"> </w:t>
      </w:r>
    </w:p>
    <w:bookmarkEnd w:id="114"/>
    <w:bookmarkEnd w:id="115"/>
    <w:bookmarkEnd w:id="116"/>
    <w:p w:rsidR="00847BCE" w:rsidRPr="003E335B" w:rsidRDefault="00847BCE" w:rsidP="000D70EC">
      <w:pPr>
        <w:pStyle w:val="Title3"/>
        <w:spacing w:after="100" w:line="240" w:lineRule="auto"/>
        <w:rPr>
          <w:rFonts w:asciiTheme="minorHAnsi" w:hAnsiTheme="minorHAnsi"/>
          <w:sz w:val="20"/>
          <w:szCs w:val="20"/>
        </w:rPr>
      </w:pPr>
      <w:r w:rsidRPr="003E335B">
        <w:rPr>
          <w:rFonts w:asciiTheme="minorHAnsi" w:hAnsiTheme="minorHAnsi"/>
          <w:sz w:val="20"/>
          <w:szCs w:val="20"/>
        </w:rPr>
        <w:br w:type="page"/>
      </w:r>
      <w:bookmarkStart w:id="118" w:name="_Ref255303458"/>
      <w:bookmarkStart w:id="119" w:name="_Ref254710211"/>
      <w:bookmarkStart w:id="120" w:name="_Toc265058921"/>
      <w:bookmarkStart w:id="121" w:name="_Toc258421337"/>
      <w:bookmarkStart w:id="122" w:name="_Toc257898977"/>
      <w:bookmarkStart w:id="123" w:name="_Toc266868913"/>
      <w:bookmarkStart w:id="124" w:name="_Toc266869129"/>
      <w:bookmarkStart w:id="125" w:name="_Toc266885164"/>
      <w:bookmarkStart w:id="126" w:name="_Toc266886350"/>
      <w:bookmarkStart w:id="127" w:name="_Toc269825394"/>
      <w:bookmarkStart w:id="128" w:name="_Toc297204176"/>
      <w:bookmarkStart w:id="129" w:name="_Toc300834236"/>
      <w:r w:rsidRPr="003E335B">
        <w:rPr>
          <w:rFonts w:asciiTheme="minorHAnsi" w:hAnsiTheme="minorHAnsi"/>
          <w:sz w:val="20"/>
          <w:szCs w:val="20"/>
        </w:rPr>
        <w:lastRenderedPageBreak/>
        <w:t>Investments in associates</w:t>
      </w:r>
      <w:bookmarkEnd w:id="118"/>
      <w:bookmarkEnd w:id="119"/>
      <w:bookmarkEnd w:id="120"/>
      <w:bookmarkEnd w:id="121"/>
      <w:bookmarkEnd w:id="122"/>
      <w:bookmarkEnd w:id="123"/>
      <w:bookmarkEnd w:id="124"/>
      <w:bookmarkEnd w:id="125"/>
      <w:bookmarkEnd w:id="126"/>
      <w:bookmarkEnd w:id="127"/>
      <w:bookmarkEnd w:id="128"/>
      <w:r w:rsidR="00892B65" w:rsidRPr="003E335B">
        <w:rPr>
          <w:rFonts w:asciiTheme="minorHAnsi" w:hAnsiTheme="minorHAnsi"/>
          <w:sz w:val="20"/>
          <w:szCs w:val="20"/>
        </w:rPr>
        <w:t xml:space="preserve"> and jointly controlled entities</w:t>
      </w:r>
      <w:bookmarkEnd w:id="129"/>
    </w:p>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 xml:space="preserve">Investments in associates </w:t>
      </w:r>
      <w:r w:rsidR="00330101">
        <w:rPr>
          <w:rFonts w:asciiTheme="minorHAnsi" w:hAnsiTheme="minorHAnsi" w:cs="Arial"/>
          <w:sz w:val="20"/>
          <w:szCs w:val="20"/>
        </w:rPr>
        <w:t xml:space="preserve">and jointly controlled entities </w:t>
      </w:r>
      <w:r w:rsidRPr="003E335B">
        <w:rPr>
          <w:rFonts w:asciiTheme="minorHAnsi" w:hAnsiTheme="minorHAnsi" w:cs="Arial"/>
          <w:sz w:val="20"/>
          <w:szCs w:val="20"/>
        </w:rPr>
        <w:t xml:space="preserve">as at </w:t>
      </w:r>
      <w:r w:rsidR="00762F17" w:rsidRPr="003E335B">
        <w:rPr>
          <w:rFonts w:asciiTheme="minorHAnsi" w:hAnsiTheme="minorHAnsi" w:cs="Arial"/>
          <w:sz w:val="20"/>
          <w:szCs w:val="20"/>
        </w:rPr>
        <w:t>Ju</w:t>
      </w:r>
      <w:r w:rsidR="00634E6E" w:rsidRPr="003E335B">
        <w:rPr>
          <w:rFonts w:asciiTheme="minorHAnsi" w:hAnsiTheme="minorHAnsi" w:cs="Arial"/>
          <w:sz w:val="20"/>
          <w:szCs w:val="20"/>
        </w:rPr>
        <w:t>ly 2, 2011</w:t>
      </w:r>
      <w:r w:rsidR="00762F17" w:rsidRPr="003E335B">
        <w:rPr>
          <w:rFonts w:asciiTheme="minorHAnsi" w:hAnsiTheme="minorHAnsi" w:cs="Arial"/>
          <w:sz w:val="20"/>
          <w:szCs w:val="20"/>
        </w:rPr>
        <w:t xml:space="preserve"> and </w:t>
      </w:r>
      <w:r w:rsidRPr="003E335B">
        <w:rPr>
          <w:rFonts w:asciiTheme="minorHAnsi" w:hAnsiTheme="minorHAnsi" w:cs="Arial"/>
          <w:sz w:val="20"/>
          <w:szCs w:val="20"/>
        </w:rPr>
        <w:t>December 31, 20</w:t>
      </w:r>
      <w:r w:rsidR="00634E6E" w:rsidRPr="003E335B">
        <w:rPr>
          <w:rFonts w:asciiTheme="minorHAnsi" w:hAnsiTheme="minorHAnsi" w:cs="Arial"/>
          <w:sz w:val="20"/>
          <w:szCs w:val="20"/>
        </w:rPr>
        <w:t>10</w:t>
      </w:r>
      <w:r w:rsidR="00762F17" w:rsidRPr="003E335B">
        <w:rPr>
          <w:rFonts w:asciiTheme="minorHAnsi" w:hAnsiTheme="minorHAnsi" w:cs="Arial"/>
          <w:sz w:val="20"/>
          <w:szCs w:val="20"/>
        </w:rPr>
        <w:t xml:space="preserve"> </w:t>
      </w:r>
      <w:r w:rsidRPr="003E335B">
        <w:rPr>
          <w:rFonts w:asciiTheme="minorHAnsi" w:hAnsiTheme="minorHAnsi" w:cs="Arial"/>
          <w:sz w:val="20"/>
          <w:szCs w:val="20"/>
        </w:rPr>
        <w:t>were as follows:</w:t>
      </w:r>
    </w:p>
    <w:tbl>
      <w:tblPr>
        <w:tblW w:w="0" w:type="auto"/>
        <w:tblLook w:val="04A0"/>
      </w:tblPr>
      <w:tblGrid>
        <w:gridCol w:w="5328"/>
        <w:gridCol w:w="1189"/>
        <w:gridCol w:w="1190"/>
        <w:gridCol w:w="1189"/>
        <w:gridCol w:w="1190"/>
      </w:tblGrid>
      <w:tr w:rsidR="00847BCE" w:rsidRPr="003E335B" w:rsidTr="00235568">
        <w:tc>
          <w:tcPr>
            <w:tcW w:w="5328" w:type="dxa"/>
            <w:vMerge w:val="restart"/>
            <w:vAlign w:val="bottom"/>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2379" w:type="dxa"/>
            <w:gridSpan w:val="2"/>
            <w:tcBorders>
              <w:bottom w:val="single" w:sz="18" w:space="0" w:color="auto"/>
            </w:tcBorders>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(unaudited)</w:t>
            </w:r>
          </w:p>
        </w:tc>
        <w:tc>
          <w:tcPr>
            <w:tcW w:w="2379" w:type="dxa"/>
            <w:gridSpan w:val="2"/>
            <w:tcBorders>
              <w:bottom w:val="single" w:sz="18" w:space="0" w:color="auto"/>
            </w:tcBorders>
          </w:tcPr>
          <w:p w:rsidR="00847BCE" w:rsidRPr="003E335B" w:rsidRDefault="00DC4940"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(audited)</w:t>
            </w:r>
          </w:p>
        </w:tc>
      </w:tr>
      <w:tr w:rsidR="00244437" w:rsidRPr="003E335B" w:rsidTr="00244437">
        <w:tc>
          <w:tcPr>
            <w:tcW w:w="5328" w:type="dxa"/>
            <w:vMerge/>
            <w:vAlign w:val="center"/>
            <w:hideMark/>
          </w:tcPr>
          <w:p w:rsidR="00244437" w:rsidRPr="003E335B" w:rsidRDefault="00244437" w:rsidP="000D70EC">
            <w:pPr>
              <w:spacing w:after="100" w:line="240" w:lineRule="auto"/>
              <w:rPr>
                <w:rFonts w:asciiTheme="minorHAnsi" w:hAnsiTheme="minorHAnsi" w:cs="Arial"/>
                <w:sz w:val="20"/>
                <w:szCs w:val="20"/>
              </w:rPr>
            </w:pPr>
          </w:p>
        </w:tc>
        <w:tc>
          <w:tcPr>
            <w:tcW w:w="2379" w:type="dxa"/>
            <w:gridSpan w:val="2"/>
            <w:tcBorders>
              <w:top w:val="single" w:sz="18" w:space="0" w:color="auto"/>
              <w:bottom w:val="single" w:sz="18" w:space="0" w:color="auto"/>
            </w:tcBorders>
            <w:vAlign w:val="bottom"/>
            <w:hideMark/>
          </w:tcPr>
          <w:p w:rsidR="00244437" w:rsidRPr="003E335B" w:rsidRDefault="00244437"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July 2, 2011</w:t>
            </w:r>
          </w:p>
        </w:tc>
        <w:tc>
          <w:tcPr>
            <w:tcW w:w="2379" w:type="dxa"/>
            <w:gridSpan w:val="2"/>
            <w:tcBorders>
              <w:top w:val="single" w:sz="18" w:space="0" w:color="auto"/>
              <w:bottom w:val="single" w:sz="18" w:space="0" w:color="auto"/>
            </w:tcBorders>
            <w:vAlign w:val="bottom"/>
            <w:hideMark/>
          </w:tcPr>
          <w:p w:rsidR="00244437" w:rsidRPr="003E335B" w:rsidRDefault="00634E6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December 31, 2010</w:t>
            </w:r>
          </w:p>
        </w:tc>
      </w:tr>
      <w:tr w:rsidR="00A51B29" w:rsidRPr="003E335B" w:rsidTr="00235568">
        <w:tc>
          <w:tcPr>
            <w:tcW w:w="5328" w:type="dxa"/>
            <w:vMerge/>
            <w:tcBorders>
              <w:bottom w:val="single" w:sz="18" w:space="0" w:color="auto"/>
            </w:tcBorders>
            <w:vAlign w:val="center"/>
            <w:hideMark/>
          </w:tcPr>
          <w:p w:rsidR="00847BCE" w:rsidRPr="003E335B" w:rsidRDefault="00847BCE" w:rsidP="000D70EC">
            <w:pPr>
              <w:spacing w:after="100" w:line="240" w:lineRule="auto"/>
              <w:rPr>
                <w:rFonts w:asciiTheme="minorHAnsi" w:hAnsiTheme="minorHAnsi" w:cs="Arial"/>
                <w:sz w:val="20"/>
                <w:szCs w:val="20"/>
              </w:rPr>
            </w:pPr>
          </w:p>
        </w:tc>
        <w:tc>
          <w:tcPr>
            <w:tcW w:w="1189" w:type="dxa"/>
            <w:tcBorders>
              <w:top w:val="single" w:sz="18" w:space="0" w:color="auto"/>
              <w:bottom w:val="single" w:sz="18" w:space="0" w:color="auto"/>
            </w:tcBorders>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Carrying amount</w:t>
            </w:r>
          </w:p>
        </w:tc>
        <w:tc>
          <w:tcPr>
            <w:tcW w:w="1190" w:type="dxa"/>
            <w:tcBorders>
              <w:top w:val="single" w:sz="18" w:space="0" w:color="auto"/>
              <w:bottom w:val="single" w:sz="18" w:space="0" w:color="auto"/>
            </w:tcBorders>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 of interests</w:t>
            </w:r>
          </w:p>
        </w:tc>
        <w:tc>
          <w:tcPr>
            <w:tcW w:w="1189" w:type="dxa"/>
            <w:tcBorders>
              <w:top w:val="single" w:sz="18" w:space="0" w:color="auto"/>
              <w:bottom w:val="single" w:sz="18" w:space="0" w:color="auto"/>
            </w:tcBorders>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Carrying amount</w:t>
            </w:r>
          </w:p>
        </w:tc>
        <w:tc>
          <w:tcPr>
            <w:tcW w:w="1190" w:type="dxa"/>
            <w:tcBorders>
              <w:top w:val="single" w:sz="18" w:space="0" w:color="auto"/>
              <w:bottom w:val="single" w:sz="18" w:space="0" w:color="auto"/>
            </w:tcBorders>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 of interests</w:t>
            </w:r>
          </w:p>
        </w:tc>
      </w:tr>
      <w:tr w:rsidR="00244437" w:rsidRPr="003E335B" w:rsidTr="00235568">
        <w:tc>
          <w:tcPr>
            <w:tcW w:w="5328" w:type="dxa"/>
            <w:tcBorders>
              <w:top w:val="single" w:sz="18" w:space="0" w:color="auto"/>
            </w:tcBorders>
            <w:hideMark/>
          </w:tcPr>
          <w:p w:rsidR="00244437" w:rsidRPr="003E335B" w:rsidRDefault="00244437"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3Sun</w:t>
            </w:r>
          </w:p>
        </w:tc>
        <w:tc>
          <w:tcPr>
            <w:tcW w:w="1189" w:type="dxa"/>
            <w:tcBorders>
              <w:top w:val="single" w:sz="18" w:space="0" w:color="auto"/>
            </w:tcBorders>
          </w:tcPr>
          <w:p w:rsidR="00244437" w:rsidRPr="003E335B" w:rsidRDefault="00892B65"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89</w:t>
            </w:r>
          </w:p>
        </w:tc>
        <w:tc>
          <w:tcPr>
            <w:tcW w:w="1190" w:type="dxa"/>
            <w:tcBorders>
              <w:top w:val="single" w:sz="18" w:space="0" w:color="auto"/>
            </w:tcBorders>
          </w:tcPr>
          <w:p w:rsidR="00244437" w:rsidRPr="003E335B" w:rsidRDefault="00F64C75" w:rsidP="000D70EC">
            <w:pPr>
              <w:spacing w:after="100" w:line="240" w:lineRule="auto"/>
              <w:jc w:val="right"/>
              <w:rPr>
                <w:rFonts w:asciiTheme="minorHAnsi" w:hAnsiTheme="minorHAnsi" w:cs="Arial"/>
                <w:sz w:val="20"/>
                <w:szCs w:val="20"/>
              </w:rPr>
            </w:pPr>
            <w:r>
              <w:rPr>
                <w:rFonts w:asciiTheme="minorHAnsi" w:hAnsiTheme="minorHAnsi" w:cs="Arial"/>
                <w:sz w:val="20"/>
                <w:szCs w:val="20"/>
              </w:rPr>
              <w:t>33.3</w:t>
            </w:r>
            <w:r w:rsidR="00892B65" w:rsidRPr="003E335B">
              <w:rPr>
                <w:rFonts w:asciiTheme="minorHAnsi" w:hAnsiTheme="minorHAnsi" w:cs="Arial"/>
                <w:sz w:val="20"/>
                <w:szCs w:val="20"/>
              </w:rPr>
              <w:t>%</w:t>
            </w:r>
          </w:p>
        </w:tc>
        <w:tc>
          <w:tcPr>
            <w:tcW w:w="1189" w:type="dxa"/>
            <w:tcBorders>
              <w:top w:val="single" w:sz="18" w:space="0" w:color="auto"/>
            </w:tcBorders>
            <w:hideMark/>
          </w:tcPr>
          <w:p w:rsidR="00244437" w:rsidRPr="003E335B" w:rsidRDefault="00634E6E"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83</w:t>
            </w:r>
          </w:p>
        </w:tc>
        <w:tc>
          <w:tcPr>
            <w:tcW w:w="1190" w:type="dxa"/>
            <w:tcBorders>
              <w:top w:val="single" w:sz="18" w:space="0" w:color="auto"/>
            </w:tcBorders>
            <w:hideMark/>
          </w:tcPr>
          <w:p w:rsidR="00244437" w:rsidRPr="003E335B" w:rsidRDefault="00634E6E"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33.3%</w:t>
            </w:r>
          </w:p>
        </w:tc>
      </w:tr>
      <w:tr w:rsidR="00244437" w:rsidRPr="003E335B" w:rsidTr="00235568">
        <w:tc>
          <w:tcPr>
            <w:tcW w:w="5328" w:type="dxa"/>
            <w:shd w:val="clear" w:color="auto" w:fill="B8CCE4" w:themeFill="accent1" w:themeFillTint="66"/>
            <w:hideMark/>
          </w:tcPr>
          <w:p w:rsidR="00244437" w:rsidRPr="003E335B" w:rsidRDefault="00244437"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 xml:space="preserve">ST-Ericsson AT </w:t>
            </w:r>
            <w:r w:rsidR="00A10F1E" w:rsidRPr="003E335B">
              <w:rPr>
                <w:rFonts w:asciiTheme="minorHAnsi" w:hAnsiTheme="minorHAnsi" w:cs="Arial"/>
                <w:sz w:val="20"/>
                <w:szCs w:val="20"/>
              </w:rPr>
              <w:t>SA</w:t>
            </w:r>
            <w:r w:rsidRPr="003E335B">
              <w:rPr>
                <w:rFonts w:asciiTheme="minorHAnsi" w:hAnsiTheme="minorHAnsi" w:cs="Arial"/>
                <w:sz w:val="20"/>
                <w:szCs w:val="20"/>
              </w:rPr>
              <w:t xml:space="preserve"> (“JVD”)</w:t>
            </w:r>
          </w:p>
        </w:tc>
        <w:tc>
          <w:tcPr>
            <w:tcW w:w="1189" w:type="dxa"/>
            <w:shd w:val="clear" w:color="auto" w:fill="B8CCE4" w:themeFill="accent1" w:themeFillTint="66"/>
          </w:tcPr>
          <w:p w:rsidR="00244437" w:rsidRPr="003E335B" w:rsidRDefault="00892B65"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27</w:t>
            </w:r>
          </w:p>
        </w:tc>
        <w:tc>
          <w:tcPr>
            <w:tcW w:w="1190" w:type="dxa"/>
            <w:shd w:val="clear" w:color="auto" w:fill="B8CCE4" w:themeFill="accent1" w:themeFillTint="66"/>
          </w:tcPr>
          <w:p w:rsidR="00244437" w:rsidRPr="003E335B" w:rsidRDefault="00F64C75" w:rsidP="000D70EC">
            <w:pPr>
              <w:spacing w:after="100" w:line="240" w:lineRule="auto"/>
              <w:jc w:val="right"/>
              <w:rPr>
                <w:rFonts w:asciiTheme="minorHAnsi" w:hAnsiTheme="minorHAnsi" w:cs="Arial"/>
                <w:sz w:val="20"/>
                <w:szCs w:val="20"/>
              </w:rPr>
            </w:pPr>
            <w:r>
              <w:rPr>
                <w:rFonts w:asciiTheme="minorHAnsi" w:hAnsiTheme="minorHAnsi" w:cs="Arial"/>
                <w:sz w:val="20"/>
                <w:szCs w:val="20"/>
              </w:rPr>
              <w:t>49.9</w:t>
            </w:r>
            <w:r w:rsidR="00892B65" w:rsidRPr="003E335B">
              <w:rPr>
                <w:rFonts w:asciiTheme="minorHAnsi" w:hAnsiTheme="minorHAnsi" w:cs="Arial"/>
                <w:sz w:val="20"/>
                <w:szCs w:val="20"/>
              </w:rPr>
              <w:t>%</w:t>
            </w:r>
          </w:p>
        </w:tc>
        <w:tc>
          <w:tcPr>
            <w:tcW w:w="1189" w:type="dxa"/>
            <w:shd w:val="clear" w:color="auto" w:fill="B8CCE4" w:themeFill="accent1" w:themeFillTint="66"/>
            <w:hideMark/>
          </w:tcPr>
          <w:p w:rsidR="00244437" w:rsidRPr="003E335B" w:rsidRDefault="00634E6E"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39</w:t>
            </w:r>
          </w:p>
        </w:tc>
        <w:tc>
          <w:tcPr>
            <w:tcW w:w="1190" w:type="dxa"/>
            <w:shd w:val="clear" w:color="auto" w:fill="B8CCE4" w:themeFill="accent1" w:themeFillTint="66"/>
          </w:tcPr>
          <w:p w:rsidR="00244437" w:rsidRPr="003E335B" w:rsidRDefault="00244437"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49.9%</w:t>
            </w:r>
          </w:p>
        </w:tc>
      </w:tr>
      <w:tr w:rsidR="00244437" w:rsidRPr="003E335B" w:rsidTr="00235568">
        <w:tc>
          <w:tcPr>
            <w:tcW w:w="5328" w:type="dxa"/>
            <w:hideMark/>
          </w:tcPr>
          <w:p w:rsidR="00244437" w:rsidRPr="003E335B" w:rsidRDefault="00244437"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Others</w:t>
            </w:r>
          </w:p>
        </w:tc>
        <w:tc>
          <w:tcPr>
            <w:tcW w:w="1189" w:type="dxa"/>
            <w:tcBorders>
              <w:bottom w:val="single" w:sz="18" w:space="0" w:color="auto"/>
            </w:tcBorders>
          </w:tcPr>
          <w:p w:rsidR="00244437" w:rsidRPr="003E335B" w:rsidRDefault="00892B65"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1190" w:type="dxa"/>
            <w:tcBorders>
              <w:bottom w:val="single" w:sz="18" w:space="0" w:color="auto"/>
            </w:tcBorders>
          </w:tcPr>
          <w:p w:rsidR="00244437" w:rsidRPr="003E335B" w:rsidRDefault="00244437" w:rsidP="000D70EC">
            <w:pPr>
              <w:spacing w:after="100" w:line="240" w:lineRule="auto"/>
              <w:jc w:val="right"/>
              <w:rPr>
                <w:rFonts w:asciiTheme="minorHAnsi" w:hAnsiTheme="minorHAnsi" w:cs="Arial"/>
                <w:sz w:val="20"/>
                <w:szCs w:val="20"/>
              </w:rPr>
            </w:pPr>
          </w:p>
        </w:tc>
        <w:tc>
          <w:tcPr>
            <w:tcW w:w="1189" w:type="dxa"/>
            <w:tcBorders>
              <w:bottom w:val="single" w:sz="18" w:space="0" w:color="auto"/>
            </w:tcBorders>
            <w:hideMark/>
          </w:tcPr>
          <w:p w:rsidR="00244437" w:rsidRPr="003E335B" w:rsidRDefault="00244437"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w:t>
            </w:r>
            <w:r w:rsidR="00634E6E" w:rsidRPr="003E335B">
              <w:rPr>
                <w:rFonts w:asciiTheme="minorHAnsi" w:hAnsiTheme="minorHAnsi" w:cs="Arial"/>
                <w:sz w:val="20"/>
                <w:szCs w:val="20"/>
              </w:rPr>
              <w:t>1</w:t>
            </w:r>
          </w:p>
        </w:tc>
        <w:tc>
          <w:tcPr>
            <w:tcW w:w="1190" w:type="dxa"/>
            <w:tcBorders>
              <w:bottom w:val="single" w:sz="18" w:space="0" w:color="auto"/>
            </w:tcBorders>
          </w:tcPr>
          <w:p w:rsidR="00244437" w:rsidRPr="003E335B" w:rsidRDefault="00244437" w:rsidP="000D70EC">
            <w:pPr>
              <w:spacing w:after="100" w:line="240" w:lineRule="auto"/>
              <w:jc w:val="right"/>
              <w:rPr>
                <w:rFonts w:asciiTheme="minorHAnsi" w:hAnsiTheme="minorHAnsi" w:cs="Arial"/>
                <w:sz w:val="20"/>
                <w:szCs w:val="20"/>
              </w:rPr>
            </w:pPr>
          </w:p>
        </w:tc>
      </w:tr>
      <w:tr w:rsidR="00244437" w:rsidRPr="003E335B" w:rsidTr="00235568">
        <w:tc>
          <w:tcPr>
            <w:tcW w:w="5328" w:type="dxa"/>
            <w:tcBorders>
              <w:bottom w:val="single" w:sz="18" w:space="0" w:color="auto"/>
            </w:tcBorders>
            <w:shd w:val="clear" w:color="auto" w:fill="B8CCE4" w:themeFill="accent1" w:themeFillTint="66"/>
            <w:hideMark/>
          </w:tcPr>
          <w:p w:rsidR="00244437" w:rsidRPr="003E335B" w:rsidRDefault="00244437"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Total</w:t>
            </w:r>
          </w:p>
        </w:tc>
        <w:tc>
          <w:tcPr>
            <w:tcW w:w="1189" w:type="dxa"/>
            <w:tcBorders>
              <w:top w:val="single" w:sz="18" w:space="0" w:color="auto"/>
              <w:bottom w:val="single" w:sz="18" w:space="0" w:color="auto"/>
            </w:tcBorders>
            <w:shd w:val="clear" w:color="auto" w:fill="B8CCE4" w:themeFill="accent1" w:themeFillTint="66"/>
          </w:tcPr>
          <w:p w:rsidR="00244437" w:rsidRPr="003E335B" w:rsidRDefault="00892B65"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116</w:t>
            </w:r>
          </w:p>
        </w:tc>
        <w:tc>
          <w:tcPr>
            <w:tcW w:w="1190" w:type="dxa"/>
            <w:tcBorders>
              <w:top w:val="single" w:sz="18" w:space="0" w:color="auto"/>
              <w:bottom w:val="single" w:sz="18" w:space="0" w:color="auto"/>
            </w:tcBorders>
            <w:shd w:val="clear" w:color="auto" w:fill="B8CCE4" w:themeFill="accent1" w:themeFillTint="66"/>
          </w:tcPr>
          <w:p w:rsidR="00244437" w:rsidRPr="003E335B" w:rsidRDefault="00244437" w:rsidP="000D70EC">
            <w:pPr>
              <w:spacing w:after="100" w:line="240" w:lineRule="auto"/>
              <w:jc w:val="right"/>
              <w:rPr>
                <w:rFonts w:asciiTheme="minorHAnsi" w:hAnsiTheme="minorHAnsi" w:cs="Arial"/>
                <w:b/>
                <w:sz w:val="20"/>
                <w:szCs w:val="20"/>
              </w:rPr>
            </w:pPr>
          </w:p>
        </w:tc>
        <w:tc>
          <w:tcPr>
            <w:tcW w:w="1189" w:type="dxa"/>
            <w:tcBorders>
              <w:top w:val="single" w:sz="18" w:space="0" w:color="auto"/>
              <w:bottom w:val="single" w:sz="18" w:space="0" w:color="auto"/>
            </w:tcBorders>
            <w:shd w:val="clear" w:color="auto" w:fill="B8CCE4" w:themeFill="accent1" w:themeFillTint="66"/>
            <w:hideMark/>
          </w:tcPr>
          <w:p w:rsidR="00244437" w:rsidRPr="003E335B" w:rsidRDefault="00634E6E"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133</w:t>
            </w:r>
          </w:p>
        </w:tc>
        <w:tc>
          <w:tcPr>
            <w:tcW w:w="1190" w:type="dxa"/>
            <w:tcBorders>
              <w:top w:val="single" w:sz="18" w:space="0" w:color="auto"/>
              <w:bottom w:val="single" w:sz="18" w:space="0" w:color="auto"/>
            </w:tcBorders>
            <w:shd w:val="clear" w:color="auto" w:fill="B8CCE4" w:themeFill="accent1" w:themeFillTint="66"/>
          </w:tcPr>
          <w:p w:rsidR="00244437" w:rsidRPr="003E335B" w:rsidRDefault="00244437" w:rsidP="000D70EC">
            <w:pPr>
              <w:spacing w:after="100" w:line="240" w:lineRule="auto"/>
              <w:jc w:val="right"/>
              <w:rPr>
                <w:rFonts w:asciiTheme="minorHAnsi" w:hAnsiTheme="minorHAnsi" w:cs="Arial"/>
                <w:b/>
                <w:sz w:val="20"/>
                <w:szCs w:val="20"/>
              </w:rPr>
            </w:pPr>
          </w:p>
        </w:tc>
      </w:tr>
    </w:tbl>
    <w:p w:rsidR="00F524A0" w:rsidRPr="003E335B" w:rsidRDefault="00F524A0" w:rsidP="000D70EC">
      <w:pPr>
        <w:spacing w:after="100" w:line="240" w:lineRule="auto"/>
        <w:rPr>
          <w:rFonts w:asciiTheme="minorHAnsi" w:hAnsiTheme="minorHAnsi" w:cs="Arial"/>
          <w:b/>
          <w:i/>
          <w:sz w:val="20"/>
          <w:szCs w:val="20"/>
        </w:rPr>
      </w:pPr>
    </w:p>
    <w:p w:rsidR="008733F0" w:rsidRDefault="00244437">
      <w:pPr>
        <w:spacing w:after="100" w:line="240" w:lineRule="auto"/>
        <w:jc w:val="both"/>
        <w:rPr>
          <w:rFonts w:asciiTheme="minorHAnsi" w:hAnsiTheme="minorHAnsi" w:cs="Arial"/>
          <w:b/>
          <w:i/>
          <w:sz w:val="20"/>
          <w:szCs w:val="20"/>
        </w:rPr>
      </w:pPr>
      <w:bookmarkStart w:id="130" w:name="OLE_LINK2"/>
      <w:bookmarkStart w:id="131" w:name="OLE_LINK1"/>
      <w:r w:rsidRPr="003E335B">
        <w:rPr>
          <w:rFonts w:asciiTheme="minorHAnsi" w:hAnsiTheme="minorHAnsi" w:cs="Arial"/>
          <w:b/>
          <w:i/>
          <w:sz w:val="20"/>
          <w:szCs w:val="20"/>
        </w:rPr>
        <w:t>3Sun Srl (“3Sun”)</w:t>
      </w:r>
    </w:p>
    <w:p w:rsidR="00A10F1E" w:rsidRPr="003E335B" w:rsidRDefault="00A10F1E" w:rsidP="000A1B34">
      <w:pPr>
        <w:spacing w:line="240" w:lineRule="auto"/>
        <w:jc w:val="both"/>
        <w:rPr>
          <w:sz w:val="20"/>
          <w:szCs w:val="20"/>
        </w:rPr>
      </w:pPr>
      <w:bookmarkStart w:id="132" w:name="_DV_M108"/>
      <w:bookmarkStart w:id="133" w:name="_DV_M109"/>
      <w:bookmarkEnd w:id="130"/>
      <w:bookmarkEnd w:id="131"/>
      <w:bookmarkEnd w:id="132"/>
      <w:bookmarkEnd w:id="133"/>
      <w:r w:rsidRPr="003E335B">
        <w:rPr>
          <w:sz w:val="20"/>
          <w:szCs w:val="20"/>
        </w:rPr>
        <w:t>3Sun is a joint initiative between Enel Green Power, Sharp and the Group for the manufacture of triple-junction thin film photovoltaic panels in Catania, Italy. Each partner owns a third of the common shares of the entity. The Group exercises joint-control over 3Sun and consequently accounts for its investment in 3Sun under the equity method.</w:t>
      </w:r>
    </w:p>
    <w:p w:rsidR="00A10F1E" w:rsidRPr="003E335B" w:rsidRDefault="00A10F1E" w:rsidP="000A1B34">
      <w:pPr>
        <w:spacing w:line="240" w:lineRule="auto"/>
        <w:jc w:val="both"/>
        <w:rPr>
          <w:sz w:val="20"/>
          <w:szCs w:val="20"/>
        </w:rPr>
      </w:pPr>
      <w:r w:rsidRPr="003E335B">
        <w:rPr>
          <w:sz w:val="20"/>
          <w:szCs w:val="20"/>
        </w:rPr>
        <w:t>As part of the transaction with Micron, the Group exercised its right to indirectly purchase the Numonyx M6 facility in Catania, Italy. On July 1, 2010, Numonyx contributed the M6 going concern and facility to 3Sun and immediately transferred the newly issued shares of 3Sun to the Group against the redemption of the $78 million subordinated notes due by Numonyx to the Group. Since the investment in 3Sun is denominated in euro, the investment is revalued at each reporting date closing, the exchange difference being recorded as currency translation adjustment in other comprehensive income. The Group’s current maximum exposure to loss as a result of its involvement with 3Sun is limited to its equity investment that amounted to $</w:t>
      </w:r>
      <w:r w:rsidR="00337AB0" w:rsidRPr="003E335B">
        <w:rPr>
          <w:sz w:val="20"/>
          <w:szCs w:val="20"/>
        </w:rPr>
        <w:t>89</w:t>
      </w:r>
      <w:r w:rsidRPr="003E335B">
        <w:rPr>
          <w:sz w:val="20"/>
          <w:szCs w:val="20"/>
        </w:rPr>
        <w:t xml:space="preserve"> million as at July 2, 2011.</w:t>
      </w:r>
    </w:p>
    <w:p w:rsidR="008733F0" w:rsidRDefault="00A10F1E">
      <w:pPr>
        <w:spacing w:after="100" w:line="240" w:lineRule="auto"/>
        <w:jc w:val="both"/>
        <w:rPr>
          <w:rFonts w:asciiTheme="minorHAnsi" w:hAnsiTheme="minorHAnsi" w:cs="Arial"/>
          <w:b/>
          <w:i/>
          <w:sz w:val="20"/>
          <w:szCs w:val="20"/>
        </w:rPr>
      </w:pPr>
      <w:r w:rsidRPr="003E335B">
        <w:rPr>
          <w:rFonts w:asciiTheme="minorHAnsi" w:hAnsiTheme="minorHAnsi" w:cs="Arial"/>
          <w:b/>
          <w:i/>
          <w:sz w:val="20"/>
          <w:szCs w:val="20"/>
        </w:rPr>
        <w:t>ST-Ericsson AT SA</w:t>
      </w:r>
      <w:r w:rsidR="00244437" w:rsidRPr="003E335B">
        <w:rPr>
          <w:rFonts w:asciiTheme="minorHAnsi" w:hAnsiTheme="minorHAnsi" w:cs="Arial"/>
          <w:b/>
          <w:i/>
          <w:sz w:val="20"/>
          <w:szCs w:val="20"/>
        </w:rPr>
        <w:t xml:space="preserve"> (“JVD”)</w:t>
      </w:r>
    </w:p>
    <w:p w:rsidR="008733F0" w:rsidRDefault="00A10F1E">
      <w:pPr>
        <w:spacing w:after="100" w:line="240" w:lineRule="auto"/>
        <w:jc w:val="both"/>
        <w:rPr>
          <w:rFonts w:asciiTheme="minorHAnsi" w:hAnsiTheme="minorHAnsi" w:cs="Arial"/>
          <w:sz w:val="20"/>
          <w:szCs w:val="20"/>
        </w:rPr>
      </w:pPr>
      <w:r w:rsidRPr="003E335B">
        <w:rPr>
          <w:sz w:val="20"/>
          <w:szCs w:val="20"/>
        </w:rPr>
        <w:t>On February 3, 2009, the Group announced the closing of a transaction to combine the businesses of Ericsson Mobile Platforms (“EMP”) and ST-NXP Wireless into a new venture, named ST-Ericsson. As part of the transaction, the Group received an interest in ST-Ericsson AT Holding AG that was valued at $99 million. In 2010, ST-Ericsson AT Holding AG was merged into ST-Ericsson AT SA. JVD, in which the Group owns 50% less a controlling share held by Ericsson, is the parent company of a group of entities that perform fundamental R&amp;D activities for the ST-Ericsson venture. The Group has a significant influence and therefore accounts for JVD under the equity method.</w:t>
      </w:r>
      <w:r w:rsidR="00847BCE" w:rsidRPr="003E335B">
        <w:rPr>
          <w:rFonts w:asciiTheme="minorHAnsi" w:hAnsiTheme="minorHAnsi" w:cs="Arial"/>
          <w:sz w:val="20"/>
          <w:szCs w:val="20"/>
        </w:rPr>
        <w:t xml:space="preserve"> </w:t>
      </w:r>
    </w:p>
    <w:p w:rsidR="00B423FB" w:rsidRDefault="00B423FB">
      <w:pPr>
        <w:spacing w:after="100" w:line="240" w:lineRule="auto"/>
        <w:rPr>
          <w:rFonts w:asciiTheme="minorHAnsi" w:hAnsiTheme="minorHAnsi" w:cs="Arial"/>
          <w:sz w:val="20"/>
          <w:szCs w:val="20"/>
        </w:rPr>
      </w:pPr>
      <w:r>
        <w:rPr>
          <w:rFonts w:asciiTheme="minorHAnsi" w:hAnsiTheme="minorHAnsi" w:cs="Arial"/>
          <w:sz w:val="20"/>
          <w:szCs w:val="20"/>
        </w:rPr>
        <w:br w:type="page"/>
      </w:r>
    </w:p>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lastRenderedPageBreak/>
        <w:t xml:space="preserve">The following table illustrates summarized financial information of the Group’s investment in JVD: </w:t>
      </w:r>
    </w:p>
    <w:tbl>
      <w:tblPr>
        <w:tblW w:w="10098" w:type="dxa"/>
        <w:tblLook w:val="04A0"/>
      </w:tblPr>
      <w:tblGrid>
        <w:gridCol w:w="6408"/>
        <w:gridCol w:w="1845"/>
        <w:gridCol w:w="1845"/>
      </w:tblGrid>
      <w:tr w:rsidR="00CB69D4" w:rsidRPr="003E335B" w:rsidTr="00C769AC">
        <w:trPr>
          <w:trHeight w:hRule="exact" w:val="351"/>
        </w:trPr>
        <w:tc>
          <w:tcPr>
            <w:tcW w:w="6408" w:type="dxa"/>
            <w:tcBorders>
              <w:bottom w:val="single" w:sz="18" w:space="0" w:color="auto"/>
            </w:tcBorders>
            <w:vAlign w:val="bottom"/>
            <w:hideMark/>
          </w:tcPr>
          <w:p w:rsidR="00CB69D4" w:rsidRPr="003E335B" w:rsidRDefault="00235568" w:rsidP="000D70EC">
            <w:pPr>
              <w:spacing w:after="0" w:afterAutospacing="0" w:line="240" w:lineRule="auto"/>
              <w:rPr>
                <w:rFonts w:asciiTheme="minorHAnsi" w:hAnsiTheme="minorHAnsi" w:cs="Arial"/>
                <w:b/>
                <w:sz w:val="20"/>
                <w:szCs w:val="20"/>
              </w:rPr>
            </w:pPr>
            <w:r w:rsidRPr="003E335B">
              <w:rPr>
                <w:rFonts w:asciiTheme="minorHAnsi" w:hAnsiTheme="minorHAnsi" w:cs="Arial"/>
                <w:sz w:val="20"/>
                <w:szCs w:val="20"/>
              </w:rPr>
              <w:t>In millions of USD</w:t>
            </w:r>
          </w:p>
        </w:tc>
        <w:tc>
          <w:tcPr>
            <w:tcW w:w="1845" w:type="dxa"/>
            <w:tcBorders>
              <w:bottom w:val="single" w:sz="18" w:space="0" w:color="auto"/>
            </w:tcBorders>
            <w:vAlign w:val="bottom"/>
            <w:hideMark/>
          </w:tcPr>
          <w:p w:rsidR="00CB69D4" w:rsidRPr="003E335B" w:rsidRDefault="00A10F1E" w:rsidP="000D70EC">
            <w:pPr>
              <w:spacing w:after="0" w:afterAutospacing="0" w:line="240" w:lineRule="auto"/>
              <w:jc w:val="center"/>
              <w:rPr>
                <w:rFonts w:asciiTheme="minorHAnsi" w:hAnsiTheme="minorHAnsi" w:cs="Arial"/>
                <w:sz w:val="20"/>
                <w:szCs w:val="20"/>
              </w:rPr>
            </w:pPr>
            <w:r w:rsidRPr="003E335B">
              <w:rPr>
                <w:rFonts w:asciiTheme="minorHAnsi" w:hAnsiTheme="minorHAnsi" w:cs="Arial"/>
                <w:sz w:val="20"/>
                <w:szCs w:val="20"/>
              </w:rPr>
              <w:t>July 2, 201</w:t>
            </w:r>
            <w:r w:rsidR="006D777B">
              <w:rPr>
                <w:rFonts w:asciiTheme="minorHAnsi" w:hAnsiTheme="minorHAnsi" w:cs="Arial"/>
                <w:sz w:val="20"/>
                <w:szCs w:val="20"/>
              </w:rPr>
              <w:t>1</w:t>
            </w:r>
          </w:p>
        </w:tc>
        <w:tc>
          <w:tcPr>
            <w:tcW w:w="1845" w:type="dxa"/>
            <w:tcBorders>
              <w:bottom w:val="single" w:sz="18" w:space="0" w:color="auto"/>
            </w:tcBorders>
            <w:vAlign w:val="bottom"/>
          </w:tcPr>
          <w:p w:rsidR="00CB69D4" w:rsidRPr="003E335B" w:rsidRDefault="00CB69D4" w:rsidP="000D70EC">
            <w:pPr>
              <w:spacing w:after="0" w:afterAutospacing="0" w:line="240" w:lineRule="auto"/>
              <w:jc w:val="center"/>
              <w:rPr>
                <w:rFonts w:asciiTheme="minorHAnsi" w:hAnsiTheme="minorHAnsi" w:cs="Arial"/>
                <w:sz w:val="20"/>
                <w:szCs w:val="20"/>
              </w:rPr>
            </w:pPr>
            <w:r w:rsidRPr="003E335B">
              <w:rPr>
                <w:rFonts w:asciiTheme="minorHAnsi" w:hAnsiTheme="minorHAnsi" w:cs="Arial"/>
                <w:sz w:val="20"/>
                <w:szCs w:val="20"/>
              </w:rPr>
              <w:t>December 31, 20</w:t>
            </w:r>
            <w:r w:rsidR="00A10F1E" w:rsidRPr="003E335B">
              <w:rPr>
                <w:rFonts w:asciiTheme="minorHAnsi" w:hAnsiTheme="minorHAnsi" w:cs="Arial"/>
                <w:sz w:val="20"/>
                <w:szCs w:val="20"/>
              </w:rPr>
              <w:t>10</w:t>
            </w:r>
          </w:p>
        </w:tc>
      </w:tr>
      <w:tr w:rsidR="00C769AC" w:rsidRPr="003E335B" w:rsidTr="00C769AC">
        <w:trPr>
          <w:trHeight w:val="288"/>
        </w:trPr>
        <w:tc>
          <w:tcPr>
            <w:tcW w:w="6408" w:type="dxa"/>
            <w:tcBorders>
              <w:top w:val="single" w:sz="18" w:space="0" w:color="auto"/>
            </w:tcBorders>
            <w:hideMark/>
          </w:tcPr>
          <w:p w:rsidR="00C769AC" w:rsidRPr="003E335B" w:rsidRDefault="00C769AC"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Share of JVD’s unaudited IFRS statement of financial position:</w:t>
            </w:r>
          </w:p>
        </w:tc>
        <w:tc>
          <w:tcPr>
            <w:tcW w:w="1845" w:type="dxa"/>
            <w:tcBorders>
              <w:top w:val="single" w:sz="18" w:space="0" w:color="auto"/>
            </w:tcBorders>
          </w:tcPr>
          <w:p w:rsidR="00C769AC" w:rsidRPr="003E335B" w:rsidRDefault="00C769AC" w:rsidP="000D70EC">
            <w:pPr>
              <w:spacing w:after="0" w:afterAutospacing="0" w:line="240" w:lineRule="auto"/>
              <w:rPr>
                <w:rFonts w:asciiTheme="minorHAnsi" w:hAnsiTheme="minorHAnsi" w:cs="Arial"/>
                <w:b/>
                <w:sz w:val="20"/>
                <w:szCs w:val="20"/>
              </w:rPr>
            </w:pPr>
          </w:p>
        </w:tc>
        <w:tc>
          <w:tcPr>
            <w:tcW w:w="1845" w:type="dxa"/>
            <w:tcBorders>
              <w:top w:val="single" w:sz="18" w:space="0" w:color="auto"/>
            </w:tcBorders>
          </w:tcPr>
          <w:p w:rsidR="00C769AC" w:rsidRPr="003E335B" w:rsidRDefault="00C769AC" w:rsidP="000D70EC">
            <w:pPr>
              <w:spacing w:after="0" w:afterAutospacing="0" w:line="240" w:lineRule="auto"/>
              <w:rPr>
                <w:rFonts w:asciiTheme="minorHAnsi" w:hAnsiTheme="minorHAnsi" w:cs="Arial"/>
                <w:b/>
                <w:sz w:val="20"/>
                <w:szCs w:val="20"/>
              </w:rPr>
            </w:pPr>
          </w:p>
        </w:tc>
      </w:tr>
      <w:tr w:rsidR="00CB69D4" w:rsidRPr="003E335B" w:rsidTr="00C769AC">
        <w:trPr>
          <w:trHeight w:hRule="exact" w:val="288"/>
        </w:trPr>
        <w:tc>
          <w:tcPr>
            <w:tcW w:w="6408" w:type="dxa"/>
            <w:shd w:val="clear" w:color="auto" w:fill="B8CCE4" w:themeFill="accent1" w:themeFillTint="66"/>
            <w:hideMark/>
          </w:tcPr>
          <w:p w:rsidR="00CB69D4" w:rsidRPr="003E335B" w:rsidRDefault="00CB69D4"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Non-current assets</w:t>
            </w:r>
          </w:p>
        </w:tc>
        <w:tc>
          <w:tcPr>
            <w:tcW w:w="1845" w:type="dxa"/>
            <w:shd w:val="clear" w:color="auto" w:fill="B8CCE4" w:themeFill="accent1" w:themeFillTint="66"/>
          </w:tcPr>
          <w:p w:rsidR="00CB69D4" w:rsidRPr="003E335B" w:rsidRDefault="00337AB0"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26</w:t>
            </w:r>
          </w:p>
        </w:tc>
        <w:tc>
          <w:tcPr>
            <w:tcW w:w="1845" w:type="dxa"/>
            <w:shd w:val="clear" w:color="auto" w:fill="B8CCE4" w:themeFill="accent1" w:themeFillTint="66"/>
          </w:tcPr>
          <w:p w:rsidR="00CB69D4" w:rsidRPr="003E335B" w:rsidRDefault="00EE488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24</w:t>
            </w:r>
          </w:p>
        </w:tc>
      </w:tr>
      <w:tr w:rsidR="00CB69D4" w:rsidRPr="003E335B" w:rsidTr="00C769AC">
        <w:trPr>
          <w:trHeight w:hRule="exact" w:val="288"/>
        </w:trPr>
        <w:tc>
          <w:tcPr>
            <w:tcW w:w="6408" w:type="dxa"/>
            <w:hideMark/>
          </w:tcPr>
          <w:p w:rsidR="00CB69D4" w:rsidRPr="003E335B" w:rsidRDefault="00CB69D4"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Current assets</w:t>
            </w:r>
          </w:p>
        </w:tc>
        <w:tc>
          <w:tcPr>
            <w:tcW w:w="1845" w:type="dxa"/>
          </w:tcPr>
          <w:p w:rsidR="00CB69D4" w:rsidRPr="003E335B" w:rsidRDefault="00337AB0"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37</w:t>
            </w:r>
          </w:p>
        </w:tc>
        <w:tc>
          <w:tcPr>
            <w:tcW w:w="1845" w:type="dxa"/>
          </w:tcPr>
          <w:p w:rsidR="00CB69D4" w:rsidRPr="003E335B" w:rsidRDefault="00EE488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28</w:t>
            </w:r>
          </w:p>
        </w:tc>
      </w:tr>
      <w:tr w:rsidR="00CB69D4" w:rsidRPr="003E335B" w:rsidTr="00C769AC">
        <w:trPr>
          <w:trHeight w:hRule="exact" w:val="288"/>
        </w:trPr>
        <w:tc>
          <w:tcPr>
            <w:tcW w:w="6408" w:type="dxa"/>
            <w:shd w:val="clear" w:color="auto" w:fill="B8CCE4" w:themeFill="accent1" w:themeFillTint="66"/>
            <w:hideMark/>
          </w:tcPr>
          <w:p w:rsidR="00CB69D4" w:rsidRPr="003E335B" w:rsidRDefault="00CB69D4"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Equity</w:t>
            </w:r>
          </w:p>
        </w:tc>
        <w:tc>
          <w:tcPr>
            <w:tcW w:w="1845" w:type="dxa"/>
            <w:shd w:val="clear" w:color="auto" w:fill="B8CCE4" w:themeFill="accent1" w:themeFillTint="66"/>
          </w:tcPr>
          <w:p w:rsidR="00CB69D4" w:rsidRPr="003E335B" w:rsidRDefault="00337AB0"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12</w:t>
            </w:r>
          </w:p>
        </w:tc>
        <w:tc>
          <w:tcPr>
            <w:tcW w:w="1845" w:type="dxa"/>
            <w:shd w:val="clear" w:color="auto" w:fill="B8CCE4" w:themeFill="accent1" w:themeFillTint="66"/>
          </w:tcPr>
          <w:p w:rsidR="00CB69D4" w:rsidRPr="003E335B" w:rsidRDefault="00EE488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8</w:t>
            </w:r>
          </w:p>
        </w:tc>
      </w:tr>
      <w:tr w:rsidR="00CB69D4" w:rsidRPr="003E335B" w:rsidTr="00C769AC">
        <w:trPr>
          <w:trHeight w:hRule="exact" w:val="288"/>
        </w:trPr>
        <w:tc>
          <w:tcPr>
            <w:tcW w:w="6408" w:type="dxa"/>
            <w:hideMark/>
          </w:tcPr>
          <w:p w:rsidR="00CB69D4" w:rsidRPr="003E335B" w:rsidRDefault="00CB69D4"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Non-current liabilities</w:t>
            </w:r>
          </w:p>
        </w:tc>
        <w:tc>
          <w:tcPr>
            <w:tcW w:w="1845" w:type="dxa"/>
          </w:tcPr>
          <w:p w:rsidR="00CB69D4" w:rsidRPr="003E335B" w:rsidRDefault="00337AB0"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5</w:t>
            </w:r>
          </w:p>
        </w:tc>
        <w:tc>
          <w:tcPr>
            <w:tcW w:w="1845" w:type="dxa"/>
          </w:tcPr>
          <w:p w:rsidR="00CB69D4" w:rsidRPr="003E335B" w:rsidRDefault="00EE488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6</w:t>
            </w:r>
          </w:p>
        </w:tc>
      </w:tr>
      <w:tr w:rsidR="00CB69D4" w:rsidRPr="003E335B" w:rsidTr="00C769AC">
        <w:trPr>
          <w:trHeight w:hRule="exact" w:val="288"/>
        </w:trPr>
        <w:tc>
          <w:tcPr>
            <w:tcW w:w="6408" w:type="dxa"/>
            <w:shd w:val="clear" w:color="auto" w:fill="B8CCE4" w:themeFill="accent1" w:themeFillTint="66"/>
            <w:hideMark/>
          </w:tcPr>
          <w:p w:rsidR="00CB69D4" w:rsidRPr="003E335B" w:rsidRDefault="00CB69D4"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Current liabilities</w:t>
            </w:r>
          </w:p>
        </w:tc>
        <w:tc>
          <w:tcPr>
            <w:tcW w:w="1845" w:type="dxa"/>
            <w:shd w:val="clear" w:color="auto" w:fill="B8CCE4" w:themeFill="accent1" w:themeFillTint="66"/>
          </w:tcPr>
          <w:p w:rsidR="00CB69D4" w:rsidRPr="003E335B" w:rsidRDefault="00337AB0"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46</w:t>
            </w:r>
          </w:p>
        </w:tc>
        <w:tc>
          <w:tcPr>
            <w:tcW w:w="1845" w:type="dxa"/>
            <w:shd w:val="clear" w:color="auto" w:fill="B8CCE4" w:themeFill="accent1" w:themeFillTint="66"/>
          </w:tcPr>
          <w:p w:rsidR="00CB69D4" w:rsidRPr="003E335B" w:rsidRDefault="00EE488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38</w:t>
            </w:r>
          </w:p>
        </w:tc>
      </w:tr>
      <w:tr w:rsidR="00C769AC" w:rsidRPr="003E335B" w:rsidTr="00C769AC">
        <w:trPr>
          <w:trHeight w:val="288"/>
        </w:trPr>
        <w:tc>
          <w:tcPr>
            <w:tcW w:w="6408" w:type="dxa"/>
            <w:hideMark/>
          </w:tcPr>
          <w:p w:rsidR="00C769AC" w:rsidRPr="003E335B" w:rsidRDefault="00C769AC"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Share of JVD’s unaudited IFRS revenue and profit (loss):</w:t>
            </w:r>
          </w:p>
        </w:tc>
        <w:tc>
          <w:tcPr>
            <w:tcW w:w="1845" w:type="dxa"/>
          </w:tcPr>
          <w:p w:rsidR="00C769AC" w:rsidRPr="003E335B" w:rsidRDefault="00C769AC" w:rsidP="000D70EC">
            <w:pPr>
              <w:spacing w:after="0" w:afterAutospacing="0" w:line="240" w:lineRule="auto"/>
              <w:rPr>
                <w:rFonts w:asciiTheme="minorHAnsi" w:hAnsiTheme="minorHAnsi" w:cs="Arial"/>
                <w:b/>
                <w:sz w:val="20"/>
                <w:szCs w:val="20"/>
              </w:rPr>
            </w:pPr>
          </w:p>
        </w:tc>
        <w:tc>
          <w:tcPr>
            <w:tcW w:w="1845" w:type="dxa"/>
          </w:tcPr>
          <w:p w:rsidR="00C769AC" w:rsidRPr="003E335B" w:rsidRDefault="00C769AC" w:rsidP="000D70EC">
            <w:pPr>
              <w:spacing w:after="0" w:afterAutospacing="0" w:line="240" w:lineRule="auto"/>
              <w:rPr>
                <w:rFonts w:asciiTheme="minorHAnsi" w:hAnsiTheme="minorHAnsi" w:cs="Arial"/>
                <w:b/>
                <w:sz w:val="20"/>
                <w:szCs w:val="20"/>
              </w:rPr>
            </w:pPr>
          </w:p>
        </w:tc>
      </w:tr>
      <w:tr w:rsidR="00CB69D4" w:rsidRPr="003E335B" w:rsidTr="00C769AC">
        <w:trPr>
          <w:trHeight w:hRule="exact" w:val="288"/>
        </w:trPr>
        <w:tc>
          <w:tcPr>
            <w:tcW w:w="6408" w:type="dxa"/>
            <w:shd w:val="clear" w:color="auto" w:fill="B8CCE4" w:themeFill="accent1" w:themeFillTint="66"/>
            <w:hideMark/>
          </w:tcPr>
          <w:p w:rsidR="00CB69D4" w:rsidRPr="003E335B" w:rsidRDefault="00CB69D4"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Revenue</w:t>
            </w:r>
          </w:p>
        </w:tc>
        <w:tc>
          <w:tcPr>
            <w:tcW w:w="1845" w:type="dxa"/>
            <w:shd w:val="clear" w:color="auto" w:fill="B8CCE4" w:themeFill="accent1" w:themeFillTint="66"/>
          </w:tcPr>
          <w:p w:rsidR="00CB69D4" w:rsidRPr="003E335B" w:rsidRDefault="00337AB0"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57</w:t>
            </w:r>
          </w:p>
        </w:tc>
        <w:tc>
          <w:tcPr>
            <w:tcW w:w="1845" w:type="dxa"/>
            <w:shd w:val="clear" w:color="auto" w:fill="B8CCE4" w:themeFill="accent1" w:themeFillTint="66"/>
          </w:tcPr>
          <w:p w:rsidR="00CB69D4" w:rsidRPr="003E335B" w:rsidRDefault="00EE488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107</w:t>
            </w:r>
          </w:p>
        </w:tc>
      </w:tr>
      <w:tr w:rsidR="00CB69D4" w:rsidRPr="003E335B" w:rsidTr="00C769AC">
        <w:trPr>
          <w:trHeight w:hRule="exact" w:val="288"/>
        </w:trPr>
        <w:tc>
          <w:tcPr>
            <w:tcW w:w="6408" w:type="dxa"/>
            <w:hideMark/>
          </w:tcPr>
          <w:p w:rsidR="00CB69D4" w:rsidRPr="003E335B" w:rsidRDefault="00CB69D4"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Profits</w:t>
            </w:r>
          </w:p>
        </w:tc>
        <w:tc>
          <w:tcPr>
            <w:tcW w:w="1845" w:type="dxa"/>
          </w:tcPr>
          <w:p w:rsidR="00CB69D4" w:rsidRPr="003E335B" w:rsidRDefault="00337AB0"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3</w:t>
            </w:r>
          </w:p>
        </w:tc>
        <w:tc>
          <w:tcPr>
            <w:tcW w:w="1845" w:type="dxa"/>
          </w:tcPr>
          <w:p w:rsidR="00CB69D4" w:rsidRPr="003E335B" w:rsidRDefault="00EE488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(1)</w:t>
            </w:r>
          </w:p>
        </w:tc>
      </w:tr>
      <w:tr w:rsidR="00CB69D4" w:rsidRPr="003E335B" w:rsidTr="00C769AC">
        <w:trPr>
          <w:trHeight w:hRule="exact" w:val="288"/>
        </w:trPr>
        <w:tc>
          <w:tcPr>
            <w:tcW w:w="6408" w:type="dxa"/>
            <w:shd w:val="clear" w:color="auto" w:fill="B8CCE4" w:themeFill="accent1" w:themeFillTint="66"/>
            <w:hideMark/>
          </w:tcPr>
          <w:p w:rsidR="00CB69D4" w:rsidRPr="003E335B" w:rsidRDefault="00CB69D4" w:rsidP="000D70EC">
            <w:pPr>
              <w:spacing w:after="0" w:afterAutospacing="0" w:line="240" w:lineRule="auto"/>
              <w:rPr>
                <w:rFonts w:asciiTheme="minorHAnsi" w:hAnsiTheme="minorHAnsi" w:cs="Arial"/>
                <w:b/>
                <w:sz w:val="20"/>
                <w:szCs w:val="20"/>
              </w:rPr>
            </w:pPr>
            <w:r w:rsidRPr="003E335B">
              <w:rPr>
                <w:rFonts w:asciiTheme="minorHAnsi" w:hAnsiTheme="minorHAnsi" w:cs="Arial"/>
                <w:b/>
                <w:sz w:val="20"/>
                <w:szCs w:val="20"/>
              </w:rPr>
              <w:t>Carrying amount of the investment</w:t>
            </w:r>
          </w:p>
        </w:tc>
        <w:tc>
          <w:tcPr>
            <w:tcW w:w="1845" w:type="dxa"/>
            <w:shd w:val="clear" w:color="auto" w:fill="B8CCE4" w:themeFill="accent1" w:themeFillTint="66"/>
          </w:tcPr>
          <w:p w:rsidR="00CB69D4" w:rsidRPr="003E335B" w:rsidRDefault="00337AB0"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27</w:t>
            </w:r>
          </w:p>
        </w:tc>
        <w:tc>
          <w:tcPr>
            <w:tcW w:w="1845" w:type="dxa"/>
            <w:shd w:val="clear" w:color="auto" w:fill="B8CCE4" w:themeFill="accent1" w:themeFillTint="66"/>
          </w:tcPr>
          <w:p w:rsidR="00CB69D4" w:rsidRPr="003E335B" w:rsidRDefault="00EE488E" w:rsidP="000D70EC">
            <w:pPr>
              <w:spacing w:after="0" w:afterAutospacing="0" w:line="240" w:lineRule="auto"/>
              <w:jc w:val="right"/>
              <w:rPr>
                <w:rFonts w:asciiTheme="minorHAnsi" w:hAnsiTheme="minorHAnsi" w:cs="Arial"/>
                <w:b/>
                <w:sz w:val="20"/>
                <w:szCs w:val="20"/>
              </w:rPr>
            </w:pPr>
            <w:r w:rsidRPr="003E335B">
              <w:rPr>
                <w:rFonts w:asciiTheme="minorHAnsi" w:hAnsiTheme="minorHAnsi" w:cs="Arial"/>
                <w:b/>
                <w:sz w:val="20"/>
                <w:szCs w:val="20"/>
              </w:rPr>
              <w:t>39</w:t>
            </w:r>
          </w:p>
        </w:tc>
      </w:tr>
      <w:tr w:rsidR="00CB69D4" w:rsidRPr="003E335B" w:rsidTr="00C769AC">
        <w:trPr>
          <w:trHeight w:hRule="exact" w:val="288"/>
        </w:trPr>
        <w:tc>
          <w:tcPr>
            <w:tcW w:w="6408" w:type="dxa"/>
            <w:hideMark/>
          </w:tcPr>
          <w:p w:rsidR="00CB69D4" w:rsidRPr="003E335B" w:rsidRDefault="00CB69D4"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Initial value of investment</w:t>
            </w:r>
          </w:p>
        </w:tc>
        <w:tc>
          <w:tcPr>
            <w:tcW w:w="1845" w:type="dxa"/>
          </w:tcPr>
          <w:p w:rsidR="00CB69D4" w:rsidRPr="003E335B" w:rsidRDefault="00337AB0"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99</w:t>
            </w:r>
          </w:p>
        </w:tc>
        <w:tc>
          <w:tcPr>
            <w:tcW w:w="1845" w:type="dxa"/>
          </w:tcPr>
          <w:p w:rsidR="00CB69D4" w:rsidRPr="003E335B" w:rsidRDefault="00EE488E" w:rsidP="000D70EC">
            <w:pPr>
              <w:spacing w:after="0" w:afterAutospacing="0" w:line="240" w:lineRule="auto"/>
              <w:jc w:val="right"/>
              <w:rPr>
                <w:rFonts w:asciiTheme="minorHAnsi" w:hAnsiTheme="minorHAnsi" w:cs="Arial"/>
                <w:sz w:val="20"/>
                <w:szCs w:val="20"/>
              </w:rPr>
            </w:pPr>
            <w:r w:rsidRPr="003E335B">
              <w:rPr>
                <w:rFonts w:asciiTheme="minorHAnsi" w:hAnsiTheme="minorHAnsi" w:cs="Arial"/>
                <w:sz w:val="20"/>
                <w:szCs w:val="20"/>
              </w:rPr>
              <w:t>99</w:t>
            </w:r>
          </w:p>
        </w:tc>
      </w:tr>
      <w:tr w:rsidR="00CB69D4" w:rsidRPr="003E335B" w:rsidTr="00C769AC">
        <w:trPr>
          <w:trHeight w:hRule="exact" w:val="288"/>
        </w:trPr>
        <w:tc>
          <w:tcPr>
            <w:tcW w:w="6408" w:type="dxa"/>
            <w:shd w:val="clear" w:color="auto" w:fill="B8CCE4" w:themeFill="accent1" w:themeFillTint="66"/>
            <w:hideMark/>
          </w:tcPr>
          <w:p w:rsidR="00CB69D4" w:rsidRPr="003E335B" w:rsidRDefault="00CB69D4" w:rsidP="000D70EC">
            <w:pPr>
              <w:spacing w:after="0" w:afterAutospacing="0" w:line="240" w:lineRule="auto"/>
              <w:rPr>
                <w:rFonts w:asciiTheme="minorHAnsi" w:hAnsiTheme="minorHAnsi" w:cs="Arial"/>
                <w:sz w:val="20"/>
                <w:szCs w:val="20"/>
              </w:rPr>
            </w:pPr>
            <w:r w:rsidRPr="003E335B">
              <w:rPr>
                <w:rFonts w:asciiTheme="minorHAnsi" w:hAnsiTheme="minorHAnsi" w:cs="Arial"/>
                <w:sz w:val="20"/>
                <w:szCs w:val="20"/>
              </w:rPr>
              <w:t>Cumulated share of profit or loss</w:t>
            </w:r>
          </w:p>
        </w:tc>
        <w:tc>
          <w:tcPr>
            <w:tcW w:w="1845" w:type="dxa"/>
            <w:shd w:val="clear" w:color="auto" w:fill="B8CCE4" w:themeFill="accent1" w:themeFillTint="66"/>
          </w:tcPr>
          <w:p w:rsidR="00CB69D4" w:rsidRPr="003E335B" w:rsidRDefault="00337AB0"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(6)</w:t>
            </w:r>
          </w:p>
        </w:tc>
        <w:tc>
          <w:tcPr>
            <w:tcW w:w="1845" w:type="dxa"/>
            <w:shd w:val="clear" w:color="auto" w:fill="B8CCE4" w:themeFill="accent1" w:themeFillTint="66"/>
          </w:tcPr>
          <w:p w:rsidR="00CB69D4" w:rsidRPr="003E335B" w:rsidRDefault="00EE488E"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(9)</w:t>
            </w:r>
          </w:p>
        </w:tc>
      </w:tr>
      <w:tr w:rsidR="00CB69D4" w:rsidRPr="003E335B" w:rsidTr="00C769AC">
        <w:trPr>
          <w:trHeight w:hRule="exact" w:val="288"/>
        </w:trPr>
        <w:tc>
          <w:tcPr>
            <w:tcW w:w="6408" w:type="dxa"/>
            <w:tcBorders>
              <w:bottom w:val="single" w:sz="18" w:space="0" w:color="auto"/>
            </w:tcBorders>
            <w:hideMark/>
          </w:tcPr>
          <w:p w:rsidR="00CB69D4" w:rsidRPr="003E335B" w:rsidRDefault="00CB69D4"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Amortization of basis difference</w:t>
            </w:r>
          </w:p>
        </w:tc>
        <w:tc>
          <w:tcPr>
            <w:tcW w:w="1845" w:type="dxa"/>
            <w:tcBorders>
              <w:bottom w:val="single" w:sz="18" w:space="0" w:color="auto"/>
            </w:tcBorders>
          </w:tcPr>
          <w:p w:rsidR="00CB69D4" w:rsidRPr="003E335B" w:rsidRDefault="00337AB0"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(66)</w:t>
            </w:r>
          </w:p>
        </w:tc>
        <w:tc>
          <w:tcPr>
            <w:tcW w:w="1845" w:type="dxa"/>
            <w:tcBorders>
              <w:bottom w:val="single" w:sz="18" w:space="0" w:color="auto"/>
            </w:tcBorders>
          </w:tcPr>
          <w:p w:rsidR="00CB69D4" w:rsidRPr="003E335B" w:rsidRDefault="00EE488E"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(51)</w:t>
            </w:r>
          </w:p>
        </w:tc>
      </w:tr>
    </w:tbl>
    <w:p w:rsidR="00847BCE" w:rsidRPr="003E335B" w:rsidRDefault="00847BCE" w:rsidP="000D70EC">
      <w:pPr>
        <w:spacing w:after="100" w:line="240" w:lineRule="auto"/>
        <w:rPr>
          <w:rFonts w:asciiTheme="minorHAnsi" w:hAnsiTheme="minorHAnsi" w:cs="Arial"/>
          <w:sz w:val="20"/>
          <w:szCs w:val="20"/>
        </w:rPr>
      </w:pPr>
      <w:bookmarkStart w:id="134" w:name="_Ref254711208"/>
    </w:p>
    <w:p w:rsidR="002A2332" w:rsidRPr="003E335B" w:rsidRDefault="002A2332" w:rsidP="000D70EC">
      <w:pPr>
        <w:pStyle w:val="Title3"/>
        <w:spacing w:after="100" w:line="240" w:lineRule="auto"/>
        <w:rPr>
          <w:rFonts w:asciiTheme="minorHAnsi" w:hAnsiTheme="minorHAnsi"/>
          <w:sz w:val="20"/>
          <w:szCs w:val="20"/>
        </w:rPr>
      </w:pPr>
      <w:bookmarkStart w:id="135" w:name="_Toc300834237"/>
      <w:bookmarkStart w:id="136" w:name="_Toc258421338"/>
      <w:bookmarkStart w:id="137" w:name="_Toc257898978"/>
      <w:bookmarkStart w:id="138" w:name="_Toc265058922"/>
      <w:bookmarkStart w:id="139" w:name="_Toc266868914"/>
      <w:bookmarkStart w:id="140" w:name="_Toc266869130"/>
      <w:bookmarkStart w:id="141" w:name="_Toc266885165"/>
      <w:bookmarkStart w:id="142" w:name="_Toc266886351"/>
      <w:bookmarkStart w:id="143" w:name="_Toc269825395"/>
      <w:bookmarkStart w:id="144" w:name="_Toc297204177"/>
      <w:r w:rsidRPr="003E335B">
        <w:rPr>
          <w:rFonts w:asciiTheme="minorHAnsi" w:hAnsiTheme="minorHAnsi"/>
          <w:sz w:val="20"/>
          <w:szCs w:val="20"/>
        </w:rPr>
        <w:t>Business combinations</w:t>
      </w:r>
      <w:bookmarkEnd w:id="135"/>
    </w:p>
    <w:p w:rsidR="00337AB0" w:rsidRPr="003E335B" w:rsidRDefault="00337AB0" w:rsidP="000A1B34">
      <w:pPr>
        <w:spacing w:line="240" w:lineRule="auto"/>
        <w:jc w:val="both"/>
        <w:rPr>
          <w:sz w:val="20"/>
          <w:szCs w:val="20"/>
        </w:rPr>
      </w:pPr>
      <w:r w:rsidRPr="003E335B">
        <w:rPr>
          <w:sz w:val="20"/>
          <w:szCs w:val="20"/>
        </w:rPr>
        <w:t>Until April 15, 2011, the Group accounted for its 41.2% equity investment in Veredus Laboratories Pte (“Veredus”) under the equity method. Veredus is a life science company based in Singapore that develops, commercializes and manufactures diagnostic tools that are marketed worldwide. Veredus offers highly sensitive and user-friendly molecular diagnostic tools that include gel based detection kits and the latest cutting edge Lab-on-Chip technology. These diagnostic tools can be used in field conditions as well as in medical labs and hospitals.</w:t>
      </w:r>
    </w:p>
    <w:p w:rsidR="00337AB0" w:rsidRPr="003E335B" w:rsidRDefault="00337AB0" w:rsidP="000A1B34">
      <w:pPr>
        <w:spacing w:line="240" w:lineRule="auto"/>
        <w:jc w:val="both"/>
        <w:rPr>
          <w:sz w:val="20"/>
          <w:szCs w:val="20"/>
        </w:rPr>
      </w:pPr>
      <w:r w:rsidRPr="003E335B">
        <w:rPr>
          <w:sz w:val="20"/>
          <w:szCs w:val="20"/>
        </w:rPr>
        <w:t xml:space="preserve">On April 15, 2011, the Group exercised a call option and purchased shares from Veredus’ founders to increase its ownership in Veredus to 63.7%. This provides the </w:t>
      </w:r>
      <w:r w:rsidR="00772A20" w:rsidRPr="003E335B">
        <w:rPr>
          <w:sz w:val="20"/>
          <w:szCs w:val="20"/>
        </w:rPr>
        <w:t>Group</w:t>
      </w:r>
      <w:r w:rsidRPr="003E335B">
        <w:rPr>
          <w:sz w:val="20"/>
          <w:szCs w:val="20"/>
        </w:rPr>
        <w:t xml:space="preserve"> control over Veredus which has been a subsidiary of the </w:t>
      </w:r>
      <w:r w:rsidR="00772A20" w:rsidRPr="003E335B">
        <w:rPr>
          <w:sz w:val="20"/>
          <w:szCs w:val="20"/>
        </w:rPr>
        <w:t>Group</w:t>
      </w:r>
      <w:r w:rsidRPr="003E335B">
        <w:rPr>
          <w:sz w:val="20"/>
          <w:szCs w:val="20"/>
        </w:rPr>
        <w:t xml:space="preserve"> from this date.</w:t>
      </w:r>
    </w:p>
    <w:p w:rsidR="00337AB0" w:rsidRPr="003E335B" w:rsidRDefault="00337AB0" w:rsidP="000A1B34">
      <w:pPr>
        <w:spacing w:line="240" w:lineRule="auto"/>
        <w:jc w:val="both"/>
        <w:rPr>
          <w:sz w:val="20"/>
          <w:szCs w:val="20"/>
        </w:rPr>
      </w:pPr>
      <w:r w:rsidRPr="003E335B">
        <w:rPr>
          <w:sz w:val="20"/>
          <w:szCs w:val="20"/>
        </w:rPr>
        <w:t xml:space="preserve">The acquired business made an immaterial contribution to the </w:t>
      </w:r>
      <w:r w:rsidR="00772A20" w:rsidRPr="003E335B">
        <w:rPr>
          <w:sz w:val="20"/>
          <w:szCs w:val="20"/>
        </w:rPr>
        <w:t>Group</w:t>
      </w:r>
      <w:r w:rsidRPr="003E335B">
        <w:rPr>
          <w:sz w:val="20"/>
          <w:szCs w:val="20"/>
        </w:rPr>
        <w:t>’s consolidated revenue and net result for the period from April 15, 2011 to July 2, 2011.</w:t>
      </w:r>
    </w:p>
    <w:p w:rsidR="00B423FB" w:rsidRDefault="00B423FB">
      <w:pPr>
        <w:spacing w:after="100" w:line="240" w:lineRule="auto"/>
        <w:rPr>
          <w:sz w:val="20"/>
          <w:szCs w:val="20"/>
        </w:rPr>
      </w:pPr>
      <w:r>
        <w:rPr>
          <w:sz w:val="20"/>
          <w:szCs w:val="20"/>
        </w:rPr>
        <w:br w:type="page"/>
      </w:r>
    </w:p>
    <w:p w:rsidR="008733F0" w:rsidRDefault="00337AB0">
      <w:pPr>
        <w:spacing w:line="240" w:lineRule="auto"/>
        <w:jc w:val="both"/>
        <w:rPr>
          <w:sz w:val="20"/>
          <w:szCs w:val="20"/>
        </w:rPr>
      </w:pPr>
      <w:r w:rsidRPr="003E335B">
        <w:rPr>
          <w:sz w:val="20"/>
          <w:szCs w:val="20"/>
        </w:rPr>
        <w:lastRenderedPageBreak/>
        <w:t>The following table summarizes the consideration transferred to acquire Veredus and the amounts of the identified assets acquired and liabilities assumed at the acquisition date, as well as the fair value of the non-controlling interest in Veredus at the acquisition date.</w:t>
      </w:r>
    </w:p>
    <w:tbl>
      <w:tblPr>
        <w:tblW w:w="10098" w:type="dxa"/>
        <w:tblLook w:val="04A0"/>
      </w:tblPr>
      <w:tblGrid>
        <w:gridCol w:w="8478"/>
        <w:gridCol w:w="1620"/>
      </w:tblGrid>
      <w:tr w:rsidR="00337AB0" w:rsidRPr="003E335B" w:rsidTr="00C52B12">
        <w:tc>
          <w:tcPr>
            <w:tcW w:w="8478" w:type="dxa"/>
            <w:tcBorders>
              <w:bottom w:val="single" w:sz="18" w:space="0" w:color="auto"/>
            </w:tcBorders>
            <w:shd w:val="clear" w:color="auto" w:fill="auto"/>
          </w:tcPr>
          <w:p w:rsidR="00337AB0" w:rsidRPr="003E335B" w:rsidRDefault="00337AB0" w:rsidP="000D70EC">
            <w:pPr>
              <w:spacing w:line="240" w:lineRule="auto"/>
              <w:rPr>
                <w:rFonts w:asciiTheme="minorHAnsi" w:hAnsiTheme="minorHAnsi"/>
                <w:color w:val="000000"/>
                <w:sz w:val="20"/>
                <w:szCs w:val="20"/>
              </w:rPr>
            </w:pPr>
            <w:r w:rsidRPr="003E335B">
              <w:rPr>
                <w:rFonts w:asciiTheme="minorHAnsi" w:hAnsiTheme="minorHAnsi"/>
                <w:color w:val="000000"/>
                <w:sz w:val="20"/>
                <w:szCs w:val="20"/>
              </w:rPr>
              <w:t>In millions of U.S. dollars</w:t>
            </w:r>
          </w:p>
        </w:tc>
        <w:tc>
          <w:tcPr>
            <w:tcW w:w="1620" w:type="dxa"/>
            <w:tcBorders>
              <w:bottom w:val="single" w:sz="18" w:space="0" w:color="auto"/>
            </w:tcBorders>
            <w:shd w:val="clear" w:color="auto" w:fill="auto"/>
          </w:tcPr>
          <w:p w:rsidR="00337AB0" w:rsidRPr="003E335B" w:rsidRDefault="00337AB0" w:rsidP="000D70EC">
            <w:pPr>
              <w:spacing w:line="240" w:lineRule="auto"/>
              <w:jc w:val="right"/>
              <w:rPr>
                <w:rFonts w:asciiTheme="minorHAnsi" w:hAnsiTheme="minorHAnsi"/>
                <w:color w:val="000000"/>
                <w:sz w:val="20"/>
                <w:szCs w:val="20"/>
              </w:rPr>
            </w:pPr>
          </w:p>
        </w:tc>
      </w:tr>
      <w:tr w:rsidR="00337AB0" w:rsidRPr="003E335B" w:rsidTr="00C52B12">
        <w:tc>
          <w:tcPr>
            <w:tcW w:w="8478" w:type="dxa"/>
            <w:tcBorders>
              <w:top w:val="single" w:sz="18" w:space="0" w:color="auto"/>
            </w:tcBorders>
            <w:shd w:val="clear" w:color="auto" w:fill="B8CCE4" w:themeFill="accent1" w:themeFillTint="66"/>
          </w:tcPr>
          <w:p w:rsidR="00337AB0" w:rsidRPr="003E335B" w:rsidRDefault="00337AB0" w:rsidP="000D70EC">
            <w:pPr>
              <w:spacing w:line="240" w:lineRule="auto"/>
              <w:rPr>
                <w:rFonts w:asciiTheme="minorHAnsi" w:hAnsiTheme="minorHAnsi"/>
                <w:b/>
                <w:color w:val="000000"/>
                <w:sz w:val="20"/>
                <w:szCs w:val="20"/>
              </w:rPr>
            </w:pPr>
            <w:r w:rsidRPr="003E335B">
              <w:rPr>
                <w:rFonts w:asciiTheme="minorHAnsi" w:hAnsiTheme="minorHAnsi"/>
                <w:b/>
                <w:color w:val="000000"/>
                <w:sz w:val="20"/>
                <w:szCs w:val="20"/>
              </w:rPr>
              <w:t>Fair value of consideration transferred:</w:t>
            </w:r>
          </w:p>
        </w:tc>
        <w:tc>
          <w:tcPr>
            <w:tcW w:w="1620" w:type="dxa"/>
            <w:tcBorders>
              <w:top w:val="single" w:sz="18" w:space="0" w:color="auto"/>
            </w:tcBorders>
            <w:shd w:val="clear" w:color="auto" w:fill="B8CCE4" w:themeFill="accent1" w:themeFillTint="66"/>
            <w:vAlign w:val="center"/>
          </w:tcPr>
          <w:p w:rsidR="00337AB0" w:rsidRPr="003E335B" w:rsidRDefault="00337AB0" w:rsidP="000D70EC">
            <w:pPr>
              <w:spacing w:line="240" w:lineRule="auto"/>
              <w:jc w:val="right"/>
              <w:rPr>
                <w:rFonts w:asciiTheme="minorHAnsi" w:hAnsiTheme="minorHAnsi"/>
                <w:color w:val="000000"/>
                <w:sz w:val="20"/>
                <w:szCs w:val="20"/>
              </w:rPr>
            </w:pPr>
          </w:p>
        </w:tc>
      </w:tr>
      <w:tr w:rsidR="00337AB0" w:rsidRPr="003E335B" w:rsidTr="00C52B12">
        <w:tc>
          <w:tcPr>
            <w:tcW w:w="8478" w:type="dxa"/>
            <w:shd w:val="clear" w:color="auto" w:fill="auto"/>
          </w:tcPr>
          <w:p w:rsidR="00337AB0" w:rsidRPr="003E335B" w:rsidRDefault="00337AB0" w:rsidP="000D70EC">
            <w:pPr>
              <w:spacing w:line="240" w:lineRule="auto"/>
              <w:rPr>
                <w:rFonts w:asciiTheme="minorHAnsi" w:hAnsiTheme="minorHAnsi"/>
                <w:color w:val="000000"/>
                <w:sz w:val="20"/>
                <w:szCs w:val="20"/>
              </w:rPr>
            </w:pPr>
            <w:r w:rsidRPr="003E335B">
              <w:rPr>
                <w:rFonts w:asciiTheme="minorHAnsi" w:hAnsiTheme="minorHAnsi"/>
                <w:color w:val="000000"/>
                <w:sz w:val="20"/>
                <w:szCs w:val="20"/>
              </w:rPr>
              <w:t>Cash consideration paid to Veredus’</w:t>
            </w:r>
            <w:r w:rsidR="00772A20" w:rsidRPr="003E335B">
              <w:rPr>
                <w:rFonts w:asciiTheme="minorHAnsi" w:hAnsiTheme="minorHAnsi"/>
                <w:color w:val="000000"/>
                <w:sz w:val="20"/>
                <w:szCs w:val="20"/>
              </w:rPr>
              <w:t xml:space="preserve"> </w:t>
            </w:r>
            <w:r w:rsidRPr="003E335B">
              <w:rPr>
                <w:rFonts w:asciiTheme="minorHAnsi" w:hAnsiTheme="minorHAnsi"/>
                <w:color w:val="000000"/>
                <w:sz w:val="20"/>
                <w:szCs w:val="20"/>
              </w:rPr>
              <w:t>founders</w:t>
            </w:r>
          </w:p>
        </w:tc>
        <w:tc>
          <w:tcPr>
            <w:tcW w:w="1620" w:type="dxa"/>
            <w:shd w:val="clear" w:color="auto" w:fill="auto"/>
            <w:vAlign w:val="center"/>
          </w:tcPr>
          <w:p w:rsidR="00337AB0" w:rsidRPr="003E335B" w:rsidRDefault="00337AB0" w:rsidP="000D70EC">
            <w:pPr>
              <w:spacing w:line="240" w:lineRule="auto"/>
              <w:jc w:val="right"/>
              <w:rPr>
                <w:rFonts w:asciiTheme="minorHAnsi" w:hAnsiTheme="minorHAnsi"/>
                <w:color w:val="000000"/>
                <w:sz w:val="20"/>
                <w:szCs w:val="20"/>
              </w:rPr>
            </w:pPr>
            <w:r w:rsidRPr="003E335B">
              <w:rPr>
                <w:rFonts w:asciiTheme="minorHAnsi" w:hAnsiTheme="minorHAnsi"/>
                <w:color w:val="000000"/>
                <w:sz w:val="20"/>
                <w:szCs w:val="20"/>
              </w:rPr>
              <w:t>7</w:t>
            </w:r>
          </w:p>
        </w:tc>
      </w:tr>
      <w:tr w:rsidR="00337AB0" w:rsidRPr="003E335B" w:rsidTr="00C52B12">
        <w:tc>
          <w:tcPr>
            <w:tcW w:w="8478" w:type="dxa"/>
            <w:shd w:val="clear" w:color="auto" w:fill="B8CCE4" w:themeFill="accent1" w:themeFillTint="66"/>
          </w:tcPr>
          <w:p w:rsidR="00337AB0" w:rsidRPr="003E335B" w:rsidRDefault="00337AB0" w:rsidP="00F64C75">
            <w:pPr>
              <w:spacing w:line="240" w:lineRule="auto"/>
              <w:rPr>
                <w:rFonts w:asciiTheme="minorHAnsi" w:hAnsiTheme="minorHAnsi"/>
                <w:color w:val="000000"/>
                <w:sz w:val="20"/>
                <w:szCs w:val="20"/>
              </w:rPr>
            </w:pPr>
            <w:r w:rsidRPr="003E335B">
              <w:rPr>
                <w:rFonts w:asciiTheme="minorHAnsi" w:hAnsiTheme="minorHAnsi"/>
                <w:color w:val="000000"/>
                <w:sz w:val="20"/>
                <w:szCs w:val="20"/>
              </w:rPr>
              <w:t xml:space="preserve">Fair value of the </w:t>
            </w:r>
            <w:r w:rsidR="00F64C75">
              <w:rPr>
                <w:rFonts w:asciiTheme="minorHAnsi" w:hAnsiTheme="minorHAnsi"/>
                <w:color w:val="000000"/>
                <w:sz w:val="20"/>
                <w:szCs w:val="20"/>
              </w:rPr>
              <w:t>Group</w:t>
            </w:r>
            <w:r w:rsidR="00F64C75" w:rsidRPr="003E335B">
              <w:rPr>
                <w:rFonts w:asciiTheme="minorHAnsi" w:hAnsiTheme="minorHAnsi"/>
                <w:color w:val="000000"/>
                <w:sz w:val="20"/>
                <w:szCs w:val="20"/>
              </w:rPr>
              <w:t xml:space="preserve">’s </w:t>
            </w:r>
            <w:r w:rsidRPr="003E335B">
              <w:rPr>
                <w:rFonts w:asciiTheme="minorHAnsi" w:hAnsiTheme="minorHAnsi"/>
                <w:color w:val="000000"/>
                <w:sz w:val="20"/>
                <w:szCs w:val="20"/>
              </w:rPr>
              <w:t>investment in Veredus held before the business combination</w:t>
            </w:r>
          </w:p>
        </w:tc>
        <w:tc>
          <w:tcPr>
            <w:tcW w:w="1620" w:type="dxa"/>
            <w:shd w:val="clear" w:color="auto" w:fill="B8CCE4" w:themeFill="accent1" w:themeFillTint="66"/>
            <w:vAlign w:val="center"/>
          </w:tcPr>
          <w:p w:rsidR="00337AB0" w:rsidRPr="003E335B" w:rsidRDefault="00337AB0" w:rsidP="000D70EC">
            <w:pPr>
              <w:spacing w:line="240" w:lineRule="auto"/>
              <w:jc w:val="right"/>
              <w:rPr>
                <w:rFonts w:asciiTheme="minorHAnsi" w:hAnsiTheme="minorHAnsi"/>
                <w:color w:val="000000"/>
                <w:sz w:val="20"/>
                <w:szCs w:val="20"/>
              </w:rPr>
            </w:pPr>
            <w:r w:rsidRPr="003E335B">
              <w:rPr>
                <w:rFonts w:asciiTheme="minorHAnsi" w:hAnsiTheme="minorHAnsi"/>
                <w:color w:val="000000"/>
                <w:sz w:val="20"/>
                <w:szCs w:val="20"/>
              </w:rPr>
              <w:t>9</w:t>
            </w:r>
          </w:p>
        </w:tc>
      </w:tr>
      <w:tr w:rsidR="00337AB0" w:rsidRPr="003E335B" w:rsidTr="00C52B12">
        <w:tc>
          <w:tcPr>
            <w:tcW w:w="8478" w:type="dxa"/>
            <w:shd w:val="clear" w:color="auto" w:fill="auto"/>
          </w:tcPr>
          <w:p w:rsidR="00337AB0" w:rsidRPr="003E335B" w:rsidRDefault="00337AB0" w:rsidP="000D70EC">
            <w:pPr>
              <w:spacing w:line="240" w:lineRule="auto"/>
              <w:rPr>
                <w:rFonts w:asciiTheme="minorHAnsi" w:hAnsiTheme="minorHAnsi"/>
                <w:color w:val="000000"/>
                <w:sz w:val="20"/>
                <w:szCs w:val="20"/>
              </w:rPr>
            </w:pPr>
            <w:r w:rsidRPr="003E335B">
              <w:rPr>
                <w:rFonts w:asciiTheme="minorHAnsi" w:hAnsiTheme="minorHAnsi"/>
                <w:color w:val="000000"/>
                <w:sz w:val="20"/>
                <w:szCs w:val="20"/>
              </w:rPr>
              <w:t>Fair value of the non-controlling interest in Veredus</w:t>
            </w:r>
          </w:p>
        </w:tc>
        <w:tc>
          <w:tcPr>
            <w:tcW w:w="1620" w:type="dxa"/>
            <w:tcBorders>
              <w:bottom w:val="single" w:sz="18" w:space="0" w:color="auto"/>
            </w:tcBorders>
            <w:shd w:val="clear" w:color="auto" w:fill="auto"/>
            <w:vAlign w:val="center"/>
          </w:tcPr>
          <w:p w:rsidR="00337AB0" w:rsidRPr="003E335B" w:rsidRDefault="00337AB0" w:rsidP="000D70EC">
            <w:pPr>
              <w:spacing w:line="240" w:lineRule="auto"/>
              <w:jc w:val="right"/>
              <w:rPr>
                <w:rFonts w:asciiTheme="minorHAnsi" w:hAnsiTheme="minorHAnsi"/>
                <w:color w:val="000000"/>
                <w:sz w:val="20"/>
                <w:szCs w:val="20"/>
              </w:rPr>
            </w:pPr>
            <w:r w:rsidRPr="003E335B">
              <w:rPr>
                <w:rFonts w:asciiTheme="minorHAnsi" w:hAnsiTheme="minorHAnsi"/>
                <w:color w:val="000000"/>
                <w:sz w:val="20"/>
                <w:szCs w:val="20"/>
              </w:rPr>
              <w:t>9</w:t>
            </w:r>
          </w:p>
        </w:tc>
      </w:tr>
      <w:tr w:rsidR="00337AB0" w:rsidRPr="003E335B" w:rsidTr="00C52B12">
        <w:tc>
          <w:tcPr>
            <w:tcW w:w="8478" w:type="dxa"/>
            <w:shd w:val="clear" w:color="auto" w:fill="B8CCE4" w:themeFill="accent1" w:themeFillTint="66"/>
          </w:tcPr>
          <w:p w:rsidR="00337AB0" w:rsidRPr="003E335B" w:rsidRDefault="00337AB0" w:rsidP="000D70EC">
            <w:pPr>
              <w:spacing w:line="240" w:lineRule="auto"/>
              <w:rPr>
                <w:rFonts w:asciiTheme="minorHAnsi" w:hAnsiTheme="minorHAnsi"/>
                <w:color w:val="000000"/>
                <w:sz w:val="20"/>
                <w:szCs w:val="20"/>
              </w:rPr>
            </w:pPr>
          </w:p>
        </w:tc>
        <w:tc>
          <w:tcPr>
            <w:tcW w:w="1620" w:type="dxa"/>
            <w:tcBorders>
              <w:top w:val="single" w:sz="18" w:space="0" w:color="auto"/>
            </w:tcBorders>
            <w:shd w:val="clear" w:color="auto" w:fill="B8CCE4" w:themeFill="accent1" w:themeFillTint="66"/>
            <w:vAlign w:val="center"/>
          </w:tcPr>
          <w:p w:rsidR="00337AB0" w:rsidRPr="003E335B" w:rsidRDefault="00337AB0" w:rsidP="000D70EC">
            <w:pPr>
              <w:spacing w:line="240" w:lineRule="auto"/>
              <w:jc w:val="right"/>
              <w:rPr>
                <w:rFonts w:asciiTheme="minorHAnsi" w:hAnsiTheme="minorHAnsi"/>
                <w:b/>
                <w:color w:val="000000"/>
                <w:sz w:val="20"/>
                <w:szCs w:val="20"/>
              </w:rPr>
            </w:pPr>
            <w:r w:rsidRPr="003E335B">
              <w:rPr>
                <w:rFonts w:asciiTheme="minorHAnsi" w:hAnsiTheme="minorHAnsi"/>
                <w:b/>
                <w:color w:val="000000"/>
                <w:sz w:val="20"/>
                <w:szCs w:val="20"/>
              </w:rPr>
              <w:t>25</w:t>
            </w:r>
          </w:p>
        </w:tc>
      </w:tr>
      <w:tr w:rsidR="00337AB0" w:rsidRPr="003E335B" w:rsidTr="00C52B12">
        <w:tc>
          <w:tcPr>
            <w:tcW w:w="8478" w:type="dxa"/>
            <w:shd w:val="clear" w:color="auto" w:fill="auto"/>
          </w:tcPr>
          <w:p w:rsidR="00337AB0" w:rsidRPr="003E335B" w:rsidRDefault="00337AB0" w:rsidP="000D70EC">
            <w:pPr>
              <w:spacing w:line="240" w:lineRule="auto"/>
              <w:rPr>
                <w:rFonts w:asciiTheme="minorHAnsi" w:hAnsiTheme="minorHAnsi"/>
                <w:color w:val="000000"/>
                <w:sz w:val="20"/>
                <w:szCs w:val="20"/>
              </w:rPr>
            </w:pPr>
            <w:r w:rsidRPr="003E335B">
              <w:rPr>
                <w:rFonts w:asciiTheme="minorHAnsi" w:hAnsiTheme="minorHAnsi"/>
                <w:b/>
                <w:color w:val="000000"/>
                <w:sz w:val="20"/>
                <w:szCs w:val="20"/>
              </w:rPr>
              <w:t>Recognized amounts of identifiable assets acquired and liabilities assumed</w:t>
            </w:r>
          </w:p>
        </w:tc>
        <w:tc>
          <w:tcPr>
            <w:tcW w:w="1620" w:type="dxa"/>
            <w:shd w:val="clear" w:color="auto" w:fill="auto"/>
            <w:vAlign w:val="center"/>
          </w:tcPr>
          <w:p w:rsidR="00337AB0" w:rsidRPr="003E335B" w:rsidRDefault="00337AB0" w:rsidP="000D70EC">
            <w:pPr>
              <w:spacing w:line="240" w:lineRule="auto"/>
              <w:jc w:val="right"/>
              <w:rPr>
                <w:rFonts w:asciiTheme="minorHAnsi" w:hAnsiTheme="minorHAnsi"/>
                <w:color w:val="000000"/>
                <w:sz w:val="20"/>
                <w:szCs w:val="20"/>
              </w:rPr>
            </w:pPr>
          </w:p>
        </w:tc>
      </w:tr>
      <w:tr w:rsidR="00337AB0" w:rsidRPr="003E335B" w:rsidTr="00C52B12">
        <w:tc>
          <w:tcPr>
            <w:tcW w:w="8478" w:type="dxa"/>
            <w:shd w:val="clear" w:color="auto" w:fill="B8CCE4" w:themeFill="accent1" w:themeFillTint="66"/>
          </w:tcPr>
          <w:p w:rsidR="00337AB0" w:rsidRPr="003E335B" w:rsidRDefault="00337AB0" w:rsidP="000D70EC">
            <w:pPr>
              <w:spacing w:line="240" w:lineRule="auto"/>
              <w:rPr>
                <w:rFonts w:asciiTheme="minorHAnsi" w:hAnsiTheme="minorHAnsi"/>
                <w:color w:val="000000"/>
                <w:sz w:val="20"/>
                <w:szCs w:val="20"/>
              </w:rPr>
            </w:pPr>
            <w:r w:rsidRPr="003E335B">
              <w:rPr>
                <w:rFonts w:asciiTheme="minorHAnsi" w:hAnsiTheme="minorHAnsi"/>
                <w:color w:val="000000"/>
                <w:sz w:val="20"/>
                <w:szCs w:val="20"/>
              </w:rPr>
              <w:t>Cash and cash equivalents</w:t>
            </w:r>
          </w:p>
        </w:tc>
        <w:tc>
          <w:tcPr>
            <w:tcW w:w="1620" w:type="dxa"/>
            <w:shd w:val="clear" w:color="auto" w:fill="B8CCE4" w:themeFill="accent1" w:themeFillTint="66"/>
            <w:vAlign w:val="center"/>
          </w:tcPr>
          <w:p w:rsidR="00337AB0" w:rsidRPr="003E335B" w:rsidRDefault="00337AB0" w:rsidP="000D70EC">
            <w:pPr>
              <w:spacing w:line="240" w:lineRule="auto"/>
              <w:jc w:val="right"/>
              <w:rPr>
                <w:rFonts w:asciiTheme="minorHAnsi" w:hAnsiTheme="minorHAnsi"/>
                <w:color w:val="000000"/>
                <w:sz w:val="20"/>
                <w:szCs w:val="20"/>
              </w:rPr>
            </w:pPr>
            <w:r w:rsidRPr="003E335B">
              <w:rPr>
                <w:rFonts w:asciiTheme="minorHAnsi" w:hAnsiTheme="minorHAnsi"/>
                <w:color w:val="000000"/>
                <w:sz w:val="20"/>
                <w:szCs w:val="20"/>
              </w:rPr>
              <w:t>1</w:t>
            </w:r>
          </w:p>
        </w:tc>
      </w:tr>
      <w:tr w:rsidR="00337AB0" w:rsidRPr="003E335B" w:rsidTr="00C52B12">
        <w:tc>
          <w:tcPr>
            <w:tcW w:w="8478" w:type="dxa"/>
            <w:shd w:val="clear" w:color="auto" w:fill="auto"/>
          </w:tcPr>
          <w:p w:rsidR="00337AB0" w:rsidRPr="003E335B" w:rsidRDefault="00337AB0" w:rsidP="000D70EC">
            <w:pPr>
              <w:spacing w:line="240" w:lineRule="auto"/>
              <w:rPr>
                <w:rFonts w:asciiTheme="minorHAnsi" w:hAnsiTheme="minorHAnsi"/>
                <w:color w:val="000000"/>
                <w:sz w:val="20"/>
                <w:szCs w:val="20"/>
              </w:rPr>
            </w:pPr>
            <w:r w:rsidRPr="003E335B">
              <w:rPr>
                <w:rFonts w:asciiTheme="minorHAnsi" w:hAnsiTheme="minorHAnsi"/>
                <w:color w:val="000000"/>
                <w:sz w:val="20"/>
                <w:szCs w:val="20"/>
              </w:rPr>
              <w:t>Inventories</w:t>
            </w:r>
          </w:p>
        </w:tc>
        <w:tc>
          <w:tcPr>
            <w:tcW w:w="1620" w:type="dxa"/>
            <w:shd w:val="clear" w:color="auto" w:fill="auto"/>
            <w:vAlign w:val="center"/>
          </w:tcPr>
          <w:p w:rsidR="00337AB0" w:rsidRPr="003E335B" w:rsidRDefault="00337AB0" w:rsidP="000D70EC">
            <w:pPr>
              <w:spacing w:line="240" w:lineRule="auto"/>
              <w:jc w:val="right"/>
              <w:rPr>
                <w:rFonts w:asciiTheme="minorHAnsi" w:hAnsiTheme="minorHAnsi"/>
                <w:color w:val="000000"/>
                <w:sz w:val="20"/>
                <w:szCs w:val="20"/>
              </w:rPr>
            </w:pPr>
            <w:r w:rsidRPr="003E335B">
              <w:rPr>
                <w:rFonts w:asciiTheme="minorHAnsi" w:hAnsiTheme="minorHAnsi"/>
                <w:color w:val="000000"/>
                <w:sz w:val="20"/>
                <w:szCs w:val="20"/>
              </w:rPr>
              <w:t>1</w:t>
            </w:r>
          </w:p>
        </w:tc>
      </w:tr>
      <w:tr w:rsidR="00772A20" w:rsidRPr="003E335B" w:rsidTr="00C52B12">
        <w:tc>
          <w:tcPr>
            <w:tcW w:w="8478" w:type="dxa"/>
            <w:shd w:val="clear" w:color="auto" w:fill="B8CCE4" w:themeFill="accent1" w:themeFillTint="66"/>
          </w:tcPr>
          <w:p w:rsidR="00772A20" w:rsidRPr="003E335B" w:rsidRDefault="00772A20" w:rsidP="000D70EC">
            <w:pPr>
              <w:spacing w:line="240" w:lineRule="auto"/>
              <w:rPr>
                <w:rFonts w:asciiTheme="minorHAnsi" w:hAnsiTheme="minorHAnsi"/>
                <w:color w:val="000000"/>
                <w:sz w:val="20"/>
                <w:szCs w:val="20"/>
              </w:rPr>
            </w:pPr>
            <w:r w:rsidRPr="003E335B">
              <w:rPr>
                <w:rFonts w:asciiTheme="minorHAnsi" w:hAnsiTheme="minorHAnsi"/>
                <w:color w:val="000000"/>
                <w:sz w:val="20"/>
                <w:szCs w:val="20"/>
              </w:rPr>
              <w:t>Buy</w:t>
            </w:r>
            <w:r w:rsidR="00330101">
              <w:rPr>
                <w:rFonts w:asciiTheme="minorHAnsi" w:hAnsiTheme="minorHAnsi"/>
                <w:color w:val="000000"/>
                <w:sz w:val="20"/>
                <w:szCs w:val="20"/>
              </w:rPr>
              <w:t>-</w:t>
            </w:r>
            <w:r w:rsidRPr="003E335B">
              <w:rPr>
                <w:rFonts w:asciiTheme="minorHAnsi" w:hAnsiTheme="minorHAnsi"/>
                <w:color w:val="000000"/>
                <w:sz w:val="20"/>
                <w:szCs w:val="20"/>
              </w:rPr>
              <w:t>out option</w:t>
            </w:r>
          </w:p>
        </w:tc>
        <w:tc>
          <w:tcPr>
            <w:tcW w:w="1620" w:type="dxa"/>
            <w:shd w:val="clear" w:color="auto" w:fill="B8CCE4" w:themeFill="accent1" w:themeFillTint="66"/>
            <w:vAlign w:val="center"/>
          </w:tcPr>
          <w:p w:rsidR="00772A20" w:rsidRPr="003E335B" w:rsidRDefault="00772A20" w:rsidP="000D70EC">
            <w:pPr>
              <w:spacing w:line="240" w:lineRule="auto"/>
              <w:jc w:val="right"/>
              <w:rPr>
                <w:rFonts w:asciiTheme="minorHAnsi" w:hAnsiTheme="minorHAnsi"/>
                <w:color w:val="000000"/>
                <w:sz w:val="20"/>
                <w:szCs w:val="20"/>
              </w:rPr>
            </w:pPr>
            <w:r w:rsidRPr="003E335B">
              <w:rPr>
                <w:rFonts w:asciiTheme="minorHAnsi" w:hAnsiTheme="minorHAnsi"/>
                <w:color w:val="000000"/>
                <w:sz w:val="20"/>
                <w:szCs w:val="20"/>
              </w:rPr>
              <w:t>5</w:t>
            </w:r>
          </w:p>
        </w:tc>
      </w:tr>
      <w:tr w:rsidR="00337AB0" w:rsidRPr="003E335B" w:rsidTr="00C52B12">
        <w:tc>
          <w:tcPr>
            <w:tcW w:w="8478" w:type="dxa"/>
            <w:shd w:val="clear" w:color="auto" w:fill="auto"/>
          </w:tcPr>
          <w:p w:rsidR="00337AB0" w:rsidRPr="003E335B" w:rsidRDefault="00337AB0" w:rsidP="000D70EC">
            <w:pPr>
              <w:spacing w:line="240" w:lineRule="auto"/>
              <w:rPr>
                <w:rFonts w:asciiTheme="minorHAnsi" w:hAnsiTheme="minorHAnsi"/>
                <w:color w:val="000000"/>
                <w:sz w:val="20"/>
                <w:szCs w:val="20"/>
              </w:rPr>
            </w:pPr>
            <w:r w:rsidRPr="003E335B">
              <w:rPr>
                <w:rFonts w:asciiTheme="minorHAnsi" w:hAnsiTheme="minorHAnsi"/>
                <w:color w:val="000000"/>
                <w:sz w:val="20"/>
                <w:szCs w:val="20"/>
              </w:rPr>
              <w:t>Property, Plant and Equipment, net</w:t>
            </w:r>
          </w:p>
        </w:tc>
        <w:tc>
          <w:tcPr>
            <w:tcW w:w="1620" w:type="dxa"/>
            <w:shd w:val="clear" w:color="auto" w:fill="auto"/>
            <w:vAlign w:val="center"/>
          </w:tcPr>
          <w:p w:rsidR="00337AB0" w:rsidRPr="003E335B" w:rsidRDefault="00337AB0" w:rsidP="000D70EC">
            <w:pPr>
              <w:spacing w:line="240" w:lineRule="auto"/>
              <w:jc w:val="right"/>
              <w:rPr>
                <w:rFonts w:asciiTheme="minorHAnsi" w:hAnsiTheme="minorHAnsi"/>
                <w:color w:val="000000"/>
                <w:sz w:val="20"/>
                <w:szCs w:val="20"/>
              </w:rPr>
            </w:pPr>
            <w:r w:rsidRPr="003E335B">
              <w:rPr>
                <w:rFonts w:asciiTheme="minorHAnsi" w:hAnsiTheme="minorHAnsi"/>
                <w:color w:val="000000"/>
                <w:sz w:val="20"/>
                <w:szCs w:val="20"/>
              </w:rPr>
              <w:t>1</w:t>
            </w:r>
          </w:p>
        </w:tc>
      </w:tr>
      <w:tr w:rsidR="00337AB0" w:rsidRPr="003E335B" w:rsidTr="00C52B12">
        <w:tc>
          <w:tcPr>
            <w:tcW w:w="8478" w:type="dxa"/>
            <w:shd w:val="clear" w:color="auto" w:fill="B8CCE4" w:themeFill="accent1" w:themeFillTint="66"/>
          </w:tcPr>
          <w:p w:rsidR="00337AB0" w:rsidRPr="003E335B" w:rsidRDefault="00337AB0" w:rsidP="000D70EC">
            <w:pPr>
              <w:spacing w:line="240" w:lineRule="auto"/>
              <w:rPr>
                <w:rFonts w:asciiTheme="minorHAnsi" w:hAnsiTheme="minorHAnsi"/>
                <w:color w:val="000000"/>
                <w:sz w:val="20"/>
                <w:szCs w:val="20"/>
              </w:rPr>
            </w:pPr>
            <w:r w:rsidRPr="003E335B">
              <w:rPr>
                <w:rFonts w:asciiTheme="minorHAnsi" w:hAnsiTheme="minorHAnsi"/>
                <w:color w:val="000000"/>
                <w:sz w:val="20"/>
                <w:szCs w:val="20"/>
              </w:rPr>
              <w:t>In-Process R&amp;D</w:t>
            </w:r>
          </w:p>
        </w:tc>
        <w:tc>
          <w:tcPr>
            <w:tcW w:w="1620" w:type="dxa"/>
            <w:shd w:val="clear" w:color="auto" w:fill="B8CCE4" w:themeFill="accent1" w:themeFillTint="66"/>
            <w:vAlign w:val="center"/>
          </w:tcPr>
          <w:p w:rsidR="00337AB0" w:rsidRPr="003E335B" w:rsidRDefault="00337AB0" w:rsidP="000D70EC">
            <w:pPr>
              <w:spacing w:line="240" w:lineRule="auto"/>
              <w:jc w:val="right"/>
              <w:rPr>
                <w:rFonts w:asciiTheme="minorHAnsi" w:hAnsiTheme="minorHAnsi"/>
                <w:color w:val="000000"/>
                <w:sz w:val="20"/>
                <w:szCs w:val="20"/>
              </w:rPr>
            </w:pPr>
            <w:r w:rsidRPr="003E335B">
              <w:rPr>
                <w:rFonts w:asciiTheme="minorHAnsi" w:hAnsiTheme="minorHAnsi"/>
                <w:color w:val="000000"/>
                <w:sz w:val="20"/>
                <w:szCs w:val="20"/>
              </w:rPr>
              <w:t>12</w:t>
            </w:r>
          </w:p>
        </w:tc>
      </w:tr>
      <w:tr w:rsidR="00337AB0" w:rsidRPr="003E335B" w:rsidTr="00C52B12">
        <w:tc>
          <w:tcPr>
            <w:tcW w:w="8478" w:type="dxa"/>
            <w:shd w:val="clear" w:color="auto" w:fill="auto"/>
          </w:tcPr>
          <w:p w:rsidR="00337AB0" w:rsidRPr="003E335B" w:rsidRDefault="00337AB0" w:rsidP="000D70EC">
            <w:pPr>
              <w:spacing w:line="240" w:lineRule="auto"/>
              <w:rPr>
                <w:rFonts w:asciiTheme="minorHAnsi" w:hAnsiTheme="minorHAnsi"/>
                <w:color w:val="000000"/>
                <w:sz w:val="20"/>
                <w:szCs w:val="20"/>
              </w:rPr>
            </w:pPr>
            <w:r w:rsidRPr="003E335B">
              <w:rPr>
                <w:rFonts w:asciiTheme="minorHAnsi" w:hAnsiTheme="minorHAnsi"/>
                <w:color w:val="000000"/>
                <w:sz w:val="20"/>
                <w:szCs w:val="20"/>
              </w:rPr>
              <w:t>Patents and Intellectual Property</w:t>
            </w:r>
          </w:p>
        </w:tc>
        <w:tc>
          <w:tcPr>
            <w:tcW w:w="1620" w:type="dxa"/>
            <w:shd w:val="clear" w:color="auto" w:fill="auto"/>
            <w:vAlign w:val="center"/>
          </w:tcPr>
          <w:p w:rsidR="00337AB0" w:rsidRPr="003E335B" w:rsidRDefault="00337AB0" w:rsidP="000D70EC">
            <w:pPr>
              <w:spacing w:line="240" w:lineRule="auto"/>
              <w:jc w:val="right"/>
              <w:rPr>
                <w:rFonts w:asciiTheme="minorHAnsi" w:hAnsiTheme="minorHAnsi"/>
                <w:color w:val="000000"/>
                <w:sz w:val="20"/>
                <w:szCs w:val="20"/>
              </w:rPr>
            </w:pPr>
            <w:r w:rsidRPr="003E335B">
              <w:rPr>
                <w:rFonts w:asciiTheme="minorHAnsi" w:hAnsiTheme="minorHAnsi"/>
                <w:color w:val="000000"/>
                <w:sz w:val="20"/>
                <w:szCs w:val="20"/>
              </w:rPr>
              <w:t>3</w:t>
            </w:r>
          </w:p>
        </w:tc>
      </w:tr>
      <w:tr w:rsidR="00337AB0" w:rsidRPr="003E335B" w:rsidTr="00C52B12">
        <w:tc>
          <w:tcPr>
            <w:tcW w:w="8478" w:type="dxa"/>
            <w:shd w:val="clear" w:color="auto" w:fill="B8CCE4" w:themeFill="accent1" w:themeFillTint="66"/>
          </w:tcPr>
          <w:p w:rsidR="00337AB0" w:rsidRPr="003E335B" w:rsidRDefault="00A2711B" w:rsidP="000D70EC">
            <w:pPr>
              <w:spacing w:line="240" w:lineRule="auto"/>
              <w:rPr>
                <w:rFonts w:asciiTheme="minorHAnsi" w:hAnsiTheme="minorHAnsi"/>
                <w:color w:val="000000"/>
                <w:sz w:val="20"/>
                <w:szCs w:val="20"/>
              </w:rPr>
            </w:pPr>
            <w:r>
              <w:rPr>
                <w:rFonts w:asciiTheme="minorHAnsi" w:hAnsiTheme="minorHAnsi"/>
                <w:color w:val="000000"/>
                <w:sz w:val="20"/>
                <w:szCs w:val="20"/>
              </w:rPr>
              <w:t>D</w:t>
            </w:r>
            <w:r w:rsidR="00337AB0" w:rsidRPr="003E335B">
              <w:rPr>
                <w:rFonts w:asciiTheme="minorHAnsi" w:hAnsiTheme="minorHAnsi"/>
                <w:color w:val="000000"/>
                <w:sz w:val="20"/>
                <w:szCs w:val="20"/>
              </w:rPr>
              <w:t>eferred tax assets</w:t>
            </w:r>
          </w:p>
        </w:tc>
        <w:tc>
          <w:tcPr>
            <w:tcW w:w="1620" w:type="dxa"/>
            <w:shd w:val="clear" w:color="auto" w:fill="B8CCE4" w:themeFill="accent1" w:themeFillTint="66"/>
            <w:vAlign w:val="center"/>
          </w:tcPr>
          <w:p w:rsidR="00337AB0" w:rsidRPr="003E335B" w:rsidRDefault="00337AB0" w:rsidP="000D70EC">
            <w:pPr>
              <w:spacing w:line="240" w:lineRule="auto"/>
              <w:jc w:val="right"/>
              <w:rPr>
                <w:rFonts w:asciiTheme="minorHAnsi" w:hAnsiTheme="minorHAnsi"/>
                <w:color w:val="000000"/>
                <w:sz w:val="20"/>
                <w:szCs w:val="20"/>
              </w:rPr>
            </w:pPr>
            <w:r w:rsidRPr="003E335B">
              <w:rPr>
                <w:rFonts w:asciiTheme="minorHAnsi" w:hAnsiTheme="minorHAnsi"/>
                <w:color w:val="000000"/>
                <w:sz w:val="20"/>
                <w:szCs w:val="20"/>
              </w:rPr>
              <w:t>1</w:t>
            </w:r>
          </w:p>
        </w:tc>
      </w:tr>
      <w:tr w:rsidR="00337AB0" w:rsidRPr="003E335B" w:rsidTr="00C52B12">
        <w:tc>
          <w:tcPr>
            <w:tcW w:w="8478" w:type="dxa"/>
            <w:shd w:val="clear" w:color="auto" w:fill="auto"/>
          </w:tcPr>
          <w:p w:rsidR="00337AB0" w:rsidRPr="003E335B" w:rsidRDefault="00A2711B" w:rsidP="000D70EC">
            <w:pPr>
              <w:spacing w:line="240" w:lineRule="auto"/>
              <w:rPr>
                <w:rFonts w:asciiTheme="minorHAnsi" w:hAnsiTheme="minorHAnsi"/>
                <w:color w:val="000000"/>
                <w:sz w:val="20"/>
                <w:szCs w:val="20"/>
              </w:rPr>
            </w:pPr>
            <w:r>
              <w:rPr>
                <w:rFonts w:asciiTheme="minorHAnsi" w:hAnsiTheme="minorHAnsi"/>
                <w:color w:val="000000"/>
                <w:sz w:val="20"/>
                <w:szCs w:val="20"/>
              </w:rPr>
              <w:t>D</w:t>
            </w:r>
            <w:r w:rsidR="00337AB0" w:rsidRPr="003E335B">
              <w:rPr>
                <w:rFonts w:asciiTheme="minorHAnsi" w:hAnsiTheme="minorHAnsi"/>
                <w:color w:val="000000"/>
                <w:sz w:val="20"/>
                <w:szCs w:val="20"/>
              </w:rPr>
              <w:t>eferred tax liabilities</w:t>
            </w:r>
          </w:p>
        </w:tc>
        <w:tc>
          <w:tcPr>
            <w:tcW w:w="1620" w:type="dxa"/>
            <w:shd w:val="clear" w:color="auto" w:fill="auto"/>
            <w:vAlign w:val="center"/>
          </w:tcPr>
          <w:p w:rsidR="00337AB0" w:rsidRPr="003E335B" w:rsidRDefault="00337AB0" w:rsidP="000D70EC">
            <w:pPr>
              <w:spacing w:line="240" w:lineRule="auto"/>
              <w:jc w:val="right"/>
              <w:rPr>
                <w:rFonts w:asciiTheme="minorHAnsi" w:hAnsiTheme="minorHAnsi"/>
                <w:color w:val="000000"/>
                <w:sz w:val="20"/>
                <w:szCs w:val="20"/>
              </w:rPr>
            </w:pPr>
            <w:r w:rsidRPr="003E335B">
              <w:rPr>
                <w:rFonts w:asciiTheme="minorHAnsi" w:hAnsiTheme="minorHAnsi"/>
                <w:color w:val="000000"/>
                <w:sz w:val="20"/>
                <w:szCs w:val="20"/>
              </w:rPr>
              <w:t>(3)</w:t>
            </w:r>
          </w:p>
        </w:tc>
      </w:tr>
      <w:tr w:rsidR="00337AB0" w:rsidRPr="003E335B" w:rsidTr="00C52B12">
        <w:tc>
          <w:tcPr>
            <w:tcW w:w="8478" w:type="dxa"/>
            <w:shd w:val="clear" w:color="auto" w:fill="B8CCE4" w:themeFill="accent1" w:themeFillTint="66"/>
          </w:tcPr>
          <w:p w:rsidR="00337AB0" w:rsidRPr="003E335B" w:rsidRDefault="00337AB0" w:rsidP="000D70EC">
            <w:pPr>
              <w:spacing w:line="240" w:lineRule="auto"/>
              <w:rPr>
                <w:rFonts w:asciiTheme="minorHAnsi" w:hAnsiTheme="minorHAnsi"/>
                <w:color w:val="000000"/>
                <w:sz w:val="20"/>
                <w:szCs w:val="20"/>
              </w:rPr>
            </w:pPr>
            <w:r w:rsidRPr="003E335B">
              <w:rPr>
                <w:rFonts w:asciiTheme="minorHAnsi" w:hAnsiTheme="minorHAnsi"/>
                <w:color w:val="000000"/>
                <w:sz w:val="20"/>
                <w:szCs w:val="20"/>
              </w:rPr>
              <w:t>Other current liabilities</w:t>
            </w:r>
          </w:p>
        </w:tc>
        <w:tc>
          <w:tcPr>
            <w:tcW w:w="1620" w:type="dxa"/>
            <w:tcBorders>
              <w:bottom w:val="single" w:sz="18" w:space="0" w:color="auto"/>
            </w:tcBorders>
            <w:shd w:val="clear" w:color="auto" w:fill="B8CCE4" w:themeFill="accent1" w:themeFillTint="66"/>
            <w:vAlign w:val="center"/>
          </w:tcPr>
          <w:p w:rsidR="00337AB0" w:rsidRPr="003E335B" w:rsidRDefault="00337AB0" w:rsidP="000D70EC">
            <w:pPr>
              <w:spacing w:line="240" w:lineRule="auto"/>
              <w:jc w:val="right"/>
              <w:rPr>
                <w:rFonts w:asciiTheme="minorHAnsi" w:hAnsiTheme="minorHAnsi"/>
                <w:color w:val="000000"/>
                <w:sz w:val="20"/>
                <w:szCs w:val="20"/>
              </w:rPr>
            </w:pPr>
            <w:r w:rsidRPr="003E335B">
              <w:rPr>
                <w:rFonts w:asciiTheme="minorHAnsi" w:hAnsiTheme="minorHAnsi"/>
                <w:color w:val="000000"/>
                <w:sz w:val="20"/>
                <w:szCs w:val="20"/>
              </w:rPr>
              <w:t>(1)</w:t>
            </w:r>
          </w:p>
        </w:tc>
      </w:tr>
      <w:tr w:rsidR="00337AB0" w:rsidRPr="003E335B" w:rsidTr="00C52B12">
        <w:tc>
          <w:tcPr>
            <w:tcW w:w="8478" w:type="dxa"/>
            <w:shd w:val="clear" w:color="auto" w:fill="auto"/>
          </w:tcPr>
          <w:p w:rsidR="00337AB0" w:rsidRPr="003E335B" w:rsidRDefault="00337AB0" w:rsidP="000D70EC">
            <w:pPr>
              <w:spacing w:line="240" w:lineRule="auto"/>
              <w:rPr>
                <w:rFonts w:asciiTheme="minorHAnsi" w:hAnsiTheme="minorHAnsi"/>
                <w:b/>
                <w:color w:val="000000"/>
                <w:sz w:val="20"/>
                <w:szCs w:val="20"/>
              </w:rPr>
            </w:pPr>
            <w:r w:rsidRPr="003E335B">
              <w:rPr>
                <w:rFonts w:asciiTheme="minorHAnsi" w:hAnsiTheme="minorHAnsi"/>
                <w:b/>
                <w:color w:val="000000"/>
                <w:sz w:val="20"/>
                <w:szCs w:val="20"/>
              </w:rPr>
              <w:t>Total identifiable net assets</w:t>
            </w:r>
          </w:p>
        </w:tc>
        <w:tc>
          <w:tcPr>
            <w:tcW w:w="1620" w:type="dxa"/>
            <w:tcBorders>
              <w:top w:val="single" w:sz="18" w:space="0" w:color="auto"/>
            </w:tcBorders>
            <w:shd w:val="clear" w:color="auto" w:fill="auto"/>
            <w:vAlign w:val="center"/>
          </w:tcPr>
          <w:p w:rsidR="00337AB0" w:rsidRPr="003E335B" w:rsidRDefault="00772A20" w:rsidP="000D70EC">
            <w:pPr>
              <w:spacing w:line="240" w:lineRule="auto"/>
              <w:jc w:val="right"/>
              <w:rPr>
                <w:rFonts w:asciiTheme="minorHAnsi" w:hAnsiTheme="minorHAnsi"/>
                <w:b/>
                <w:color w:val="000000"/>
                <w:sz w:val="20"/>
                <w:szCs w:val="20"/>
              </w:rPr>
            </w:pPr>
            <w:r w:rsidRPr="003E335B">
              <w:rPr>
                <w:rFonts w:asciiTheme="minorHAnsi" w:hAnsiTheme="minorHAnsi"/>
                <w:b/>
                <w:color w:val="000000"/>
                <w:sz w:val="20"/>
                <w:szCs w:val="20"/>
              </w:rPr>
              <w:t>20</w:t>
            </w:r>
          </w:p>
        </w:tc>
      </w:tr>
      <w:tr w:rsidR="00337AB0" w:rsidRPr="003E335B" w:rsidTr="00C52B12">
        <w:tc>
          <w:tcPr>
            <w:tcW w:w="8478" w:type="dxa"/>
            <w:shd w:val="clear" w:color="auto" w:fill="B8CCE4" w:themeFill="accent1" w:themeFillTint="66"/>
          </w:tcPr>
          <w:p w:rsidR="00337AB0" w:rsidRPr="003E335B" w:rsidRDefault="00337AB0" w:rsidP="000D70EC">
            <w:pPr>
              <w:spacing w:line="240" w:lineRule="auto"/>
              <w:rPr>
                <w:rFonts w:asciiTheme="minorHAnsi" w:hAnsiTheme="minorHAnsi"/>
                <w:color w:val="000000"/>
                <w:sz w:val="20"/>
                <w:szCs w:val="20"/>
              </w:rPr>
            </w:pPr>
          </w:p>
        </w:tc>
        <w:tc>
          <w:tcPr>
            <w:tcW w:w="1620" w:type="dxa"/>
            <w:tcBorders>
              <w:bottom w:val="single" w:sz="18" w:space="0" w:color="auto"/>
            </w:tcBorders>
            <w:shd w:val="clear" w:color="auto" w:fill="B8CCE4" w:themeFill="accent1" w:themeFillTint="66"/>
            <w:vAlign w:val="center"/>
          </w:tcPr>
          <w:p w:rsidR="00337AB0" w:rsidRPr="003E335B" w:rsidRDefault="00337AB0" w:rsidP="000D70EC">
            <w:pPr>
              <w:spacing w:line="240" w:lineRule="auto"/>
              <w:jc w:val="right"/>
              <w:rPr>
                <w:rFonts w:asciiTheme="minorHAnsi" w:hAnsiTheme="minorHAnsi"/>
                <w:color w:val="000000"/>
                <w:sz w:val="20"/>
                <w:szCs w:val="20"/>
              </w:rPr>
            </w:pPr>
          </w:p>
        </w:tc>
      </w:tr>
      <w:tr w:rsidR="00337AB0" w:rsidRPr="003E335B" w:rsidTr="00C52B12">
        <w:tc>
          <w:tcPr>
            <w:tcW w:w="8478" w:type="dxa"/>
            <w:tcBorders>
              <w:bottom w:val="single" w:sz="18" w:space="0" w:color="auto"/>
            </w:tcBorders>
            <w:shd w:val="clear" w:color="auto" w:fill="auto"/>
          </w:tcPr>
          <w:p w:rsidR="00337AB0" w:rsidRPr="003E335B" w:rsidRDefault="00337AB0" w:rsidP="000D70EC">
            <w:pPr>
              <w:spacing w:line="240" w:lineRule="auto"/>
              <w:rPr>
                <w:rFonts w:asciiTheme="minorHAnsi" w:hAnsiTheme="minorHAnsi"/>
                <w:b/>
                <w:color w:val="000000"/>
                <w:sz w:val="20"/>
                <w:szCs w:val="20"/>
              </w:rPr>
            </w:pPr>
            <w:r w:rsidRPr="003E335B">
              <w:rPr>
                <w:rFonts w:asciiTheme="minorHAnsi" w:hAnsiTheme="minorHAnsi"/>
                <w:b/>
                <w:color w:val="000000"/>
                <w:sz w:val="20"/>
                <w:szCs w:val="20"/>
              </w:rPr>
              <w:t>Goodwill</w:t>
            </w:r>
          </w:p>
        </w:tc>
        <w:tc>
          <w:tcPr>
            <w:tcW w:w="1620" w:type="dxa"/>
            <w:tcBorders>
              <w:top w:val="single" w:sz="18" w:space="0" w:color="auto"/>
              <w:bottom w:val="single" w:sz="18" w:space="0" w:color="auto"/>
            </w:tcBorders>
            <w:shd w:val="clear" w:color="auto" w:fill="auto"/>
            <w:vAlign w:val="center"/>
          </w:tcPr>
          <w:p w:rsidR="00337AB0" w:rsidRPr="003E335B" w:rsidRDefault="00772A20" w:rsidP="000D70EC">
            <w:pPr>
              <w:spacing w:line="240" w:lineRule="auto"/>
              <w:jc w:val="right"/>
              <w:rPr>
                <w:rFonts w:asciiTheme="minorHAnsi" w:hAnsiTheme="minorHAnsi"/>
                <w:b/>
                <w:color w:val="000000"/>
                <w:sz w:val="20"/>
                <w:szCs w:val="20"/>
              </w:rPr>
            </w:pPr>
            <w:r w:rsidRPr="003E335B">
              <w:rPr>
                <w:rFonts w:asciiTheme="minorHAnsi" w:hAnsiTheme="minorHAnsi"/>
                <w:b/>
                <w:color w:val="000000"/>
                <w:sz w:val="20"/>
                <w:szCs w:val="20"/>
              </w:rPr>
              <w:t>5</w:t>
            </w:r>
          </w:p>
        </w:tc>
      </w:tr>
      <w:tr w:rsidR="00337AB0" w:rsidRPr="003E335B" w:rsidTr="00C52B12">
        <w:tc>
          <w:tcPr>
            <w:tcW w:w="8478" w:type="dxa"/>
            <w:tcBorders>
              <w:top w:val="single" w:sz="18" w:space="0" w:color="auto"/>
            </w:tcBorders>
          </w:tcPr>
          <w:p w:rsidR="00337AB0" w:rsidRPr="003E335B" w:rsidRDefault="00337AB0" w:rsidP="000D70EC">
            <w:pPr>
              <w:spacing w:line="240" w:lineRule="auto"/>
              <w:rPr>
                <w:rFonts w:ascii="Times New Roman" w:hAnsi="Times New Roman"/>
                <w:color w:val="000000"/>
                <w:sz w:val="20"/>
                <w:szCs w:val="20"/>
              </w:rPr>
            </w:pPr>
          </w:p>
        </w:tc>
        <w:tc>
          <w:tcPr>
            <w:tcW w:w="1620" w:type="dxa"/>
            <w:tcBorders>
              <w:top w:val="single" w:sz="18" w:space="0" w:color="auto"/>
            </w:tcBorders>
          </w:tcPr>
          <w:p w:rsidR="00337AB0" w:rsidRPr="003E335B" w:rsidRDefault="00337AB0" w:rsidP="000D70EC">
            <w:pPr>
              <w:spacing w:line="240" w:lineRule="auto"/>
              <w:jc w:val="right"/>
              <w:rPr>
                <w:rFonts w:ascii="Times New Roman" w:hAnsi="Times New Roman"/>
                <w:color w:val="000000"/>
                <w:sz w:val="20"/>
                <w:szCs w:val="20"/>
              </w:rPr>
            </w:pPr>
          </w:p>
        </w:tc>
      </w:tr>
      <w:tr w:rsidR="00337AB0" w:rsidRPr="003E335B" w:rsidTr="00C52B12">
        <w:tc>
          <w:tcPr>
            <w:tcW w:w="8478" w:type="dxa"/>
          </w:tcPr>
          <w:p w:rsidR="008733F0" w:rsidRDefault="008733F0">
            <w:pPr>
              <w:spacing w:line="240" w:lineRule="auto"/>
              <w:jc w:val="both"/>
              <w:rPr>
                <w:rFonts w:ascii="Times New Roman" w:hAnsi="Times New Roman"/>
                <w:color w:val="000000"/>
                <w:sz w:val="20"/>
                <w:szCs w:val="20"/>
              </w:rPr>
            </w:pPr>
          </w:p>
        </w:tc>
        <w:tc>
          <w:tcPr>
            <w:tcW w:w="1620" w:type="dxa"/>
          </w:tcPr>
          <w:p w:rsidR="008733F0" w:rsidRDefault="008733F0">
            <w:pPr>
              <w:spacing w:line="240" w:lineRule="auto"/>
              <w:jc w:val="both"/>
              <w:rPr>
                <w:rFonts w:ascii="Times New Roman" w:hAnsi="Times New Roman"/>
                <w:color w:val="000000"/>
                <w:sz w:val="20"/>
                <w:szCs w:val="20"/>
              </w:rPr>
            </w:pPr>
          </w:p>
        </w:tc>
      </w:tr>
    </w:tbl>
    <w:p w:rsidR="00337AB0" w:rsidRPr="003E335B" w:rsidRDefault="00337AB0" w:rsidP="000A1B34">
      <w:pPr>
        <w:spacing w:line="240" w:lineRule="auto"/>
        <w:jc w:val="both"/>
        <w:rPr>
          <w:sz w:val="20"/>
          <w:szCs w:val="20"/>
        </w:rPr>
      </w:pPr>
      <w:r w:rsidRPr="003E335B">
        <w:rPr>
          <w:sz w:val="20"/>
          <w:szCs w:val="20"/>
        </w:rPr>
        <w:t xml:space="preserve">As a result of the </w:t>
      </w:r>
      <w:r w:rsidR="00772A20" w:rsidRPr="003E335B">
        <w:rPr>
          <w:sz w:val="20"/>
          <w:szCs w:val="20"/>
        </w:rPr>
        <w:t>Group</w:t>
      </w:r>
      <w:r w:rsidRPr="003E335B">
        <w:rPr>
          <w:sz w:val="20"/>
          <w:szCs w:val="20"/>
        </w:rPr>
        <w:t xml:space="preserve"> obtaining control over Veredus, the </w:t>
      </w:r>
      <w:r w:rsidR="00A2711B">
        <w:rPr>
          <w:sz w:val="20"/>
          <w:szCs w:val="20"/>
        </w:rPr>
        <w:t>Group</w:t>
      </w:r>
      <w:r w:rsidR="00A2711B" w:rsidRPr="003E335B">
        <w:rPr>
          <w:sz w:val="20"/>
          <w:szCs w:val="20"/>
        </w:rPr>
        <w:t xml:space="preserve">’s </w:t>
      </w:r>
      <w:r w:rsidRPr="003E335B">
        <w:rPr>
          <w:sz w:val="20"/>
          <w:szCs w:val="20"/>
        </w:rPr>
        <w:t xml:space="preserve">previously held 41.2% was remeasured to fair </w:t>
      </w:r>
      <w:r w:rsidR="008733F0" w:rsidRPr="003E335B">
        <w:rPr>
          <w:sz w:val="20"/>
          <w:szCs w:val="20"/>
        </w:rPr>
        <w:t>value;</w:t>
      </w:r>
      <w:r w:rsidRPr="003E335B">
        <w:rPr>
          <w:sz w:val="20"/>
          <w:szCs w:val="20"/>
        </w:rPr>
        <w:t xml:space="preserve"> however this did not result in any gain or loss.</w:t>
      </w:r>
    </w:p>
    <w:p w:rsidR="00772A20" w:rsidRPr="003E335B" w:rsidRDefault="00772A20" w:rsidP="000A1B34">
      <w:pPr>
        <w:spacing w:line="240" w:lineRule="auto"/>
        <w:jc w:val="both"/>
        <w:rPr>
          <w:sz w:val="20"/>
          <w:szCs w:val="20"/>
        </w:rPr>
      </w:pPr>
      <w:r w:rsidRPr="003E335B">
        <w:rPr>
          <w:sz w:val="20"/>
          <w:szCs w:val="20"/>
        </w:rPr>
        <w:t xml:space="preserve">As part of the transaction, the Group received a buy-out option that allows the Group to buy out the remaining 33% of Veredus’ shares still owned by its founders at a price per share depending on level of sales achieved in 2012. The option will be exercisable by the Group in 2013. The fair value of the option </w:t>
      </w:r>
      <w:r w:rsidR="002A7D17" w:rsidRPr="003E335B">
        <w:rPr>
          <w:sz w:val="20"/>
          <w:szCs w:val="20"/>
        </w:rPr>
        <w:t xml:space="preserve">at acquisition-date </w:t>
      </w:r>
      <w:r w:rsidRPr="003E335B">
        <w:rPr>
          <w:sz w:val="20"/>
          <w:szCs w:val="20"/>
        </w:rPr>
        <w:t>was determined</w:t>
      </w:r>
      <w:r w:rsidR="002A7D17" w:rsidRPr="003E335B">
        <w:rPr>
          <w:sz w:val="20"/>
          <w:szCs w:val="20"/>
        </w:rPr>
        <w:t xml:space="preserve"> using a Black &amp; Scholes valuation model.</w:t>
      </w:r>
    </w:p>
    <w:p w:rsidR="00337AB0" w:rsidRPr="003E335B" w:rsidRDefault="00337AB0" w:rsidP="000A1B34">
      <w:pPr>
        <w:spacing w:line="240" w:lineRule="auto"/>
        <w:jc w:val="both"/>
        <w:rPr>
          <w:sz w:val="20"/>
          <w:szCs w:val="20"/>
        </w:rPr>
      </w:pPr>
      <w:r w:rsidRPr="003E335B">
        <w:rPr>
          <w:sz w:val="20"/>
          <w:szCs w:val="20"/>
        </w:rPr>
        <w:t xml:space="preserve">The goodwill is attributable to the workforce of the acquired business and to the increased footprint of the </w:t>
      </w:r>
      <w:r w:rsidR="00772A20" w:rsidRPr="003E335B">
        <w:rPr>
          <w:sz w:val="20"/>
          <w:szCs w:val="20"/>
        </w:rPr>
        <w:t>Group</w:t>
      </w:r>
      <w:r w:rsidRPr="003E335B">
        <w:rPr>
          <w:sz w:val="20"/>
          <w:szCs w:val="20"/>
        </w:rPr>
        <w:t xml:space="preserve"> in the healthcare business. The goodwill is not expected to be deductible </w:t>
      </w:r>
      <w:r w:rsidR="006D777B">
        <w:rPr>
          <w:sz w:val="20"/>
          <w:szCs w:val="20"/>
        </w:rPr>
        <w:t>for tax purposes. All of the $5</w:t>
      </w:r>
      <w:r w:rsidRPr="003E335B">
        <w:rPr>
          <w:sz w:val="20"/>
          <w:szCs w:val="20"/>
        </w:rPr>
        <w:t xml:space="preserve"> million was allocated to the </w:t>
      </w:r>
      <w:r w:rsidR="00A2711B">
        <w:rPr>
          <w:sz w:val="20"/>
          <w:szCs w:val="20"/>
        </w:rPr>
        <w:t>Group</w:t>
      </w:r>
      <w:r w:rsidR="00A2711B" w:rsidRPr="003E335B">
        <w:rPr>
          <w:sz w:val="20"/>
          <w:szCs w:val="20"/>
        </w:rPr>
        <w:t xml:space="preserve">’s </w:t>
      </w:r>
      <w:r w:rsidRPr="003E335B">
        <w:rPr>
          <w:sz w:val="20"/>
          <w:szCs w:val="20"/>
        </w:rPr>
        <w:t>Automotive, Consumer, Computer and Communication Infrastructure (“ACCI”) segment.</w:t>
      </w:r>
    </w:p>
    <w:p w:rsidR="008733F0" w:rsidRDefault="00337AB0">
      <w:pPr>
        <w:spacing w:line="240" w:lineRule="auto"/>
        <w:jc w:val="both"/>
        <w:rPr>
          <w:sz w:val="20"/>
          <w:szCs w:val="20"/>
        </w:rPr>
      </w:pPr>
      <w:r w:rsidRPr="003E335B">
        <w:rPr>
          <w:sz w:val="20"/>
          <w:szCs w:val="20"/>
        </w:rPr>
        <w:t xml:space="preserve">Immediately after this acquisition, the </w:t>
      </w:r>
      <w:r w:rsidR="00772A20" w:rsidRPr="003E335B">
        <w:rPr>
          <w:sz w:val="20"/>
          <w:szCs w:val="20"/>
        </w:rPr>
        <w:t>Group</w:t>
      </w:r>
      <w:r w:rsidRPr="003E335B">
        <w:rPr>
          <w:sz w:val="20"/>
          <w:szCs w:val="20"/>
        </w:rPr>
        <w:t xml:space="preserve"> increased its ownership in Veredus to 67% by acquiring new shares of the Company for a cash amount of $1 million. This transaction did not result in a change of control of Veredus and therefore has been accounted for as an equity transaction.</w:t>
      </w:r>
    </w:p>
    <w:p w:rsidR="00B423FB" w:rsidRDefault="00B423FB">
      <w:pPr>
        <w:spacing w:after="100" w:line="240" w:lineRule="auto"/>
        <w:rPr>
          <w:rFonts w:asciiTheme="minorHAnsi" w:eastAsia="Times New Roman" w:hAnsiTheme="minorHAnsi" w:cs="Arial"/>
          <w:b/>
          <w:smallCaps/>
          <w:color w:val="009CDD"/>
          <w:spacing w:val="5"/>
          <w:sz w:val="20"/>
          <w:szCs w:val="20"/>
          <w:lang w:bidi="en-US"/>
        </w:rPr>
      </w:pPr>
      <w:r>
        <w:rPr>
          <w:rFonts w:asciiTheme="minorHAnsi" w:hAnsiTheme="minorHAnsi"/>
          <w:sz w:val="20"/>
          <w:szCs w:val="20"/>
        </w:rPr>
        <w:br w:type="page"/>
      </w:r>
    </w:p>
    <w:p w:rsidR="00847BCE" w:rsidRPr="003E335B" w:rsidRDefault="00847BCE" w:rsidP="000D70EC">
      <w:pPr>
        <w:pStyle w:val="Title3"/>
        <w:spacing w:after="100" w:line="240" w:lineRule="auto"/>
        <w:rPr>
          <w:rFonts w:asciiTheme="minorHAnsi" w:hAnsiTheme="minorHAnsi"/>
          <w:sz w:val="20"/>
          <w:szCs w:val="20"/>
        </w:rPr>
      </w:pPr>
      <w:bookmarkStart w:id="145" w:name="_Toc300834238"/>
      <w:r w:rsidRPr="003E335B">
        <w:rPr>
          <w:rFonts w:asciiTheme="minorHAnsi" w:hAnsiTheme="minorHAnsi"/>
          <w:sz w:val="20"/>
          <w:szCs w:val="20"/>
        </w:rPr>
        <w:lastRenderedPageBreak/>
        <w:t>Property, plant and equipment</w:t>
      </w:r>
      <w:bookmarkEnd w:id="134"/>
      <w:bookmarkEnd w:id="136"/>
      <w:bookmarkEnd w:id="137"/>
      <w:r w:rsidRPr="003E335B">
        <w:rPr>
          <w:rFonts w:asciiTheme="minorHAnsi" w:hAnsiTheme="minorHAnsi"/>
          <w:sz w:val="20"/>
          <w:szCs w:val="20"/>
        </w:rPr>
        <w:t xml:space="preserve"> and intangible assets</w:t>
      </w:r>
      <w:bookmarkEnd w:id="138"/>
      <w:bookmarkEnd w:id="139"/>
      <w:bookmarkEnd w:id="140"/>
      <w:bookmarkEnd w:id="141"/>
      <w:bookmarkEnd w:id="142"/>
      <w:bookmarkEnd w:id="143"/>
      <w:bookmarkEnd w:id="144"/>
      <w:bookmarkEnd w:id="145"/>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Changes in the net carrying amount of property, plant and equipment and intangible assets are detailed as follows:</w:t>
      </w:r>
    </w:p>
    <w:tbl>
      <w:tblPr>
        <w:tblW w:w="10098" w:type="dxa"/>
        <w:tblLayout w:type="fixed"/>
        <w:tblLook w:val="04A0"/>
      </w:tblPr>
      <w:tblGrid>
        <w:gridCol w:w="6408"/>
        <w:gridCol w:w="1845"/>
        <w:gridCol w:w="1845"/>
      </w:tblGrid>
      <w:tr w:rsidR="00847BCE" w:rsidRPr="003E335B" w:rsidTr="00C52B12">
        <w:tc>
          <w:tcPr>
            <w:tcW w:w="6408" w:type="dxa"/>
            <w:tcBorders>
              <w:bottom w:val="single" w:sz="18" w:space="0" w:color="auto"/>
            </w:tcBorders>
            <w:vAlign w:val="bottom"/>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1845" w:type="dxa"/>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Property, plant and equipment</w:t>
            </w:r>
          </w:p>
        </w:tc>
        <w:tc>
          <w:tcPr>
            <w:tcW w:w="1845" w:type="dxa"/>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Intangible assets</w:t>
            </w:r>
          </w:p>
        </w:tc>
      </w:tr>
      <w:tr w:rsidR="00847BCE" w:rsidRPr="003E335B" w:rsidTr="00C52B12">
        <w:tc>
          <w:tcPr>
            <w:tcW w:w="6408" w:type="dxa"/>
            <w:tcBorders>
              <w:top w:val="single" w:sz="18" w:space="0" w:color="auto"/>
            </w:tcBorders>
            <w:shd w:val="clear" w:color="auto" w:fill="B8CCE4" w:themeFill="accent1" w:themeFillTint="66"/>
            <w:vAlign w:val="center"/>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Net book value as at January 1, 201</w:t>
            </w:r>
            <w:r w:rsidR="00BE357C" w:rsidRPr="003E335B">
              <w:rPr>
                <w:rFonts w:asciiTheme="minorHAnsi" w:hAnsiTheme="minorHAnsi" w:cs="Arial"/>
                <w:b/>
                <w:sz w:val="20"/>
                <w:szCs w:val="20"/>
              </w:rPr>
              <w:t>1</w:t>
            </w:r>
            <w:r w:rsidRPr="003E335B">
              <w:rPr>
                <w:rFonts w:asciiTheme="minorHAnsi" w:hAnsiTheme="minorHAnsi" w:cs="Arial"/>
                <w:b/>
                <w:sz w:val="20"/>
                <w:szCs w:val="20"/>
              </w:rPr>
              <w:t xml:space="preserve"> (audited)</w:t>
            </w:r>
          </w:p>
        </w:tc>
        <w:tc>
          <w:tcPr>
            <w:tcW w:w="1845" w:type="dxa"/>
            <w:tcBorders>
              <w:top w:val="single" w:sz="18" w:space="0" w:color="auto"/>
            </w:tcBorders>
            <w:shd w:val="clear" w:color="auto" w:fill="B8CCE4" w:themeFill="accent1" w:themeFillTint="66"/>
            <w:vAlign w:val="center"/>
            <w:hideMark/>
          </w:tcPr>
          <w:p w:rsidR="00847BCE" w:rsidRPr="003E335B" w:rsidRDefault="00EE488E"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4,117</w:t>
            </w:r>
          </w:p>
        </w:tc>
        <w:tc>
          <w:tcPr>
            <w:tcW w:w="1845" w:type="dxa"/>
            <w:tcBorders>
              <w:top w:val="single" w:sz="18" w:space="0" w:color="auto"/>
            </w:tcBorders>
            <w:shd w:val="clear" w:color="auto" w:fill="B8CCE4" w:themeFill="accent1" w:themeFillTint="66"/>
            <w:vAlign w:val="center"/>
            <w:hideMark/>
          </w:tcPr>
          <w:p w:rsidR="00847BCE" w:rsidRPr="003E335B" w:rsidRDefault="00EE488E"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2,060</w:t>
            </w:r>
          </w:p>
        </w:tc>
      </w:tr>
      <w:tr w:rsidR="00847BCE" w:rsidRPr="003E335B" w:rsidTr="00C52B12">
        <w:tc>
          <w:tcPr>
            <w:tcW w:w="6408" w:type="dxa"/>
            <w:shd w:val="clear" w:color="auto" w:fill="auto"/>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Additions</w:t>
            </w:r>
          </w:p>
        </w:tc>
        <w:tc>
          <w:tcPr>
            <w:tcW w:w="1845" w:type="dxa"/>
            <w:shd w:val="clear" w:color="auto" w:fill="auto"/>
            <w:vAlign w:val="center"/>
          </w:tcPr>
          <w:p w:rsidR="00847BCE" w:rsidRPr="003E335B" w:rsidRDefault="007D1EF2" w:rsidP="000D70EC">
            <w:pPr>
              <w:spacing w:after="100" w:line="240" w:lineRule="auto"/>
              <w:jc w:val="right"/>
              <w:rPr>
                <w:rFonts w:asciiTheme="minorHAnsi" w:hAnsiTheme="minorHAnsi" w:cs="Arial"/>
                <w:sz w:val="20"/>
                <w:szCs w:val="20"/>
              </w:rPr>
            </w:pPr>
            <w:r>
              <w:rPr>
                <w:rFonts w:asciiTheme="minorHAnsi" w:hAnsiTheme="minorHAnsi" w:cs="Arial"/>
                <w:sz w:val="20"/>
                <w:szCs w:val="20"/>
              </w:rPr>
              <w:t>813</w:t>
            </w:r>
          </w:p>
        </w:tc>
        <w:tc>
          <w:tcPr>
            <w:tcW w:w="1845" w:type="dxa"/>
            <w:shd w:val="clear" w:color="auto" w:fill="auto"/>
            <w:vAlign w:val="center"/>
          </w:tcPr>
          <w:p w:rsidR="00847BCE" w:rsidRPr="003E335B" w:rsidRDefault="007D1EF2" w:rsidP="000D70EC">
            <w:pPr>
              <w:spacing w:after="100" w:line="240" w:lineRule="auto"/>
              <w:jc w:val="right"/>
              <w:rPr>
                <w:rFonts w:asciiTheme="minorHAnsi" w:hAnsiTheme="minorHAnsi" w:cs="Arial"/>
                <w:sz w:val="20"/>
                <w:szCs w:val="20"/>
              </w:rPr>
            </w:pPr>
            <w:r>
              <w:rPr>
                <w:rFonts w:asciiTheme="minorHAnsi" w:hAnsiTheme="minorHAnsi" w:cs="Arial"/>
                <w:sz w:val="20"/>
                <w:szCs w:val="20"/>
              </w:rPr>
              <w:t>354</w:t>
            </w:r>
          </w:p>
        </w:tc>
      </w:tr>
      <w:tr w:rsidR="007D1EF2" w:rsidRPr="003E335B" w:rsidTr="00C52B12">
        <w:tc>
          <w:tcPr>
            <w:tcW w:w="6408" w:type="dxa"/>
            <w:shd w:val="clear" w:color="auto" w:fill="B8CCE4" w:themeFill="accent1" w:themeFillTint="66"/>
            <w:hideMark/>
          </w:tcPr>
          <w:p w:rsidR="007D1EF2" w:rsidRPr="003E335B" w:rsidRDefault="007D1EF2" w:rsidP="000D70EC">
            <w:pPr>
              <w:spacing w:after="100" w:line="240" w:lineRule="auto"/>
              <w:rPr>
                <w:rFonts w:asciiTheme="minorHAnsi" w:hAnsiTheme="minorHAnsi" w:cs="Arial"/>
                <w:sz w:val="20"/>
                <w:szCs w:val="20"/>
              </w:rPr>
            </w:pPr>
            <w:r>
              <w:rPr>
                <w:rFonts w:asciiTheme="minorHAnsi" w:hAnsiTheme="minorHAnsi" w:cs="Arial"/>
                <w:sz w:val="20"/>
                <w:szCs w:val="20"/>
              </w:rPr>
              <w:t>Business combination</w:t>
            </w:r>
          </w:p>
        </w:tc>
        <w:tc>
          <w:tcPr>
            <w:tcW w:w="1845" w:type="dxa"/>
            <w:shd w:val="clear" w:color="auto" w:fill="B8CCE4" w:themeFill="accent1" w:themeFillTint="66"/>
            <w:vAlign w:val="center"/>
          </w:tcPr>
          <w:p w:rsidR="007D1EF2" w:rsidRPr="003E335B" w:rsidRDefault="007D1EF2" w:rsidP="000D70EC">
            <w:pPr>
              <w:spacing w:after="100" w:line="240" w:lineRule="auto"/>
              <w:jc w:val="right"/>
              <w:rPr>
                <w:rFonts w:asciiTheme="minorHAnsi" w:hAnsiTheme="minorHAnsi" w:cs="Arial"/>
                <w:sz w:val="20"/>
                <w:szCs w:val="20"/>
              </w:rPr>
            </w:pPr>
            <w:r>
              <w:rPr>
                <w:rFonts w:asciiTheme="minorHAnsi" w:hAnsiTheme="minorHAnsi" w:cs="Arial"/>
                <w:sz w:val="20"/>
                <w:szCs w:val="20"/>
              </w:rPr>
              <w:t>1</w:t>
            </w:r>
          </w:p>
        </w:tc>
        <w:tc>
          <w:tcPr>
            <w:tcW w:w="1845" w:type="dxa"/>
            <w:shd w:val="clear" w:color="auto" w:fill="B8CCE4" w:themeFill="accent1" w:themeFillTint="66"/>
            <w:vAlign w:val="center"/>
          </w:tcPr>
          <w:p w:rsidR="007D1EF2" w:rsidRPr="003E335B" w:rsidRDefault="00A2711B" w:rsidP="00A2711B">
            <w:pPr>
              <w:spacing w:after="100" w:line="240" w:lineRule="auto"/>
              <w:jc w:val="right"/>
              <w:rPr>
                <w:rFonts w:asciiTheme="minorHAnsi" w:hAnsiTheme="minorHAnsi" w:cs="Arial"/>
                <w:sz w:val="20"/>
                <w:szCs w:val="20"/>
              </w:rPr>
            </w:pPr>
            <w:r>
              <w:rPr>
                <w:rFonts w:asciiTheme="minorHAnsi" w:hAnsiTheme="minorHAnsi" w:cs="Arial"/>
                <w:sz w:val="20"/>
                <w:szCs w:val="20"/>
              </w:rPr>
              <w:t>15</w:t>
            </w:r>
          </w:p>
        </w:tc>
      </w:tr>
      <w:tr w:rsidR="00847BCE" w:rsidRPr="003E335B" w:rsidTr="00C52B12">
        <w:tc>
          <w:tcPr>
            <w:tcW w:w="6408" w:type="dxa"/>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Disposals</w:t>
            </w:r>
          </w:p>
        </w:tc>
        <w:tc>
          <w:tcPr>
            <w:tcW w:w="1845" w:type="dxa"/>
            <w:vAlign w:val="center"/>
          </w:tcPr>
          <w:p w:rsidR="00847BCE" w:rsidRPr="003E335B" w:rsidRDefault="007D1EF2" w:rsidP="000D70EC">
            <w:pPr>
              <w:spacing w:after="100" w:line="240" w:lineRule="auto"/>
              <w:jc w:val="right"/>
              <w:rPr>
                <w:rFonts w:asciiTheme="minorHAnsi" w:hAnsiTheme="minorHAnsi" w:cs="Arial"/>
                <w:sz w:val="20"/>
                <w:szCs w:val="20"/>
              </w:rPr>
            </w:pPr>
            <w:r>
              <w:rPr>
                <w:rFonts w:asciiTheme="minorHAnsi" w:hAnsiTheme="minorHAnsi" w:cs="Arial"/>
                <w:sz w:val="20"/>
                <w:szCs w:val="20"/>
              </w:rPr>
              <w:t>(23)</w:t>
            </w:r>
          </w:p>
        </w:tc>
        <w:tc>
          <w:tcPr>
            <w:tcW w:w="1845" w:type="dxa"/>
            <w:vAlign w:val="center"/>
          </w:tcPr>
          <w:p w:rsidR="00847BCE" w:rsidRPr="003E335B" w:rsidRDefault="007D1EF2"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r>
      <w:tr w:rsidR="00847BCE" w:rsidRPr="003E335B" w:rsidTr="00C52B12">
        <w:tc>
          <w:tcPr>
            <w:tcW w:w="640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Impairment</w:t>
            </w:r>
          </w:p>
        </w:tc>
        <w:tc>
          <w:tcPr>
            <w:tcW w:w="1845" w:type="dxa"/>
            <w:shd w:val="clear" w:color="auto" w:fill="B8CCE4" w:themeFill="accent1" w:themeFillTint="66"/>
            <w:vAlign w:val="center"/>
          </w:tcPr>
          <w:p w:rsidR="00847BCE" w:rsidRPr="003E335B" w:rsidRDefault="007D1EF2" w:rsidP="000D70EC">
            <w:pPr>
              <w:spacing w:after="100" w:line="240" w:lineRule="auto"/>
              <w:jc w:val="right"/>
              <w:rPr>
                <w:rFonts w:asciiTheme="minorHAnsi" w:hAnsiTheme="minorHAnsi" w:cs="Arial"/>
                <w:sz w:val="20"/>
                <w:szCs w:val="20"/>
              </w:rPr>
            </w:pPr>
            <w:r>
              <w:rPr>
                <w:rFonts w:asciiTheme="minorHAnsi" w:hAnsiTheme="minorHAnsi" w:cs="Arial"/>
                <w:sz w:val="20"/>
                <w:szCs w:val="20"/>
              </w:rPr>
              <w:t>(7)</w:t>
            </w:r>
          </w:p>
        </w:tc>
        <w:tc>
          <w:tcPr>
            <w:tcW w:w="1845" w:type="dxa"/>
            <w:shd w:val="clear" w:color="auto" w:fill="B8CCE4" w:themeFill="accent1" w:themeFillTint="66"/>
            <w:vAlign w:val="center"/>
          </w:tcPr>
          <w:p w:rsidR="00847BCE" w:rsidRPr="003E335B" w:rsidRDefault="007D1EF2" w:rsidP="000D70EC">
            <w:pPr>
              <w:spacing w:after="100" w:line="240" w:lineRule="auto"/>
              <w:jc w:val="right"/>
              <w:rPr>
                <w:rFonts w:asciiTheme="minorHAnsi" w:hAnsiTheme="minorHAnsi" w:cs="Arial"/>
                <w:sz w:val="20"/>
                <w:szCs w:val="20"/>
              </w:rPr>
            </w:pPr>
            <w:r>
              <w:rPr>
                <w:rFonts w:asciiTheme="minorHAnsi" w:hAnsiTheme="minorHAnsi" w:cs="Arial"/>
                <w:sz w:val="20"/>
                <w:szCs w:val="20"/>
              </w:rPr>
              <w:t>(50)</w:t>
            </w:r>
          </w:p>
        </w:tc>
      </w:tr>
      <w:tr w:rsidR="00847BCE" w:rsidRPr="003E335B" w:rsidTr="00C52B12">
        <w:tc>
          <w:tcPr>
            <w:tcW w:w="6408" w:type="dxa"/>
            <w:hideMark/>
          </w:tcPr>
          <w:p w:rsidR="00847BCE" w:rsidRPr="003E335B" w:rsidRDefault="003E18C0"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 xml:space="preserve">Amortization / </w:t>
            </w:r>
            <w:r w:rsidR="00847BCE" w:rsidRPr="003E335B">
              <w:rPr>
                <w:rFonts w:asciiTheme="minorHAnsi" w:hAnsiTheme="minorHAnsi" w:cs="Arial"/>
                <w:sz w:val="20"/>
                <w:szCs w:val="20"/>
              </w:rPr>
              <w:t>Depreciation expense</w:t>
            </w:r>
          </w:p>
        </w:tc>
        <w:tc>
          <w:tcPr>
            <w:tcW w:w="1845" w:type="dxa"/>
            <w:vAlign w:val="center"/>
          </w:tcPr>
          <w:p w:rsidR="00847BCE" w:rsidRPr="003E335B" w:rsidRDefault="007D1EF2" w:rsidP="000D70EC">
            <w:pPr>
              <w:spacing w:after="100" w:line="240" w:lineRule="auto"/>
              <w:jc w:val="right"/>
              <w:rPr>
                <w:rFonts w:asciiTheme="minorHAnsi" w:hAnsiTheme="minorHAnsi" w:cs="Arial"/>
                <w:sz w:val="20"/>
                <w:szCs w:val="20"/>
              </w:rPr>
            </w:pPr>
            <w:r>
              <w:rPr>
                <w:rFonts w:asciiTheme="minorHAnsi" w:hAnsiTheme="minorHAnsi" w:cs="Arial"/>
                <w:sz w:val="20"/>
                <w:szCs w:val="20"/>
              </w:rPr>
              <w:t>(548)</w:t>
            </w:r>
          </w:p>
        </w:tc>
        <w:tc>
          <w:tcPr>
            <w:tcW w:w="1845" w:type="dxa"/>
            <w:vAlign w:val="center"/>
          </w:tcPr>
          <w:p w:rsidR="00847BCE" w:rsidRPr="003E335B" w:rsidRDefault="007D1EF2" w:rsidP="000D70EC">
            <w:pPr>
              <w:spacing w:after="100" w:line="240" w:lineRule="auto"/>
              <w:jc w:val="right"/>
              <w:rPr>
                <w:rFonts w:asciiTheme="minorHAnsi" w:hAnsiTheme="minorHAnsi" w:cs="Arial"/>
                <w:sz w:val="20"/>
                <w:szCs w:val="20"/>
              </w:rPr>
            </w:pPr>
            <w:r>
              <w:rPr>
                <w:rFonts w:asciiTheme="minorHAnsi" w:hAnsiTheme="minorHAnsi" w:cs="Arial"/>
                <w:sz w:val="20"/>
                <w:szCs w:val="20"/>
              </w:rPr>
              <w:t>(252)</w:t>
            </w:r>
          </w:p>
        </w:tc>
      </w:tr>
      <w:tr w:rsidR="00847BCE" w:rsidRPr="003E335B" w:rsidTr="00C52B12">
        <w:tc>
          <w:tcPr>
            <w:tcW w:w="640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Foreign currency translation</w:t>
            </w:r>
          </w:p>
        </w:tc>
        <w:tc>
          <w:tcPr>
            <w:tcW w:w="1845" w:type="dxa"/>
            <w:tcBorders>
              <w:bottom w:val="single" w:sz="18" w:space="0" w:color="auto"/>
            </w:tcBorders>
            <w:shd w:val="clear" w:color="auto" w:fill="B8CCE4" w:themeFill="accent1" w:themeFillTint="66"/>
            <w:vAlign w:val="center"/>
          </w:tcPr>
          <w:p w:rsidR="00847BCE" w:rsidRPr="003E335B" w:rsidRDefault="007D1EF2" w:rsidP="000D70EC">
            <w:pPr>
              <w:spacing w:after="100" w:line="240" w:lineRule="auto"/>
              <w:jc w:val="right"/>
              <w:rPr>
                <w:rFonts w:asciiTheme="minorHAnsi" w:hAnsiTheme="minorHAnsi" w:cs="Arial"/>
                <w:sz w:val="20"/>
                <w:szCs w:val="20"/>
              </w:rPr>
            </w:pPr>
            <w:r>
              <w:rPr>
                <w:rFonts w:asciiTheme="minorHAnsi" w:hAnsiTheme="minorHAnsi" w:cs="Arial"/>
                <w:sz w:val="20"/>
                <w:szCs w:val="20"/>
              </w:rPr>
              <w:t>213</w:t>
            </w:r>
          </w:p>
        </w:tc>
        <w:tc>
          <w:tcPr>
            <w:tcW w:w="1845" w:type="dxa"/>
            <w:tcBorders>
              <w:bottom w:val="single" w:sz="18" w:space="0" w:color="auto"/>
            </w:tcBorders>
            <w:shd w:val="clear" w:color="auto" w:fill="B8CCE4" w:themeFill="accent1" w:themeFillTint="66"/>
            <w:vAlign w:val="center"/>
          </w:tcPr>
          <w:p w:rsidR="00847BCE" w:rsidRPr="003E335B" w:rsidRDefault="00A2711B"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r>
      <w:tr w:rsidR="00847BCE" w:rsidRPr="003E335B" w:rsidTr="00C52B12">
        <w:tc>
          <w:tcPr>
            <w:tcW w:w="6408" w:type="dxa"/>
            <w:tcBorders>
              <w:bottom w:val="single" w:sz="18" w:space="0" w:color="auto"/>
            </w:tcBorders>
            <w:vAlign w:val="center"/>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Net book value as at Ju</w:t>
            </w:r>
            <w:r w:rsidR="00BE357C" w:rsidRPr="003E335B">
              <w:rPr>
                <w:rFonts w:asciiTheme="minorHAnsi" w:hAnsiTheme="minorHAnsi" w:cs="Arial"/>
                <w:b/>
                <w:sz w:val="20"/>
                <w:szCs w:val="20"/>
              </w:rPr>
              <w:t>ly 2, 2011</w:t>
            </w:r>
            <w:r w:rsidRPr="003E335B">
              <w:rPr>
                <w:rFonts w:asciiTheme="minorHAnsi" w:hAnsiTheme="minorHAnsi" w:cs="Arial"/>
                <w:b/>
                <w:sz w:val="20"/>
                <w:szCs w:val="20"/>
              </w:rPr>
              <w:t xml:space="preserve"> (unaudited)</w:t>
            </w:r>
          </w:p>
        </w:tc>
        <w:tc>
          <w:tcPr>
            <w:tcW w:w="1845" w:type="dxa"/>
            <w:tcBorders>
              <w:top w:val="single" w:sz="18" w:space="0" w:color="auto"/>
              <w:bottom w:val="single" w:sz="18" w:space="0" w:color="auto"/>
            </w:tcBorders>
            <w:vAlign w:val="center"/>
          </w:tcPr>
          <w:p w:rsidR="00847BCE" w:rsidRPr="003E335B" w:rsidRDefault="00B514F1"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4,566</w:t>
            </w:r>
          </w:p>
        </w:tc>
        <w:tc>
          <w:tcPr>
            <w:tcW w:w="1845" w:type="dxa"/>
            <w:tcBorders>
              <w:top w:val="single" w:sz="18" w:space="0" w:color="auto"/>
              <w:bottom w:val="single" w:sz="18" w:space="0" w:color="auto"/>
            </w:tcBorders>
            <w:vAlign w:val="center"/>
          </w:tcPr>
          <w:p w:rsidR="00847BCE" w:rsidRPr="003E335B" w:rsidRDefault="00B514F1"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2,127</w:t>
            </w:r>
          </w:p>
        </w:tc>
      </w:tr>
    </w:tbl>
    <w:p w:rsidR="00B514F1" w:rsidRPr="003E335B" w:rsidRDefault="00B514F1" w:rsidP="000D70EC">
      <w:pPr>
        <w:spacing w:after="100" w:line="240" w:lineRule="auto"/>
        <w:rPr>
          <w:rFonts w:asciiTheme="minorHAnsi" w:eastAsia="Times New Roman" w:hAnsiTheme="minorHAnsi" w:cs="Arial"/>
          <w:b/>
          <w:smallCaps/>
          <w:color w:val="009CDD"/>
          <w:spacing w:val="5"/>
          <w:sz w:val="20"/>
          <w:szCs w:val="20"/>
          <w:lang w:bidi="en-US"/>
        </w:rPr>
      </w:pPr>
      <w:bookmarkStart w:id="146" w:name="_Toc265058923"/>
      <w:bookmarkStart w:id="147" w:name="_Toc258421340"/>
      <w:bookmarkStart w:id="148" w:name="_Toc257898980"/>
      <w:bookmarkStart w:id="149" w:name="_Ref254712024"/>
      <w:bookmarkStart w:id="150" w:name="_Toc266868915"/>
      <w:bookmarkStart w:id="151" w:name="_Toc266869131"/>
      <w:bookmarkStart w:id="152" w:name="_Toc266885166"/>
      <w:bookmarkStart w:id="153" w:name="_Toc266886352"/>
      <w:bookmarkStart w:id="154" w:name="_Toc269825396"/>
      <w:bookmarkStart w:id="155" w:name="_Toc297204178"/>
    </w:p>
    <w:p w:rsidR="00847BCE" w:rsidRPr="003E335B" w:rsidRDefault="00847BCE" w:rsidP="000D70EC">
      <w:pPr>
        <w:pStyle w:val="Title3"/>
        <w:spacing w:after="100" w:line="240" w:lineRule="auto"/>
        <w:rPr>
          <w:rFonts w:asciiTheme="minorHAnsi" w:hAnsiTheme="minorHAnsi"/>
          <w:sz w:val="20"/>
          <w:szCs w:val="20"/>
        </w:rPr>
      </w:pPr>
      <w:bookmarkStart w:id="156" w:name="_Toc300834239"/>
      <w:r w:rsidRPr="003E335B">
        <w:rPr>
          <w:rFonts w:asciiTheme="minorHAnsi" w:hAnsiTheme="minorHAnsi"/>
          <w:sz w:val="20"/>
          <w:szCs w:val="20"/>
        </w:rPr>
        <w:t>Goodwill</w:t>
      </w:r>
      <w:bookmarkEnd w:id="146"/>
      <w:bookmarkEnd w:id="147"/>
      <w:bookmarkEnd w:id="148"/>
      <w:bookmarkEnd w:id="149"/>
      <w:bookmarkEnd w:id="150"/>
      <w:bookmarkEnd w:id="151"/>
      <w:bookmarkEnd w:id="152"/>
      <w:bookmarkEnd w:id="153"/>
      <w:bookmarkEnd w:id="154"/>
      <w:bookmarkEnd w:id="155"/>
      <w:bookmarkEnd w:id="156"/>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Goodwill split by operating segment are as follows:</w:t>
      </w:r>
    </w:p>
    <w:tbl>
      <w:tblPr>
        <w:tblW w:w="5000" w:type="pct"/>
        <w:tblLayout w:type="fixed"/>
        <w:tblLook w:val="04A0"/>
      </w:tblPr>
      <w:tblGrid>
        <w:gridCol w:w="2557"/>
        <w:gridCol w:w="1505"/>
        <w:gridCol w:w="1507"/>
        <w:gridCol w:w="1505"/>
        <w:gridCol w:w="1507"/>
        <w:gridCol w:w="1505"/>
      </w:tblGrid>
      <w:tr w:rsidR="00E71775" w:rsidRPr="003E335B" w:rsidTr="00E71775">
        <w:tc>
          <w:tcPr>
            <w:tcW w:w="1268" w:type="pct"/>
            <w:tcBorders>
              <w:bottom w:val="single" w:sz="18" w:space="0" w:color="auto"/>
            </w:tcBorders>
            <w:vAlign w:val="bottom"/>
            <w:hideMark/>
          </w:tcPr>
          <w:p w:rsidR="00E71775" w:rsidRPr="003E335B" w:rsidRDefault="00E71775"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746" w:type="pct"/>
            <w:tcBorders>
              <w:bottom w:val="single" w:sz="18" w:space="0" w:color="auto"/>
            </w:tcBorders>
            <w:vAlign w:val="center"/>
            <w:hideMark/>
          </w:tcPr>
          <w:p w:rsidR="00E71775" w:rsidRPr="003E335B" w:rsidRDefault="00E71775"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 xml:space="preserve">Automotive Consumer Computer and </w:t>
            </w:r>
            <w:proofErr w:type="spellStart"/>
            <w:r w:rsidRPr="003E335B">
              <w:rPr>
                <w:rFonts w:asciiTheme="minorHAnsi" w:hAnsiTheme="minorHAnsi" w:cs="Arial"/>
                <w:sz w:val="20"/>
                <w:szCs w:val="20"/>
              </w:rPr>
              <w:t>Communi-cation</w:t>
            </w:r>
            <w:proofErr w:type="spellEnd"/>
            <w:r w:rsidRPr="003E335B">
              <w:rPr>
                <w:rFonts w:asciiTheme="minorHAnsi" w:hAnsiTheme="minorHAnsi" w:cs="Arial"/>
                <w:sz w:val="20"/>
                <w:szCs w:val="20"/>
              </w:rPr>
              <w:t xml:space="preserve"> Infrastructure (“ACCI”)</w:t>
            </w:r>
          </w:p>
        </w:tc>
        <w:tc>
          <w:tcPr>
            <w:tcW w:w="747" w:type="pct"/>
            <w:tcBorders>
              <w:bottom w:val="single" w:sz="18" w:space="0" w:color="auto"/>
            </w:tcBorders>
            <w:vAlign w:val="center"/>
            <w:hideMark/>
          </w:tcPr>
          <w:p w:rsidR="00E71775" w:rsidRPr="003E335B" w:rsidRDefault="00E71775"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Wireless sector (“Wireless”)</w:t>
            </w:r>
          </w:p>
        </w:tc>
        <w:tc>
          <w:tcPr>
            <w:tcW w:w="746" w:type="pct"/>
            <w:tcBorders>
              <w:bottom w:val="single" w:sz="18" w:space="0" w:color="auto"/>
            </w:tcBorders>
            <w:vAlign w:val="center"/>
          </w:tcPr>
          <w:p w:rsidR="00E71775" w:rsidRPr="003E335B" w:rsidRDefault="00E71775"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Analog, MEMS and Micro-controllers (“AMM”)</w:t>
            </w:r>
          </w:p>
        </w:tc>
        <w:tc>
          <w:tcPr>
            <w:tcW w:w="747" w:type="pct"/>
            <w:tcBorders>
              <w:bottom w:val="single" w:sz="18" w:space="0" w:color="auto"/>
            </w:tcBorders>
            <w:vAlign w:val="center"/>
            <w:hideMark/>
          </w:tcPr>
          <w:p w:rsidR="00E71775" w:rsidRPr="003E335B" w:rsidRDefault="00E71775"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Industrial and Multi segment Sector (“IMS”)</w:t>
            </w:r>
          </w:p>
        </w:tc>
        <w:tc>
          <w:tcPr>
            <w:tcW w:w="747" w:type="pct"/>
            <w:tcBorders>
              <w:bottom w:val="single" w:sz="18" w:space="0" w:color="auto"/>
            </w:tcBorders>
            <w:vAlign w:val="center"/>
            <w:hideMark/>
          </w:tcPr>
          <w:p w:rsidR="00E71775" w:rsidRPr="003E335B" w:rsidRDefault="00E71775"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Total</w:t>
            </w:r>
          </w:p>
        </w:tc>
      </w:tr>
      <w:tr w:rsidR="00E71775" w:rsidRPr="003E335B" w:rsidTr="00E71775">
        <w:tc>
          <w:tcPr>
            <w:tcW w:w="1268" w:type="pct"/>
            <w:tcBorders>
              <w:top w:val="single" w:sz="18" w:space="0" w:color="auto"/>
            </w:tcBorders>
            <w:vAlign w:val="center"/>
            <w:hideMark/>
          </w:tcPr>
          <w:p w:rsidR="00E71775" w:rsidRPr="003E335B" w:rsidRDefault="00E71775"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Balance at January 1, 2011 (audited)</w:t>
            </w:r>
          </w:p>
        </w:tc>
        <w:tc>
          <w:tcPr>
            <w:tcW w:w="746" w:type="pct"/>
            <w:tcBorders>
              <w:top w:val="single" w:sz="18" w:space="0" w:color="auto"/>
            </w:tcBorders>
            <w:vAlign w:val="center"/>
            <w:hideMark/>
          </w:tcPr>
          <w:p w:rsidR="00E71775" w:rsidRPr="003E335B" w:rsidRDefault="00E71775"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25</w:t>
            </w:r>
          </w:p>
        </w:tc>
        <w:tc>
          <w:tcPr>
            <w:tcW w:w="747" w:type="pct"/>
            <w:tcBorders>
              <w:top w:val="single" w:sz="18" w:space="0" w:color="auto"/>
            </w:tcBorders>
            <w:vAlign w:val="center"/>
            <w:hideMark/>
          </w:tcPr>
          <w:p w:rsidR="00E71775" w:rsidRPr="003E335B" w:rsidRDefault="00E71775"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877</w:t>
            </w:r>
          </w:p>
        </w:tc>
        <w:tc>
          <w:tcPr>
            <w:tcW w:w="746" w:type="pct"/>
            <w:tcBorders>
              <w:top w:val="single" w:sz="18" w:space="0" w:color="auto"/>
            </w:tcBorders>
            <w:vAlign w:val="center"/>
          </w:tcPr>
          <w:p w:rsidR="00E71775" w:rsidRPr="003E335B" w:rsidRDefault="00E71775"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70</w:t>
            </w:r>
          </w:p>
        </w:tc>
        <w:tc>
          <w:tcPr>
            <w:tcW w:w="747" w:type="pct"/>
            <w:tcBorders>
              <w:top w:val="single" w:sz="18" w:space="0" w:color="auto"/>
            </w:tcBorders>
            <w:vAlign w:val="center"/>
            <w:hideMark/>
          </w:tcPr>
          <w:p w:rsidR="00E71775" w:rsidRPr="003E335B" w:rsidRDefault="00E71775"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w:t>
            </w:r>
          </w:p>
        </w:tc>
        <w:tc>
          <w:tcPr>
            <w:tcW w:w="747" w:type="pct"/>
            <w:tcBorders>
              <w:top w:val="single" w:sz="18" w:space="0" w:color="auto"/>
            </w:tcBorders>
            <w:vAlign w:val="center"/>
            <w:hideMark/>
          </w:tcPr>
          <w:p w:rsidR="00E71775" w:rsidRPr="003E335B" w:rsidRDefault="00E71775"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972</w:t>
            </w:r>
          </w:p>
        </w:tc>
      </w:tr>
      <w:tr w:rsidR="00E71775" w:rsidRPr="003E335B" w:rsidTr="00E71775">
        <w:tc>
          <w:tcPr>
            <w:tcW w:w="1268" w:type="pct"/>
            <w:shd w:val="clear" w:color="auto" w:fill="B8CCE4" w:themeFill="accent1" w:themeFillTint="66"/>
            <w:hideMark/>
          </w:tcPr>
          <w:p w:rsidR="00E71775" w:rsidRPr="003E335B" w:rsidRDefault="00E71775"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Business combination</w:t>
            </w:r>
          </w:p>
        </w:tc>
        <w:tc>
          <w:tcPr>
            <w:tcW w:w="746" w:type="pct"/>
            <w:shd w:val="clear" w:color="auto" w:fill="B8CCE4" w:themeFill="accent1" w:themeFillTint="66"/>
            <w:vAlign w:val="center"/>
          </w:tcPr>
          <w:p w:rsidR="00E71775" w:rsidRPr="003E335B" w:rsidRDefault="00E71775"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5</w:t>
            </w:r>
          </w:p>
        </w:tc>
        <w:tc>
          <w:tcPr>
            <w:tcW w:w="747" w:type="pct"/>
            <w:shd w:val="clear" w:color="auto" w:fill="B8CCE4" w:themeFill="accent1" w:themeFillTint="66"/>
            <w:vAlign w:val="center"/>
          </w:tcPr>
          <w:p w:rsidR="00E71775" w:rsidRPr="003E335B" w:rsidRDefault="00E71775"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746" w:type="pct"/>
            <w:shd w:val="clear" w:color="auto" w:fill="B8CCE4" w:themeFill="accent1" w:themeFillTint="66"/>
            <w:vAlign w:val="center"/>
          </w:tcPr>
          <w:p w:rsidR="00E71775" w:rsidRPr="003E335B" w:rsidRDefault="00E71775"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747" w:type="pct"/>
            <w:shd w:val="clear" w:color="auto" w:fill="B8CCE4" w:themeFill="accent1" w:themeFillTint="66"/>
            <w:vAlign w:val="center"/>
          </w:tcPr>
          <w:p w:rsidR="00E71775" w:rsidRPr="003E335B" w:rsidRDefault="00E71775"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747" w:type="pct"/>
            <w:shd w:val="clear" w:color="auto" w:fill="B8CCE4" w:themeFill="accent1" w:themeFillTint="66"/>
            <w:vAlign w:val="center"/>
          </w:tcPr>
          <w:p w:rsidR="00E71775" w:rsidRPr="003E335B" w:rsidRDefault="00E71775"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5</w:t>
            </w:r>
          </w:p>
        </w:tc>
      </w:tr>
      <w:tr w:rsidR="00E71775" w:rsidRPr="003E335B" w:rsidTr="00E71775">
        <w:tc>
          <w:tcPr>
            <w:tcW w:w="1268" w:type="pct"/>
            <w:shd w:val="clear" w:color="auto" w:fill="auto"/>
            <w:hideMark/>
          </w:tcPr>
          <w:p w:rsidR="00E71775" w:rsidRPr="003E335B" w:rsidRDefault="00E71775"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Foreign currency translation</w:t>
            </w:r>
          </w:p>
        </w:tc>
        <w:tc>
          <w:tcPr>
            <w:tcW w:w="746" w:type="pct"/>
            <w:tcBorders>
              <w:bottom w:val="single" w:sz="18" w:space="0" w:color="auto"/>
            </w:tcBorders>
            <w:shd w:val="clear" w:color="auto" w:fill="auto"/>
            <w:vAlign w:val="center"/>
          </w:tcPr>
          <w:p w:rsidR="00E71775" w:rsidRPr="003E335B" w:rsidRDefault="00E71775"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747" w:type="pct"/>
            <w:tcBorders>
              <w:bottom w:val="single" w:sz="18" w:space="0" w:color="auto"/>
            </w:tcBorders>
            <w:shd w:val="clear" w:color="auto" w:fill="auto"/>
            <w:vAlign w:val="center"/>
          </w:tcPr>
          <w:p w:rsidR="00E71775" w:rsidRPr="003E335B" w:rsidRDefault="00E71775"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10</w:t>
            </w:r>
          </w:p>
        </w:tc>
        <w:tc>
          <w:tcPr>
            <w:tcW w:w="746" w:type="pct"/>
            <w:tcBorders>
              <w:bottom w:val="single" w:sz="18" w:space="0" w:color="auto"/>
            </w:tcBorders>
            <w:shd w:val="clear" w:color="auto" w:fill="auto"/>
            <w:vAlign w:val="center"/>
          </w:tcPr>
          <w:p w:rsidR="00E71775" w:rsidRPr="003E335B" w:rsidRDefault="00E71775"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5</w:t>
            </w:r>
          </w:p>
        </w:tc>
        <w:tc>
          <w:tcPr>
            <w:tcW w:w="747" w:type="pct"/>
            <w:tcBorders>
              <w:bottom w:val="single" w:sz="18" w:space="0" w:color="auto"/>
            </w:tcBorders>
            <w:shd w:val="clear" w:color="auto" w:fill="auto"/>
            <w:vAlign w:val="center"/>
          </w:tcPr>
          <w:p w:rsidR="00E71775" w:rsidRPr="003E335B" w:rsidRDefault="00E71775"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c>
          <w:tcPr>
            <w:tcW w:w="747" w:type="pct"/>
            <w:tcBorders>
              <w:bottom w:val="single" w:sz="18" w:space="0" w:color="auto"/>
            </w:tcBorders>
            <w:shd w:val="clear" w:color="auto" w:fill="auto"/>
            <w:vAlign w:val="center"/>
          </w:tcPr>
          <w:p w:rsidR="00E71775" w:rsidRPr="003E335B" w:rsidRDefault="00E71775"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15</w:t>
            </w:r>
          </w:p>
        </w:tc>
      </w:tr>
      <w:tr w:rsidR="00E71775" w:rsidRPr="003E335B" w:rsidTr="00E71775">
        <w:tc>
          <w:tcPr>
            <w:tcW w:w="1268" w:type="pct"/>
            <w:tcBorders>
              <w:bottom w:val="single" w:sz="18" w:space="0" w:color="auto"/>
            </w:tcBorders>
            <w:shd w:val="clear" w:color="auto" w:fill="B8CCE4" w:themeFill="accent1" w:themeFillTint="66"/>
            <w:vAlign w:val="center"/>
            <w:hideMark/>
          </w:tcPr>
          <w:p w:rsidR="00E71775" w:rsidRPr="003E335B" w:rsidRDefault="00E71775"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Balance at July 2, 2011</w:t>
            </w:r>
            <w:r w:rsidR="00A2711B">
              <w:rPr>
                <w:rFonts w:asciiTheme="minorHAnsi" w:hAnsiTheme="minorHAnsi" w:cs="Arial"/>
                <w:b/>
                <w:sz w:val="20"/>
                <w:szCs w:val="20"/>
              </w:rPr>
              <w:t xml:space="preserve"> </w:t>
            </w:r>
            <w:r w:rsidRPr="003E335B">
              <w:rPr>
                <w:rFonts w:asciiTheme="minorHAnsi" w:hAnsiTheme="minorHAnsi" w:cs="Arial"/>
                <w:b/>
                <w:sz w:val="20"/>
                <w:szCs w:val="20"/>
              </w:rPr>
              <w:t>(unaudited)</w:t>
            </w:r>
          </w:p>
        </w:tc>
        <w:tc>
          <w:tcPr>
            <w:tcW w:w="746" w:type="pct"/>
            <w:tcBorders>
              <w:top w:val="single" w:sz="18" w:space="0" w:color="auto"/>
              <w:bottom w:val="single" w:sz="18" w:space="0" w:color="auto"/>
            </w:tcBorders>
            <w:shd w:val="clear" w:color="auto" w:fill="B8CCE4" w:themeFill="accent1" w:themeFillTint="66"/>
            <w:vAlign w:val="center"/>
          </w:tcPr>
          <w:p w:rsidR="00E71775" w:rsidRPr="003E335B" w:rsidRDefault="00E71775"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30</w:t>
            </w:r>
          </w:p>
        </w:tc>
        <w:tc>
          <w:tcPr>
            <w:tcW w:w="747" w:type="pct"/>
            <w:tcBorders>
              <w:top w:val="single" w:sz="18" w:space="0" w:color="auto"/>
              <w:bottom w:val="single" w:sz="18" w:space="0" w:color="auto"/>
            </w:tcBorders>
            <w:shd w:val="clear" w:color="auto" w:fill="B8CCE4" w:themeFill="accent1" w:themeFillTint="66"/>
            <w:vAlign w:val="center"/>
          </w:tcPr>
          <w:p w:rsidR="00E71775" w:rsidRPr="003E335B" w:rsidRDefault="00E71775"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887</w:t>
            </w:r>
          </w:p>
        </w:tc>
        <w:tc>
          <w:tcPr>
            <w:tcW w:w="746" w:type="pct"/>
            <w:tcBorders>
              <w:top w:val="single" w:sz="18" w:space="0" w:color="auto"/>
              <w:bottom w:val="single" w:sz="18" w:space="0" w:color="auto"/>
            </w:tcBorders>
            <w:shd w:val="clear" w:color="auto" w:fill="B8CCE4" w:themeFill="accent1" w:themeFillTint="66"/>
            <w:vAlign w:val="center"/>
          </w:tcPr>
          <w:p w:rsidR="00E71775" w:rsidRPr="003E335B" w:rsidRDefault="00E71775"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75</w:t>
            </w:r>
          </w:p>
        </w:tc>
        <w:tc>
          <w:tcPr>
            <w:tcW w:w="747" w:type="pct"/>
            <w:tcBorders>
              <w:top w:val="single" w:sz="18" w:space="0" w:color="auto"/>
              <w:bottom w:val="single" w:sz="18" w:space="0" w:color="auto"/>
            </w:tcBorders>
            <w:shd w:val="clear" w:color="auto" w:fill="B8CCE4" w:themeFill="accent1" w:themeFillTint="66"/>
            <w:vAlign w:val="center"/>
          </w:tcPr>
          <w:p w:rsidR="00E71775" w:rsidRPr="003E335B" w:rsidRDefault="00E71775"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w:t>
            </w:r>
          </w:p>
        </w:tc>
        <w:tc>
          <w:tcPr>
            <w:tcW w:w="747" w:type="pct"/>
            <w:tcBorders>
              <w:top w:val="single" w:sz="18" w:space="0" w:color="auto"/>
              <w:bottom w:val="single" w:sz="18" w:space="0" w:color="auto"/>
            </w:tcBorders>
            <w:shd w:val="clear" w:color="auto" w:fill="B8CCE4" w:themeFill="accent1" w:themeFillTint="66"/>
            <w:vAlign w:val="center"/>
          </w:tcPr>
          <w:p w:rsidR="00E71775" w:rsidRPr="003E335B" w:rsidRDefault="00E71775"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992</w:t>
            </w:r>
          </w:p>
        </w:tc>
      </w:tr>
    </w:tbl>
    <w:p w:rsidR="00847BCE" w:rsidRPr="003E335B" w:rsidRDefault="00847BCE" w:rsidP="000D70EC">
      <w:pPr>
        <w:spacing w:after="100" w:line="240" w:lineRule="auto"/>
        <w:rPr>
          <w:rFonts w:asciiTheme="minorHAnsi" w:hAnsiTheme="minorHAnsi" w:cs="Arial"/>
          <w:sz w:val="20"/>
          <w:szCs w:val="20"/>
        </w:rPr>
      </w:pPr>
    </w:p>
    <w:p w:rsidR="008733F0" w:rsidRDefault="006C6E98">
      <w:pPr>
        <w:autoSpaceDE w:val="0"/>
        <w:autoSpaceDN w:val="0"/>
        <w:adjustRightInd w:val="0"/>
        <w:spacing w:after="0" w:afterAutospacing="0" w:line="240" w:lineRule="auto"/>
        <w:rPr>
          <w:rFonts w:asciiTheme="minorHAnsi" w:hAnsiTheme="minorHAnsi" w:cs="Arial"/>
          <w:sz w:val="20"/>
          <w:szCs w:val="20"/>
        </w:rPr>
      </w:pPr>
      <w:r w:rsidRPr="006C6E98">
        <w:rPr>
          <w:rFonts w:asciiTheme="minorHAnsi" w:hAnsiTheme="minorHAnsi" w:cs="Arial"/>
          <w:sz w:val="20"/>
          <w:szCs w:val="20"/>
        </w:rPr>
        <w:t xml:space="preserve">Due to the significant decline in the Wireless business’ results, the </w:t>
      </w:r>
      <w:r w:rsidR="00A2711B">
        <w:rPr>
          <w:rFonts w:asciiTheme="minorHAnsi" w:hAnsiTheme="minorHAnsi" w:cs="Arial"/>
          <w:sz w:val="20"/>
          <w:szCs w:val="20"/>
        </w:rPr>
        <w:t>Group</w:t>
      </w:r>
      <w:r w:rsidRPr="006C6E98">
        <w:rPr>
          <w:rFonts w:asciiTheme="minorHAnsi" w:hAnsiTheme="minorHAnsi" w:cs="Arial"/>
          <w:sz w:val="20"/>
          <w:szCs w:val="20"/>
        </w:rPr>
        <w:t xml:space="preserve"> performed an impairment review </w:t>
      </w:r>
      <w:r w:rsidR="00A2711B">
        <w:rPr>
          <w:rFonts w:asciiTheme="minorHAnsi" w:hAnsiTheme="minorHAnsi" w:cs="Arial"/>
          <w:sz w:val="20"/>
          <w:szCs w:val="20"/>
        </w:rPr>
        <w:t>during the first half of</w:t>
      </w:r>
      <w:r w:rsidRPr="006C6E98">
        <w:rPr>
          <w:rFonts w:asciiTheme="minorHAnsi" w:hAnsiTheme="minorHAnsi" w:cs="Arial"/>
          <w:sz w:val="20"/>
          <w:szCs w:val="20"/>
        </w:rPr>
        <w:t xml:space="preserve"> 2011,</w:t>
      </w:r>
      <w:r w:rsidR="00A2711B">
        <w:rPr>
          <w:rFonts w:asciiTheme="minorHAnsi" w:hAnsiTheme="minorHAnsi" w:cs="Arial"/>
          <w:sz w:val="20"/>
          <w:szCs w:val="20"/>
        </w:rPr>
        <w:t xml:space="preserve"> </w:t>
      </w:r>
      <w:r w:rsidRPr="006C6E98">
        <w:rPr>
          <w:rFonts w:asciiTheme="minorHAnsi" w:hAnsiTheme="minorHAnsi" w:cs="Arial"/>
          <w:sz w:val="20"/>
          <w:szCs w:val="20"/>
        </w:rPr>
        <w:t xml:space="preserve">solely for this </w:t>
      </w:r>
      <w:r w:rsidR="00A2711B">
        <w:rPr>
          <w:rFonts w:asciiTheme="minorHAnsi" w:hAnsiTheme="minorHAnsi" w:cs="Arial"/>
          <w:sz w:val="20"/>
          <w:szCs w:val="20"/>
        </w:rPr>
        <w:t>cash generating</w:t>
      </w:r>
      <w:r w:rsidRPr="006C6E98">
        <w:rPr>
          <w:rFonts w:asciiTheme="minorHAnsi" w:hAnsiTheme="minorHAnsi" w:cs="Arial"/>
          <w:sz w:val="20"/>
          <w:szCs w:val="20"/>
        </w:rPr>
        <w:t xml:space="preserve"> unit. According to such review, the fair value of the Wireless business still exceeds its carrying value by </w:t>
      </w:r>
      <w:r w:rsidR="00490852">
        <w:rPr>
          <w:rFonts w:asciiTheme="minorHAnsi" w:hAnsiTheme="minorHAnsi" w:cs="Arial"/>
          <w:sz w:val="20"/>
          <w:szCs w:val="20"/>
        </w:rPr>
        <w:t>39</w:t>
      </w:r>
      <w:r w:rsidRPr="006C6E98">
        <w:rPr>
          <w:rFonts w:asciiTheme="minorHAnsi" w:hAnsiTheme="minorHAnsi" w:cs="Arial"/>
          <w:sz w:val="20"/>
          <w:szCs w:val="20"/>
        </w:rPr>
        <w:t>%. If there</w:t>
      </w:r>
      <w:r w:rsidR="00A2711B">
        <w:rPr>
          <w:rFonts w:asciiTheme="minorHAnsi" w:hAnsiTheme="minorHAnsi" w:cs="Arial"/>
          <w:sz w:val="20"/>
          <w:szCs w:val="20"/>
        </w:rPr>
        <w:t xml:space="preserve"> </w:t>
      </w:r>
      <w:r w:rsidRPr="006C6E98">
        <w:rPr>
          <w:rFonts w:asciiTheme="minorHAnsi" w:hAnsiTheme="minorHAnsi" w:cs="Arial"/>
          <w:sz w:val="20"/>
          <w:szCs w:val="20"/>
        </w:rPr>
        <w:t xml:space="preserve">continue to be further declines in demand for certain products or if the </w:t>
      </w:r>
      <w:r w:rsidR="00A2711B">
        <w:rPr>
          <w:rFonts w:asciiTheme="minorHAnsi" w:hAnsiTheme="minorHAnsi" w:cs="Arial"/>
          <w:sz w:val="20"/>
          <w:szCs w:val="20"/>
        </w:rPr>
        <w:t>Group</w:t>
      </w:r>
      <w:r w:rsidRPr="006C6E98">
        <w:rPr>
          <w:rFonts w:asciiTheme="minorHAnsi" w:hAnsiTheme="minorHAnsi" w:cs="Arial"/>
          <w:sz w:val="20"/>
          <w:szCs w:val="20"/>
        </w:rPr>
        <w:t>’s results fall short of its projected revenue, operating income</w:t>
      </w:r>
      <w:r w:rsidR="00A2711B">
        <w:rPr>
          <w:rFonts w:asciiTheme="minorHAnsi" w:hAnsiTheme="minorHAnsi" w:cs="Arial"/>
          <w:sz w:val="20"/>
          <w:szCs w:val="20"/>
        </w:rPr>
        <w:t xml:space="preserve"> </w:t>
      </w:r>
      <w:r w:rsidRPr="006C6E98">
        <w:rPr>
          <w:rFonts w:asciiTheme="minorHAnsi" w:hAnsiTheme="minorHAnsi" w:cs="Arial"/>
          <w:sz w:val="20"/>
          <w:szCs w:val="20"/>
        </w:rPr>
        <w:t xml:space="preserve">and cash flow forecasts for the remainder of 2011 or if the </w:t>
      </w:r>
      <w:r w:rsidR="00A2711B">
        <w:rPr>
          <w:rFonts w:asciiTheme="minorHAnsi" w:hAnsiTheme="minorHAnsi" w:cs="Arial"/>
          <w:sz w:val="20"/>
          <w:szCs w:val="20"/>
        </w:rPr>
        <w:t>Group</w:t>
      </w:r>
      <w:r w:rsidRPr="006C6E98">
        <w:rPr>
          <w:rFonts w:asciiTheme="minorHAnsi" w:hAnsiTheme="minorHAnsi" w:cs="Arial"/>
          <w:sz w:val="20"/>
          <w:szCs w:val="20"/>
        </w:rPr>
        <w:t xml:space="preserve"> is unable to meet future expectations or rebuild its technology and</w:t>
      </w:r>
      <w:r w:rsidR="00A2711B">
        <w:rPr>
          <w:rFonts w:asciiTheme="minorHAnsi" w:hAnsiTheme="minorHAnsi" w:cs="Arial"/>
          <w:sz w:val="20"/>
          <w:szCs w:val="20"/>
        </w:rPr>
        <w:t xml:space="preserve"> </w:t>
      </w:r>
      <w:r w:rsidRPr="006C6E98">
        <w:rPr>
          <w:rFonts w:asciiTheme="minorHAnsi" w:hAnsiTheme="minorHAnsi" w:cs="Arial"/>
          <w:sz w:val="20"/>
          <w:szCs w:val="20"/>
        </w:rPr>
        <w:t xml:space="preserve">product leadership while driving new product future revenue growth, the </w:t>
      </w:r>
      <w:r w:rsidR="00A2711B">
        <w:rPr>
          <w:rFonts w:asciiTheme="minorHAnsi" w:hAnsiTheme="minorHAnsi" w:cs="Arial"/>
          <w:sz w:val="20"/>
          <w:szCs w:val="20"/>
        </w:rPr>
        <w:t>Group</w:t>
      </w:r>
      <w:r w:rsidRPr="006C6E98">
        <w:rPr>
          <w:rFonts w:asciiTheme="minorHAnsi" w:hAnsiTheme="minorHAnsi" w:cs="Arial"/>
          <w:sz w:val="20"/>
          <w:szCs w:val="20"/>
        </w:rPr>
        <w:t>’s goodwill, intangible assets and other long lived assets</w:t>
      </w:r>
      <w:r w:rsidR="00A2711B">
        <w:rPr>
          <w:rFonts w:asciiTheme="minorHAnsi" w:hAnsiTheme="minorHAnsi" w:cs="Arial"/>
          <w:sz w:val="20"/>
          <w:szCs w:val="20"/>
        </w:rPr>
        <w:t xml:space="preserve"> </w:t>
      </w:r>
      <w:r w:rsidRPr="006C6E98">
        <w:rPr>
          <w:rFonts w:asciiTheme="minorHAnsi" w:hAnsiTheme="minorHAnsi" w:cs="Arial"/>
          <w:sz w:val="20"/>
          <w:szCs w:val="20"/>
        </w:rPr>
        <w:t>may be impaired.</w:t>
      </w:r>
      <w:r w:rsidR="006D0980">
        <w:rPr>
          <w:rFonts w:asciiTheme="minorHAnsi" w:hAnsiTheme="minorHAnsi" w:cs="Arial"/>
          <w:sz w:val="20"/>
          <w:szCs w:val="20"/>
        </w:rPr>
        <w:t xml:space="preserve"> An impairment could also be necessary on the ST-Ericsson related deferred tax assets if the tax planning strategies would not be sufficient. If the Group were to record an impairment, the charges might be material to the results of operations and its financial position</w:t>
      </w:r>
    </w:p>
    <w:p w:rsidR="00847BCE" w:rsidRPr="003E335B" w:rsidRDefault="00847BCE" w:rsidP="000D70EC">
      <w:pPr>
        <w:pStyle w:val="Title3"/>
        <w:spacing w:after="100" w:line="240" w:lineRule="auto"/>
        <w:rPr>
          <w:rFonts w:asciiTheme="minorHAnsi" w:hAnsiTheme="minorHAnsi"/>
          <w:sz w:val="20"/>
          <w:szCs w:val="20"/>
        </w:rPr>
      </w:pPr>
      <w:r w:rsidRPr="003E335B">
        <w:rPr>
          <w:rFonts w:asciiTheme="minorHAnsi" w:hAnsiTheme="minorHAnsi"/>
          <w:sz w:val="20"/>
          <w:szCs w:val="20"/>
        </w:rPr>
        <w:br w:type="page"/>
      </w:r>
      <w:bookmarkStart w:id="157" w:name="_Toc265058924"/>
      <w:bookmarkStart w:id="158" w:name="_Toc258421341"/>
      <w:bookmarkStart w:id="159" w:name="_Toc257898981"/>
      <w:bookmarkStart w:id="160" w:name="_Toc266868916"/>
      <w:bookmarkStart w:id="161" w:name="_Toc266869132"/>
      <w:bookmarkStart w:id="162" w:name="_Toc266885167"/>
      <w:bookmarkStart w:id="163" w:name="_Toc266886353"/>
      <w:bookmarkStart w:id="164" w:name="_Toc269825397"/>
      <w:bookmarkStart w:id="165" w:name="_Toc297204179"/>
      <w:bookmarkStart w:id="166" w:name="_Toc300834240"/>
      <w:r w:rsidRPr="003E335B">
        <w:rPr>
          <w:rFonts w:asciiTheme="minorHAnsi" w:hAnsiTheme="minorHAnsi"/>
          <w:sz w:val="20"/>
          <w:szCs w:val="20"/>
        </w:rPr>
        <w:lastRenderedPageBreak/>
        <w:t>Other financial assets and financial liabilities</w:t>
      </w:r>
      <w:bookmarkEnd w:id="157"/>
      <w:bookmarkEnd w:id="158"/>
      <w:bookmarkEnd w:id="159"/>
      <w:bookmarkEnd w:id="160"/>
      <w:bookmarkEnd w:id="161"/>
      <w:bookmarkEnd w:id="162"/>
      <w:bookmarkEnd w:id="163"/>
      <w:bookmarkEnd w:id="164"/>
      <w:bookmarkEnd w:id="165"/>
      <w:bookmarkEnd w:id="166"/>
    </w:p>
    <w:p w:rsidR="00847BCE" w:rsidRPr="003E335B" w:rsidRDefault="00847BCE" w:rsidP="000D70EC">
      <w:pPr>
        <w:spacing w:after="100" w:line="240" w:lineRule="auto"/>
        <w:rPr>
          <w:rFonts w:asciiTheme="minorHAnsi" w:hAnsiTheme="minorHAnsi" w:cs="Arial"/>
          <w:sz w:val="20"/>
          <w:szCs w:val="20"/>
        </w:rPr>
      </w:pPr>
    </w:p>
    <w:p w:rsidR="00847BCE" w:rsidRPr="003E335B" w:rsidRDefault="00847BCE" w:rsidP="000D70EC">
      <w:pPr>
        <w:pStyle w:val="Title4"/>
        <w:spacing w:before="0" w:after="100" w:line="240" w:lineRule="auto"/>
        <w:rPr>
          <w:rFonts w:asciiTheme="minorHAnsi" w:hAnsiTheme="minorHAnsi"/>
          <w:sz w:val="20"/>
          <w:szCs w:val="20"/>
        </w:rPr>
      </w:pPr>
      <w:bookmarkStart w:id="167" w:name="_Toc265058925"/>
      <w:bookmarkStart w:id="168" w:name="_Ref255315272"/>
      <w:r w:rsidRPr="003E335B">
        <w:rPr>
          <w:rFonts w:asciiTheme="minorHAnsi" w:hAnsiTheme="minorHAnsi"/>
          <w:sz w:val="20"/>
          <w:szCs w:val="20"/>
        </w:rPr>
        <w:t>Other financial assets</w:t>
      </w:r>
      <w:bookmarkEnd w:id="167"/>
      <w:bookmarkEnd w:id="168"/>
    </w:p>
    <w:tbl>
      <w:tblPr>
        <w:tblW w:w="10098" w:type="dxa"/>
        <w:tblLook w:val="04A0"/>
      </w:tblPr>
      <w:tblGrid>
        <w:gridCol w:w="5958"/>
        <w:gridCol w:w="2070"/>
        <w:gridCol w:w="2070"/>
      </w:tblGrid>
      <w:tr w:rsidR="00847BCE" w:rsidRPr="003E335B" w:rsidTr="00C52B12">
        <w:tc>
          <w:tcPr>
            <w:tcW w:w="5958" w:type="dxa"/>
            <w:vMerge w:val="restart"/>
            <w:vAlign w:val="bottom"/>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2070" w:type="dxa"/>
            <w:tcBorders>
              <w:bottom w:val="single" w:sz="18" w:space="0" w:color="auto"/>
            </w:tcBorders>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(unaudited)</w:t>
            </w:r>
          </w:p>
        </w:tc>
        <w:tc>
          <w:tcPr>
            <w:tcW w:w="2070" w:type="dxa"/>
            <w:tcBorders>
              <w:bottom w:val="single" w:sz="18" w:space="0" w:color="auto"/>
            </w:tcBorders>
          </w:tcPr>
          <w:p w:rsidR="00847BCE" w:rsidRPr="003E335B" w:rsidRDefault="00DC4940"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(audited)</w:t>
            </w:r>
          </w:p>
        </w:tc>
      </w:tr>
      <w:tr w:rsidR="00847BCE" w:rsidRPr="003E335B" w:rsidTr="00C52B12">
        <w:tc>
          <w:tcPr>
            <w:tcW w:w="0" w:type="auto"/>
            <w:vMerge/>
            <w:tcBorders>
              <w:bottom w:val="single" w:sz="18" w:space="0" w:color="auto"/>
            </w:tcBorders>
            <w:vAlign w:val="center"/>
            <w:hideMark/>
          </w:tcPr>
          <w:p w:rsidR="00847BCE" w:rsidRPr="003E335B" w:rsidRDefault="00847BCE" w:rsidP="000D70EC">
            <w:pPr>
              <w:spacing w:after="100" w:line="240" w:lineRule="auto"/>
              <w:rPr>
                <w:rFonts w:asciiTheme="minorHAnsi" w:hAnsiTheme="minorHAnsi" w:cs="Arial"/>
                <w:sz w:val="20"/>
                <w:szCs w:val="20"/>
              </w:rPr>
            </w:pPr>
          </w:p>
        </w:tc>
        <w:tc>
          <w:tcPr>
            <w:tcW w:w="2070" w:type="dxa"/>
            <w:tcBorders>
              <w:top w:val="single" w:sz="18" w:space="0" w:color="auto"/>
              <w:bottom w:val="single" w:sz="18" w:space="0" w:color="auto"/>
            </w:tcBorders>
            <w:hideMark/>
          </w:tcPr>
          <w:p w:rsidR="00847BCE" w:rsidRPr="003E335B" w:rsidRDefault="00BE357C"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July 2</w:t>
            </w:r>
            <w:r w:rsidR="00847BCE" w:rsidRPr="003E335B">
              <w:rPr>
                <w:rFonts w:asciiTheme="minorHAnsi" w:hAnsiTheme="minorHAnsi" w:cs="Arial"/>
                <w:sz w:val="20"/>
                <w:szCs w:val="20"/>
              </w:rPr>
              <w:t>, 201</w:t>
            </w:r>
            <w:r w:rsidRPr="003E335B">
              <w:rPr>
                <w:rFonts w:asciiTheme="minorHAnsi" w:hAnsiTheme="minorHAnsi" w:cs="Arial"/>
                <w:sz w:val="20"/>
                <w:szCs w:val="20"/>
              </w:rPr>
              <w:t>1</w:t>
            </w:r>
          </w:p>
        </w:tc>
        <w:tc>
          <w:tcPr>
            <w:tcW w:w="2070" w:type="dxa"/>
            <w:tcBorders>
              <w:top w:val="single" w:sz="18" w:space="0" w:color="auto"/>
              <w:bottom w:val="single" w:sz="18" w:space="0" w:color="auto"/>
            </w:tcBorders>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December 31, 20</w:t>
            </w:r>
            <w:r w:rsidR="00BE357C" w:rsidRPr="003E335B">
              <w:rPr>
                <w:rFonts w:asciiTheme="minorHAnsi" w:hAnsiTheme="minorHAnsi" w:cs="Arial"/>
                <w:sz w:val="20"/>
                <w:szCs w:val="20"/>
              </w:rPr>
              <w:t>10</w:t>
            </w:r>
          </w:p>
        </w:tc>
      </w:tr>
      <w:tr w:rsidR="00847BCE" w:rsidRPr="003E335B" w:rsidTr="00C52B12">
        <w:tc>
          <w:tcPr>
            <w:tcW w:w="5958" w:type="dxa"/>
            <w:tcBorders>
              <w:top w:val="single" w:sz="18" w:space="0" w:color="auto"/>
            </w:tcBorders>
            <w:shd w:val="clear" w:color="auto" w:fill="auto"/>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Other financial assets (including derivatives)</w:t>
            </w:r>
          </w:p>
        </w:tc>
        <w:tc>
          <w:tcPr>
            <w:tcW w:w="2070" w:type="dxa"/>
            <w:tcBorders>
              <w:top w:val="single" w:sz="18" w:space="0" w:color="auto"/>
            </w:tcBorders>
            <w:shd w:val="clear" w:color="auto" w:fill="auto"/>
          </w:tcPr>
          <w:p w:rsidR="00847BCE" w:rsidRPr="003E335B" w:rsidRDefault="00847BCE" w:rsidP="000D70EC">
            <w:pPr>
              <w:spacing w:after="100" w:line="240" w:lineRule="auto"/>
              <w:jc w:val="right"/>
              <w:rPr>
                <w:rFonts w:asciiTheme="minorHAnsi" w:hAnsiTheme="minorHAnsi" w:cs="Arial"/>
                <w:b/>
                <w:sz w:val="20"/>
                <w:szCs w:val="20"/>
              </w:rPr>
            </w:pPr>
          </w:p>
        </w:tc>
        <w:tc>
          <w:tcPr>
            <w:tcW w:w="2070" w:type="dxa"/>
            <w:tcBorders>
              <w:top w:val="single" w:sz="18" w:space="0" w:color="auto"/>
            </w:tcBorders>
            <w:shd w:val="clear" w:color="auto" w:fill="auto"/>
          </w:tcPr>
          <w:p w:rsidR="00847BCE" w:rsidRPr="003E335B" w:rsidRDefault="00847BCE" w:rsidP="000D70EC">
            <w:pPr>
              <w:spacing w:after="100" w:line="240" w:lineRule="auto"/>
              <w:jc w:val="right"/>
              <w:rPr>
                <w:rFonts w:asciiTheme="minorHAnsi" w:hAnsiTheme="minorHAnsi" w:cs="Arial"/>
                <w:b/>
                <w:sz w:val="20"/>
                <w:szCs w:val="20"/>
              </w:rPr>
            </w:pPr>
          </w:p>
        </w:tc>
      </w:tr>
      <w:tr w:rsidR="00847BCE" w:rsidRPr="003E335B" w:rsidTr="00C52B12">
        <w:tc>
          <w:tcPr>
            <w:tcW w:w="595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Other financial assets</w:t>
            </w:r>
          </w:p>
        </w:tc>
        <w:tc>
          <w:tcPr>
            <w:tcW w:w="2070" w:type="dxa"/>
            <w:shd w:val="clear" w:color="auto" w:fill="B8CCE4" w:themeFill="accent1" w:themeFillTint="66"/>
          </w:tcPr>
          <w:p w:rsidR="00847BCE" w:rsidRPr="003E335B" w:rsidRDefault="00847BCE" w:rsidP="000D70EC">
            <w:pPr>
              <w:spacing w:after="100" w:line="240" w:lineRule="auto"/>
              <w:jc w:val="right"/>
              <w:rPr>
                <w:rFonts w:asciiTheme="minorHAnsi" w:hAnsiTheme="minorHAnsi" w:cs="Arial"/>
                <w:b/>
                <w:sz w:val="20"/>
                <w:szCs w:val="20"/>
              </w:rPr>
            </w:pPr>
          </w:p>
        </w:tc>
        <w:tc>
          <w:tcPr>
            <w:tcW w:w="2070" w:type="dxa"/>
            <w:shd w:val="clear" w:color="auto" w:fill="B8CCE4" w:themeFill="accent1" w:themeFillTint="66"/>
          </w:tcPr>
          <w:p w:rsidR="00847BCE" w:rsidRPr="003E335B" w:rsidRDefault="00847BCE" w:rsidP="000D70EC">
            <w:pPr>
              <w:spacing w:after="100" w:line="240" w:lineRule="auto"/>
              <w:jc w:val="right"/>
              <w:rPr>
                <w:rFonts w:asciiTheme="minorHAnsi" w:hAnsiTheme="minorHAnsi" w:cs="Arial"/>
                <w:b/>
                <w:sz w:val="20"/>
                <w:szCs w:val="20"/>
              </w:rPr>
            </w:pPr>
          </w:p>
        </w:tc>
      </w:tr>
      <w:tr w:rsidR="00847BCE" w:rsidRPr="003E335B" w:rsidTr="00C52B12">
        <w:tc>
          <w:tcPr>
            <w:tcW w:w="5958" w:type="dxa"/>
            <w:shd w:val="clear" w:color="auto" w:fill="auto"/>
            <w:hideMark/>
          </w:tcPr>
          <w:p w:rsidR="00847BCE" w:rsidRPr="003E335B" w:rsidRDefault="00847BCE" w:rsidP="000D70EC">
            <w:pPr>
              <w:spacing w:after="100" w:line="240" w:lineRule="auto"/>
              <w:ind w:left="180"/>
              <w:rPr>
                <w:rFonts w:asciiTheme="minorHAnsi" w:hAnsiTheme="minorHAnsi" w:cs="Arial"/>
                <w:sz w:val="20"/>
                <w:szCs w:val="20"/>
              </w:rPr>
            </w:pPr>
            <w:r w:rsidRPr="003E335B">
              <w:rPr>
                <w:rFonts w:asciiTheme="minorHAnsi" w:hAnsiTheme="minorHAnsi" w:cs="Arial"/>
                <w:sz w:val="20"/>
                <w:szCs w:val="20"/>
              </w:rPr>
              <w:t>Available-for-sale investments – quoted debt and equity securities</w:t>
            </w:r>
          </w:p>
        </w:tc>
        <w:tc>
          <w:tcPr>
            <w:tcW w:w="2070" w:type="dxa"/>
            <w:shd w:val="clear" w:color="auto" w:fill="auto"/>
            <w:vAlign w:val="center"/>
          </w:tcPr>
          <w:p w:rsidR="00847BCE"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438</w:t>
            </w:r>
          </w:p>
        </w:tc>
        <w:tc>
          <w:tcPr>
            <w:tcW w:w="2070" w:type="dxa"/>
            <w:shd w:val="clear" w:color="auto" w:fill="auto"/>
            <w:vAlign w:val="center"/>
            <w:hideMark/>
          </w:tcPr>
          <w:p w:rsidR="00847BCE" w:rsidRPr="003E335B" w:rsidRDefault="00F05996" w:rsidP="000D70EC">
            <w:pPr>
              <w:spacing w:after="100" w:line="240" w:lineRule="auto"/>
              <w:jc w:val="right"/>
              <w:rPr>
                <w:rFonts w:asciiTheme="minorHAnsi" w:hAnsiTheme="minorHAnsi" w:cs="Arial"/>
                <w:sz w:val="20"/>
                <w:szCs w:val="20"/>
              </w:rPr>
            </w:pPr>
            <w:r>
              <w:rPr>
                <w:rFonts w:asciiTheme="minorHAnsi" w:hAnsiTheme="minorHAnsi" w:cs="Arial"/>
                <w:sz w:val="20"/>
                <w:szCs w:val="20"/>
              </w:rPr>
              <w:t>1,063</w:t>
            </w:r>
          </w:p>
        </w:tc>
      </w:tr>
      <w:tr w:rsidR="00847BCE" w:rsidRPr="003E335B" w:rsidTr="00C52B12">
        <w:tc>
          <w:tcPr>
            <w:tcW w:w="5958" w:type="dxa"/>
            <w:shd w:val="clear" w:color="auto" w:fill="B8CCE4" w:themeFill="accent1" w:themeFillTint="66"/>
            <w:hideMark/>
          </w:tcPr>
          <w:p w:rsidR="00847BCE" w:rsidRPr="003E335B" w:rsidRDefault="00847BCE" w:rsidP="000D70EC">
            <w:pPr>
              <w:spacing w:after="100" w:line="240" w:lineRule="auto"/>
              <w:ind w:left="180"/>
              <w:rPr>
                <w:rFonts w:asciiTheme="minorHAnsi" w:hAnsiTheme="minorHAnsi" w:cs="Arial"/>
                <w:sz w:val="20"/>
                <w:szCs w:val="20"/>
              </w:rPr>
            </w:pPr>
            <w:r w:rsidRPr="003E335B">
              <w:rPr>
                <w:rFonts w:asciiTheme="minorHAnsi" w:hAnsiTheme="minorHAnsi" w:cs="Arial"/>
                <w:sz w:val="20"/>
                <w:szCs w:val="20"/>
              </w:rPr>
              <w:t>Available-for-sale investments – unquoted debt securities</w:t>
            </w:r>
          </w:p>
        </w:tc>
        <w:tc>
          <w:tcPr>
            <w:tcW w:w="2070" w:type="dxa"/>
            <w:shd w:val="clear" w:color="auto" w:fill="B8CCE4" w:themeFill="accent1" w:themeFillTint="66"/>
            <w:vAlign w:val="center"/>
          </w:tcPr>
          <w:p w:rsidR="00847BCE"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2070" w:type="dxa"/>
            <w:shd w:val="clear" w:color="auto" w:fill="B8CCE4" w:themeFill="accent1" w:themeFillTint="66"/>
            <w:vAlign w:val="center"/>
            <w:hideMark/>
          </w:tcPr>
          <w:p w:rsidR="00847BCE" w:rsidRPr="003E335B" w:rsidRDefault="00F05996" w:rsidP="000D70EC">
            <w:pPr>
              <w:spacing w:after="100" w:line="240" w:lineRule="auto"/>
              <w:jc w:val="right"/>
              <w:rPr>
                <w:rFonts w:asciiTheme="minorHAnsi" w:hAnsiTheme="minorHAnsi" w:cs="Arial"/>
                <w:sz w:val="20"/>
                <w:szCs w:val="20"/>
              </w:rPr>
            </w:pPr>
            <w:r>
              <w:rPr>
                <w:rFonts w:asciiTheme="minorHAnsi" w:hAnsiTheme="minorHAnsi" w:cs="Arial"/>
                <w:sz w:val="20"/>
                <w:szCs w:val="20"/>
              </w:rPr>
              <w:t>72</w:t>
            </w:r>
          </w:p>
        </w:tc>
      </w:tr>
      <w:tr w:rsidR="00847BCE" w:rsidRPr="003E335B" w:rsidTr="00C52B12">
        <w:tc>
          <w:tcPr>
            <w:tcW w:w="5958" w:type="dxa"/>
            <w:shd w:val="clear" w:color="auto" w:fill="auto"/>
            <w:hideMark/>
          </w:tcPr>
          <w:p w:rsidR="00847BCE" w:rsidRPr="003E335B" w:rsidRDefault="00847BCE" w:rsidP="000D70EC">
            <w:pPr>
              <w:spacing w:after="100" w:line="240" w:lineRule="auto"/>
              <w:ind w:left="180"/>
              <w:rPr>
                <w:rFonts w:asciiTheme="minorHAnsi" w:hAnsiTheme="minorHAnsi" w:cs="Arial"/>
                <w:sz w:val="20"/>
                <w:szCs w:val="20"/>
              </w:rPr>
            </w:pPr>
            <w:r w:rsidRPr="003E335B">
              <w:rPr>
                <w:rFonts w:asciiTheme="minorHAnsi" w:hAnsiTheme="minorHAnsi" w:cs="Arial"/>
                <w:sz w:val="20"/>
                <w:szCs w:val="20"/>
              </w:rPr>
              <w:t>Available-for-sale investments – unquoted equity securities</w:t>
            </w:r>
          </w:p>
        </w:tc>
        <w:tc>
          <w:tcPr>
            <w:tcW w:w="2070" w:type="dxa"/>
            <w:shd w:val="clear" w:color="auto" w:fill="auto"/>
            <w:vAlign w:val="center"/>
          </w:tcPr>
          <w:p w:rsidR="00847BCE"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29</w:t>
            </w:r>
          </w:p>
        </w:tc>
        <w:tc>
          <w:tcPr>
            <w:tcW w:w="2070" w:type="dxa"/>
            <w:shd w:val="clear" w:color="auto" w:fill="auto"/>
            <w:vAlign w:val="center"/>
            <w:hideMark/>
          </w:tcPr>
          <w:p w:rsidR="00847BCE" w:rsidRPr="003E335B" w:rsidRDefault="00F05996" w:rsidP="000D70EC">
            <w:pPr>
              <w:spacing w:after="100" w:line="240" w:lineRule="auto"/>
              <w:jc w:val="right"/>
              <w:rPr>
                <w:rFonts w:asciiTheme="minorHAnsi" w:hAnsiTheme="minorHAnsi" w:cs="Arial"/>
                <w:sz w:val="20"/>
                <w:szCs w:val="20"/>
              </w:rPr>
            </w:pPr>
            <w:r>
              <w:rPr>
                <w:rFonts w:asciiTheme="minorHAnsi" w:hAnsiTheme="minorHAnsi" w:cs="Arial"/>
                <w:sz w:val="20"/>
                <w:szCs w:val="20"/>
              </w:rPr>
              <w:t>28</w:t>
            </w:r>
          </w:p>
        </w:tc>
      </w:tr>
      <w:tr w:rsidR="00847BCE" w:rsidRPr="003E335B" w:rsidTr="00C52B12">
        <w:tc>
          <w:tcPr>
            <w:tcW w:w="5958" w:type="dxa"/>
            <w:shd w:val="clear" w:color="auto" w:fill="B8CCE4" w:themeFill="accent1" w:themeFillTint="66"/>
            <w:hideMark/>
          </w:tcPr>
          <w:p w:rsidR="00847BCE" w:rsidRPr="003E335B" w:rsidRDefault="00847BCE" w:rsidP="000D70EC">
            <w:pPr>
              <w:spacing w:after="100" w:line="240" w:lineRule="auto"/>
              <w:ind w:left="180"/>
              <w:rPr>
                <w:rFonts w:asciiTheme="minorHAnsi" w:hAnsiTheme="minorHAnsi" w:cs="Arial"/>
                <w:sz w:val="20"/>
                <w:szCs w:val="20"/>
              </w:rPr>
            </w:pPr>
            <w:r w:rsidRPr="003E335B">
              <w:rPr>
                <w:rFonts w:asciiTheme="minorHAnsi" w:hAnsiTheme="minorHAnsi" w:cs="Arial"/>
                <w:sz w:val="20"/>
                <w:szCs w:val="20"/>
              </w:rPr>
              <w:t>Restricted cash</w:t>
            </w:r>
          </w:p>
        </w:tc>
        <w:tc>
          <w:tcPr>
            <w:tcW w:w="2070" w:type="dxa"/>
            <w:shd w:val="clear" w:color="auto" w:fill="B8CCE4" w:themeFill="accent1" w:themeFillTint="66"/>
            <w:vAlign w:val="center"/>
          </w:tcPr>
          <w:p w:rsidR="00847BCE"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8</w:t>
            </w:r>
          </w:p>
        </w:tc>
        <w:tc>
          <w:tcPr>
            <w:tcW w:w="2070" w:type="dxa"/>
            <w:shd w:val="clear" w:color="auto" w:fill="B8CCE4" w:themeFill="accent1" w:themeFillTint="66"/>
            <w:vAlign w:val="center"/>
            <w:hideMark/>
          </w:tcPr>
          <w:p w:rsidR="00847BCE" w:rsidRPr="003E335B" w:rsidRDefault="00F05996" w:rsidP="000D70EC">
            <w:pPr>
              <w:spacing w:after="100" w:line="240" w:lineRule="auto"/>
              <w:jc w:val="right"/>
              <w:rPr>
                <w:rFonts w:asciiTheme="minorHAnsi" w:hAnsiTheme="minorHAnsi" w:cs="Arial"/>
                <w:sz w:val="20"/>
                <w:szCs w:val="20"/>
              </w:rPr>
            </w:pPr>
            <w:r>
              <w:rPr>
                <w:rFonts w:asciiTheme="minorHAnsi" w:hAnsiTheme="minorHAnsi" w:cs="Arial"/>
                <w:sz w:val="20"/>
                <w:szCs w:val="20"/>
              </w:rPr>
              <w:t>7</w:t>
            </w:r>
          </w:p>
        </w:tc>
      </w:tr>
      <w:tr w:rsidR="007E1EB0" w:rsidRPr="003E335B" w:rsidTr="00C52B12">
        <w:tc>
          <w:tcPr>
            <w:tcW w:w="5958" w:type="dxa"/>
            <w:shd w:val="clear" w:color="auto" w:fill="auto"/>
            <w:hideMark/>
          </w:tcPr>
          <w:p w:rsidR="007E1EB0" w:rsidRPr="003E335B" w:rsidRDefault="007E1EB0" w:rsidP="000D70EC">
            <w:pPr>
              <w:spacing w:after="100" w:line="240" w:lineRule="auto"/>
              <w:ind w:left="180"/>
              <w:rPr>
                <w:rFonts w:asciiTheme="minorHAnsi" w:hAnsiTheme="minorHAnsi" w:cs="Arial"/>
                <w:sz w:val="20"/>
                <w:szCs w:val="20"/>
              </w:rPr>
            </w:pPr>
            <w:r w:rsidRPr="003E335B">
              <w:rPr>
                <w:rFonts w:asciiTheme="minorHAnsi" w:hAnsiTheme="minorHAnsi" w:cs="Arial"/>
                <w:sz w:val="20"/>
                <w:szCs w:val="20"/>
              </w:rPr>
              <w:t>Short-term deposits</w:t>
            </w:r>
          </w:p>
        </w:tc>
        <w:tc>
          <w:tcPr>
            <w:tcW w:w="2070" w:type="dxa"/>
            <w:shd w:val="clear" w:color="auto" w:fill="auto"/>
            <w:vAlign w:val="center"/>
          </w:tcPr>
          <w:p w:rsidR="007E1EB0"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151</w:t>
            </w:r>
          </w:p>
        </w:tc>
        <w:tc>
          <w:tcPr>
            <w:tcW w:w="2070" w:type="dxa"/>
            <w:shd w:val="clear" w:color="auto" w:fill="auto"/>
            <w:vAlign w:val="center"/>
            <w:hideMark/>
          </w:tcPr>
          <w:p w:rsidR="007E1EB0" w:rsidRPr="003E335B" w:rsidRDefault="00F05996" w:rsidP="000D70EC">
            <w:pPr>
              <w:spacing w:after="100" w:line="240" w:lineRule="auto"/>
              <w:jc w:val="right"/>
              <w:rPr>
                <w:rFonts w:asciiTheme="minorHAnsi" w:hAnsiTheme="minorHAnsi" w:cs="Arial"/>
                <w:sz w:val="20"/>
                <w:szCs w:val="20"/>
              </w:rPr>
            </w:pPr>
            <w:r>
              <w:rPr>
                <w:rFonts w:asciiTheme="minorHAnsi" w:hAnsiTheme="minorHAnsi" w:cs="Arial"/>
                <w:sz w:val="20"/>
                <w:szCs w:val="20"/>
              </w:rPr>
              <w:t>67</w:t>
            </w:r>
          </w:p>
        </w:tc>
      </w:tr>
      <w:tr w:rsidR="00847BCE" w:rsidRPr="003E335B" w:rsidTr="00C52B12">
        <w:tc>
          <w:tcPr>
            <w:tcW w:w="5958" w:type="dxa"/>
            <w:shd w:val="clear" w:color="auto" w:fill="B8CCE4" w:themeFill="accent1" w:themeFillTint="66"/>
            <w:hideMark/>
          </w:tcPr>
          <w:p w:rsidR="00847BCE" w:rsidRPr="003E335B" w:rsidRDefault="00847BCE" w:rsidP="000D70EC">
            <w:pPr>
              <w:spacing w:after="100" w:line="240" w:lineRule="auto"/>
              <w:ind w:left="180"/>
              <w:rPr>
                <w:rFonts w:asciiTheme="minorHAnsi" w:hAnsiTheme="minorHAnsi" w:cs="Arial"/>
                <w:sz w:val="20"/>
                <w:szCs w:val="20"/>
              </w:rPr>
            </w:pPr>
            <w:r w:rsidRPr="003E335B">
              <w:rPr>
                <w:rFonts w:asciiTheme="minorHAnsi" w:hAnsiTheme="minorHAnsi" w:cs="Arial"/>
                <w:sz w:val="20"/>
                <w:szCs w:val="20"/>
              </w:rPr>
              <w:t>Other</w:t>
            </w:r>
          </w:p>
        </w:tc>
        <w:tc>
          <w:tcPr>
            <w:tcW w:w="2070" w:type="dxa"/>
            <w:tcBorders>
              <w:bottom w:val="single" w:sz="18" w:space="0" w:color="auto"/>
            </w:tcBorders>
            <w:shd w:val="clear" w:color="auto" w:fill="B8CCE4" w:themeFill="accent1" w:themeFillTint="66"/>
            <w:vAlign w:val="center"/>
          </w:tcPr>
          <w:p w:rsidR="00847BCE"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8</w:t>
            </w:r>
          </w:p>
        </w:tc>
        <w:tc>
          <w:tcPr>
            <w:tcW w:w="2070" w:type="dxa"/>
            <w:tcBorders>
              <w:bottom w:val="single" w:sz="18" w:space="0" w:color="auto"/>
            </w:tcBorders>
            <w:shd w:val="clear" w:color="auto" w:fill="B8CCE4" w:themeFill="accent1" w:themeFillTint="66"/>
            <w:vAlign w:val="center"/>
            <w:hideMark/>
          </w:tcPr>
          <w:p w:rsidR="00847BCE" w:rsidRPr="003E335B" w:rsidRDefault="00F05996" w:rsidP="000D70EC">
            <w:pPr>
              <w:spacing w:after="100" w:line="240" w:lineRule="auto"/>
              <w:jc w:val="right"/>
              <w:rPr>
                <w:rFonts w:asciiTheme="minorHAnsi" w:hAnsiTheme="minorHAnsi" w:cs="Arial"/>
                <w:sz w:val="20"/>
                <w:szCs w:val="20"/>
              </w:rPr>
            </w:pPr>
            <w:r>
              <w:rPr>
                <w:rFonts w:asciiTheme="minorHAnsi" w:hAnsiTheme="minorHAnsi" w:cs="Arial"/>
                <w:sz w:val="20"/>
                <w:szCs w:val="20"/>
              </w:rPr>
              <w:t>8</w:t>
            </w:r>
          </w:p>
        </w:tc>
      </w:tr>
      <w:tr w:rsidR="00847BCE" w:rsidRPr="003E335B" w:rsidTr="00C52B12">
        <w:tc>
          <w:tcPr>
            <w:tcW w:w="5958" w:type="dxa"/>
            <w:shd w:val="clear" w:color="auto" w:fill="auto"/>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Total other financial assets</w:t>
            </w:r>
          </w:p>
        </w:tc>
        <w:tc>
          <w:tcPr>
            <w:tcW w:w="2070" w:type="dxa"/>
            <w:tcBorders>
              <w:top w:val="single" w:sz="18" w:space="0" w:color="auto"/>
            </w:tcBorders>
            <w:shd w:val="clear" w:color="auto" w:fill="auto"/>
            <w:vAlign w:val="center"/>
          </w:tcPr>
          <w:p w:rsidR="00847BCE" w:rsidRPr="003E335B" w:rsidRDefault="007D4F65"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634</w:t>
            </w:r>
          </w:p>
        </w:tc>
        <w:tc>
          <w:tcPr>
            <w:tcW w:w="2070" w:type="dxa"/>
            <w:tcBorders>
              <w:top w:val="single" w:sz="18" w:space="0" w:color="auto"/>
            </w:tcBorders>
            <w:shd w:val="clear" w:color="auto" w:fill="auto"/>
            <w:vAlign w:val="center"/>
            <w:hideMark/>
          </w:tcPr>
          <w:p w:rsidR="00847BCE" w:rsidRPr="003E335B" w:rsidRDefault="00F05996"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1,245</w:t>
            </w:r>
          </w:p>
        </w:tc>
      </w:tr>
      <w:tr w:rsidR="00847BCE" w:rsidRPr="003E335B" w:rsidTr="00C52B12">
        <w:tc>
          <w:tcPr>
            <w:tcW w:w="595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i/>
                <w:sz w:val="20"/>
                <w:szCs w:val="20"/>
              </w:rPr>
            </w:pPr>
            <w:r w:rsidRPr="003E335B">
              <w:rPr>
                <w:rFonts w:asciiTheme="minorHAnsi" w:hAnsiTheme="minorHAnsi" w:cs="Arial"/>
                <w:i/>
                <w:sz w:val="20"/>
                <w:szCs w:val="20"/>
              </w:rPr>
              <w:t>Current</w:t>
            </w:r>
          </w:p>
        </w:tc>
        <w:tc>
          <w:tcPr>
            <w:tcW w:w="2070" w:type="dxa"/>
            <w:shd w:val="clear" w:color="auto" w:fill="B8CCE4" w:themeFill="accent1" w:themeFillTint="66"/>
            <w:vAlign w:val="center"/>
          </w:tcPr>
          <w:p w:rsidR="00847BCE" w:rsidRPr="003E335B" w:rsidRDefault="007D4F65"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58</w:t>
            </w:r>
            <w:r w:rsidR="004443B0">
              <w:rPr>
                <w:rFonts w:asciiTheme="minorHAnsi" w:hAnsiTheme="minorHAnsi" w:cs="Arial"/>
                <w:i/>
                <w:sz w:val="20"/>
                <w:szCs w:val="20"/>
              </w:rPr>
              <w:t>0</w:t>
            </w:r>
          </w:p>
        </w:tc>
        <w:tc>
          <w:tcPr>
            <w:tcW w:w="2070" w:type="dxa"/>
            <w:shd w:val="clear" w:color="auto" w:fill="B8CCE4" w:themeFill="accent1" w:themeFillTint="66"/>
            <w:vAlign w:val="center"/>
            <w:hideMark/>
          </w:tcPr>
          <w:p w:rsidR="00847BCE" w:rsidRPr="003E335B" w:rsidRDefault="00F05996"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1,126</w:t>
            </w:r>
          </w:p>
        </w:tc>
      </w:tr>
      <w:tr w:rsidR="00847BCE" w:rsidRPr="003E335B" w:rsidTr="00C52B12">
        <w:tc>
          <w:tcPr>
            <w:tcW w:w="5958" w:type="dxa"/>
            <w:shd w:val="clear" w:color="auto" w:fill="auto"/>
            <w:hideMark/>
          </w:tcPr>
          <w:p w:rsidR="00847BCE" w:rsidRPr="003E335B" w:rsidRDefault="00847BCE" w:rsidP="000D70EC">
            <w:pPr>
              <w:spacing w:after="100" w:line="240" w:lineRule="auto"/>
              <w:rPr>
                <w:rFonts w:asciiTheme="minorHAnsi" w:hAnsiTheme="minorHAnsi" w:cs="Arial"/>
                <w:i/>
                <w:sz w:val="20"/>
                <w:szCs w:val="20"/>
              </w:rPr>
            </w:pPr>
            <w:r w:rsidRPr="003E335B">
              <w:rPr>
                <w:rFonts w:asciiTheme="minorHAnsi" w:hAnsiTheme="minorHAnsi" w:cs="Arial"/>
                <w:i/>
                <w:sz w:val="20"/>
                <w:szCs w:val="20"/>
              </w:rPr>
              <w:t>Non-current</w:t>
            </w:r>
          </w:p>
        </w:tc>
        <w:tc>
          <w:tcPr>
            <w:tcW w:w="2070" w:type="dxa"/>
            <w:shd w:val="clear" w:color="auto" w:fill="auto"/>
            <w:vAlign w:val="center"/>
          </w:tcPr>
          <w:p w:rsidR="00847BCE" w:rsidRPr="003E335B" w:rsidRDefault="004443B0"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54</w:t>
            </w:r>
          </w:p>
        </w:tc>
        <w:tc>
          <w:tcPr>
            <w:tcW w:w="2070" w:type="dxa"/>
            <w:shd w:val="clear" w:color="auto" w:fill="auto"/>
            <w:vAlign w:val="center"/>
            <w:hideMark/>
          </w:tcPr>
          <w:p w:rsidR="00847BCE" w:rsidRPr="003E335B" w:rsidRDefault="00F05996"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119</w:t>
            </w:r>
          </w:p>
        </w:tc>
      </w:tr>
      <w:tr w:rsidR="00847BCE" w:rsidRPr="003E335B" w:rsidTr="00C52B12">
        <w:tc>
          <w:tcPr>
            <w:tcW w:w="595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Derivative financial instruments</w:t>
            </w:r>
          </w:p>
        </w:tc>
        <w:tc>
          <w:tcPr>
            <w:tcW w:w="2070" w:type="dxa"/>
            <w:shd w:val="clear" w:color="auto" w:fill="B8CCE4" w:themeFill="accent1" w:themeFillTint="66"/>
          </w:tcPr>
          <w:p w:rsidR="00847BCE" w:rsidRPr="003E335B" w:rsidRDefault="00847BCE" w:rsidP="000D70EC">
            <w:pPr>
              <w:spacing w:after="100" w:line="240" w:lineRule="auto"/>
              <w:jc w:val="right"/>
              <w:rPr>
                <w:rFonts w:asciiTheme="minorHAnsi" w:hAnsiTheme="minorHAnsi" w:cs="Arial"/>
                <w:b/>
                <w:sz w:val="20"/>
                <w:szCs w:val="20"/>
              </w:rPr>
            </w:pPr>
          </w:p>
        </w:tc>
        <w:tc>
          <w:tcPr>
            <w:tcW w:w="2070" w:type="dxa"/>
            <w:shd w:val="clear" w:color="auto" w:fill="B8CCE4" w:themeFill="accent1" w:themeFillTint="66"/>
          </w:tcPr>
          <w:p w:rsidR="00847BCE" w:rsidRPr="003E335B" w:rsidRDefault="00847BCE" w:rsidP="000D70EC">
            <w:pPr>
              <w:spacing w:after="100" w:line="240" w:lineRule="auto"/>
              <w:jc w:val="right"/>
              <w:rPr>
                <w:rFonts w:asciiTheme="minorHAnsi" w:hAnsiTheme="minorHAnsi" w:cs="Arial"/>
                <w:b/>
                <w:sz w:val="20"/>
                <w:szCs w:val="20"/>
              </w:rPr>
            </w:pPr>
          </w:p>
        </w:tc>
      </w:tr>
      <w:tr w:rsidR="00847BCE" w:rsidRPr="003E335B" w:rsidTr="00C52B12">
        <w:tc>
          <w:tcPr>
            <w:tcW w:w="5958" w:type="dxa"/>
            <w:shd w:val="clear" w:color="auto" w:fill="auto"/>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Cash flow hedges</w:t>
            </w:r>
          </w:p>
        </w:tc>
        <w:tc>
          <w:tcPr>
            <w:tcW w:w="2070" w:type="dxa"/>
            <w:shd w:val="clear" w:color="auto" w:fill="auto"/>
          </w:tcPr>
          <w:p w:rsidR="00847BCE" w:rsidRPr="003E335B" w:rsidRDefault="00847BCE" w:rsidP="000D70EC">
            <w:pPr>
              <w:spacing w:after="100" w:line="240" w:lineRule="auto"/>
              <w:jc w:val="right"/>
              <w:rPr>
                <w:rFonts w:asciiTheme="minorHAnsi" w:hAnsiTheme="minorHAnsi" w:cs="Arial"/>
                <w:sz w:val="20"/>
                <w:szCs w:val="20"/>
              </w:rPr>
            </w:pPr>
          </w:p>
        </w:tc>
        <w:tc>
          <w:tcPr>
            <w:tcW w:w="2070" w:type="dxa"/>
            <w:shd w:val="clear" w:color="auto" w:fill="auto"/>
          </w:tcPr>
          <w:p w:rsidR="00847BCE" w:rsidRPr="003E335B" w:rsidRDefault="00847BCE" w:rsidP="000D70EC">
            <w:pPr>
              <w:spacing w:after="100" w:line="240" w:lineRule="auto"/>
              <w:jc w:val="right"/>
              <w:rPr>
                <w:rFonts w:asciiTheme="minorHAnsi" w:hAnsiTheme="minorHAnsi" w:cs="Arial"/>
                <w:sz w:val="20"/>
                <w:szCs w:val="20"/>
              </w:rPr>
            </w:pPr>
          </w:p>
        </w:tc>
      </w:tr>
      <w:tr w:rsidR="00847BCE" w:rsidRPr="003E335B" w:rsidTr="00C52B12">
        <w:tc>
          <w:tcPr>
            <w:tcW w:w="5958" w:type="dxa"/>
            <w:shd w:val="clear" w:color="auto" w:fill="B8CCE4" w:themeFill="accent1" w:themeFillTint="66"/>
            <w:hideMark/>
          </w:tcPr>
          <w:p w:rsidR="00847BCE" w:rsidRPr="003E335B" w:rsidRDefault="00847BCE" w:rsidP="000D70EC">
            <w:pPr>
              <w:spacing w:after="100" w:line="240" w:lineRule="auto"/>
              <w:ind w:left="180"/>
              <w:rPr>
                <w:rFonts w:asciiTheme="minorHAnsi" w:hAnsiTheme="minorHAnsi" w:cs="Arial"/>
                <w:sz w:val="20"/>
                <w:szCs w:val="20"/>
              </w:rPr>
            </w:pPr>
            <w:r w:rsidRPr="003E335B">
              <w:rPr>
                <w:rFonts w:asciiTheme="minorHAnsi" w:hAnsiTheme="minorHAnsi" w:cs="Arial"/>
                <w:sz w:val="20"/>
                <w:szCs w:val="20"/>
              </w:rPr>
              <w:t>Forward foreign exchange contracts</w:t>
            </w:r>
          </w:p>
        </w:tc>
        <w:tc>
          <w:tcPr>
            <w:tcW w:w="2070" w:type="dxa"/>
            <w:shd w:val="clear" w:color="auto" w:fill="B8CCE4" w:themeFill="accent1" w:themeFillTint="66"/>
          </w:tcPr>
          <w:p w:rsidR="00847BCE" w:rsidRPr="003E335B" w:rsidRDefault="004443B0" w:rsidP="000D70EC">
            <w:pPr>
              <w:spacing w:after="100" w:line="240" w:lineRule="auto"/>
              <w:jc w:val="right"/>
              <w:rPr>
                <w:rFonts w:asciiTheme="minorHAnsi" w:hAnsiTheme="minorHAnsi" w:cs="Arial"/>
                <w:sz w:val="20"/>
                <w:szCs w:val="20"/>
              </w:rPr>
            </w:pPr>
            <w:r>
              <w:rPr>
                <w:rFonts w:asciiTheme="minorHAnsi" w:hAnsiTheme="minorHAnsi" w:cs="Arial"/>
                <w:sz w:val="20"/>
                <w:szCs w:val="20"/>
              </w:rPr>
              <w:t>30</w:t>
            </w:r>
          </w:p>
        </w:tc>
        <w:tc>
          <w:tcPr>
            <w:tcW w:w="2070" w:type="dxa"/>
            <w:shd w:val="clear" w:color="auto" w:fill="B8CCE4" w:themeFill="accent1" w:themeFillTint="66"/>
            <w:hideMark/>
          </w:tcPr>
          <w:p w:rsidR="00847BCE" w:rsidRPr="003E335B" w:rsidRDefault="00F05996" w:rsidP="000D70EC">
            <w:pPr>
              <w:spacing w:after="100" w:line="240" w:lineRule="auto"/>
              <w:jc w:val="right"/>
              <w:rPr>
                <w:rFonts w:asciiTheme="minorHAnsi" w:hAnsiTheme="minorHAnsi" w:cs="Arial"/>
                <w:sz w:val="20"/>
                <w:szCs w:val="20"/>
              </w:rPr>
            </w:pPr>
            <w:r>
              <w:rPr>
                <w:rFonts w:asciiTheme="minorHAnsi" w:hAnsiTheme="minorHAnsi" w:cs="Arial"/>
                <w:sz w:val="20"/>
                <w:szCs w:val="20"/>
              </w:rPr>
              <w:t>24</w:t>
            </w:r>
          </w:p>
        </w:tc>
      </w:tr>
      <w:tr w:rsidR="00847BCE" w:rsidRPr="003E335B" w:rsidTr="00C52B12">
        <w:tc>
          <w:tcPr>
            <w:tcW w:w="5958" w:type="dxa"/>
            <w:shd w:val="clear" w:color="auto" w:fill="auto"/>
            <w:hideMark/>
          </w:tcPr>
          <w:p w:rsidR="00847BCE" w:rsidRPr="003E335B" w:rsidRDefault="00F05996" w:rsidP="000D70EC">
            <w:pPr>
              <w:spacing w:after="100" w:line="240" w:lineRule="auto"/>
              <w:ind w:left="180"/>
              <w:rPr>
                <w:rFonts w:asciiTheme="minorHAnsi" w:hAnsiTheme="minorHAnsi" w:cs="Arial"/>
                <w:sz w:val="20"/>
                <w:szCs w:val="20"/>
              </w:rPr>
            </w:pPr>
            <w:r>
              <w:rPr>
                <w:rFonts w:asciiTheme="minorHAnsi" w:hAnsiTheme="minorHAnsi" w:cs="Arial"/>
                <w:sz w:val="20"/>
                <w:szCs w:val="20"/>
              </w:rPr>
              <w:t>Currency collars</w:t>
            </w:r>
          </w:p>
        </w:tc>
        <w:tc>
          <w:tcPr>
            <w:tcW w:w="2070" w:type="dxa"/>
            <w:shd w:val="clear" w:color="auto" w:fill="auto"/>
          </w:tcPr>
          <w:p w:rsidR="00847BCE" w:rsidRPr="003E335B" w:rsidRDefault="004443B0" w:rsidP="000D70EC">
            <w:pPr>
              <w:spacing w:after="100" w:line="240" w:lineRule="auto"/>
              <w:jc w:val="right"/>
              <w:rPr>
                <w:rFonts w:asciiTheme="minorHAnsi" w:hAnsiTheme="minorHAnsi" w:cs="Arial"/>
                <w:sz w:val="20"/>
                <w:szCs w:val="20"/>
              </w:rPr>
            </w:pPr>
            <w:r>
              <w:rPr>
                <w:rFonts w:asciiTheme="minorHAnsi" w:hAnsiTheme="minorHAnsi" w:cs="Arial"/>
                <w:sz w:val="20"/>
                <w:szCs w:val="20"/>
              </w:rPr>
              <w:t>12</w:t>
            </w:r>
          </w:p>
        </w:tc>
        <w:tc>
          <w:tcPr>
            <w:tcW w:w="2070" w:type="dxa"/>
            <w:shd w:val="clear" w:color="auto" w:fill="auto"/>
            <w:hideMark/>
          </w:tcPr>
          <w:p w:rsidR="00847BCE" w:rsidRPr="003E335B" w:rsidRDefault="00F05996" w:rsidP="000D70EC">
            <w:pPr>
              <w:spacing w:after="100" w:line="240" w:lineRule="auto"/>
              <w:jc w:val="right"/>
              <w:rPr>
                <w:rFonts w:asciiTheme="minorHAnsi" w:hAnsiTheme="minorHAnsi" w:cs="Arial"/>
                <w:sz w:val="20"/>
                <w:szCs w:val="20"/>
              </w:rPr>
            </w:pPr>
            <w:r>
              <w:rPr>
                <w:rFonts w:asciiTheme="minorHAnsi" w:hAnsiTheme="minorHAnsi" w:cs="Arial"/>
                <w:sz w:val="20"/>
                <w:szCs w:val="20"/>
              </w:rPr>
              <w:t>2</w:t>
            </w:r>
          </w:p>
        </w:tc>
      </w:tr>
      <w:tr w:rsidR="004443B0" w:rsidRPr="003E335B" w:rsidTr="00C52B12">
        <w:tc>
          <w:tcPr>
            <w:tcW w:w="5958" w:type="dxa"/>
            <w:shd w:val="clear" w:color="auto" w:fill="B8CCE4" w:themeFill="accent1" w:themeFillTint="66"/>
            <w:hideMark/>
          </w:tcPr>
          <w:p w:rsidR="004443B0" w:rsidRPr="003E335B" w:rsidRDefault="004443B0" w:rsidP="000D70EC">
            <w:pPr>
              <w:spacing w:after="100" w:line="240" w:lineRule="auto"/>
              <w:ind w:left="180"/>
              <w:rPr>
                <w:rFonts w:asciiTheme="minorHAnsi" w:hAnsiTheme="minorHAnsi" w:cs="Arial"/>
                <w:sz w:val="20"/>
                <w:szCs w:val="20"/>
              </w:rPr>
            </w:pPr>
            <w:r>
              <w:rPr>
                <w:rFonts w:asciiTheme="minorHAnsi" w:hAnsiTheme="minorHAnsi" w:cs="Arial"/>
                <w:sz w:val="20"/>
                <w:szCs w:val="20"/>
              </w:rPr>
              <w:t>Purchased currency options</w:t>
            </w:r>
          </w:p>
        </w:tc>
        <w:tc>
          <w:tcPr>
            <w:tcW w:w="2070" w:type="dxa"/>
            <w:shd w:val="clear" w:color="auto" w:fill="B8CCE4" w:themeFill="accent1" w:themeFillTint="66"/>
          </w:tcPr>
          <w:p w:rsidR="004443B0" w:rsidRPr="003E335B" w:rsidRDefault="004443B0" w:rsidP="000D70EC">
            <w:pPr>
              <w:spacing w:after="100" w:line="240" w:lineRule="auto"/>
              <w:jc w:val="right"/>
              <w:rPr>
                <w:rFonts w:asciiTheme="minorHAnsi" w:hAnsiTheme="minorHAnsi" w:cs="Arial"/>
                <w:sz w:val="20"/>
                <w:szCs w:val="20"/>
              </w:rPr>
            </w:pPr>
            <w:r>
              <w:rPr>
                <w:rFonts w:asciiTheme="minorHAnsi" w:hAnsiTheme="minorHAnsi" w:cs="Arial"/>
                <w:sz w:val="20"/>
                <w:szCs w:val="20"/>
              </w:rPr>
              <w:t>2</w:t>
            </w:r>
          </w:p>
        </w:tc>
        <w:tc>
          <w:tcPr>
            <w:tcW w:w="2070" w:type="dxa"/>
            <w:shd w:val="clear" w:color="auto" w:fill="B8CCE4" w:themeFill="accent1" w:themeFillTint="66"/>
            <w:hideMark/>
          </w:tcPr>
          <w:p w:rsidR="004443B0" w:rsidRDefault="004443B0"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r>
      <w:tr w:rsidR="0077262A" w:rsidRPr="003E335B" w:rsidTr="00C52B12">
        <w:tc>
          <w:tcPr>
            <w:tcW w:w="5958" w:type="dxa"/>
            <w:shd w:val="clear" w:color="auto" w:fill="auto"/>
            <w:hideMark/>
          </w:tcPr>
          <w:p w:rsidR="0077262A" w:rsidRPr="003E335B" w:rsidRDefault="0077262A" w:rsidP="000D70EC">
            <w:pPr>
              <w:spacing w:after="100" w:line="240" w:lineRule="auto"/>
              <w:ind w:left="180"/>
              <w:rPr>
                <w:rFonts w:asciiTheme="minorHAnsi" w:hAnsiTheme="minorHAnsi" w:cs="Arial"/>
                <w:sz w:val="20"/>
                <w:szCs w:val="20"/>
              </w:rPr>
            </w:pPr>
            <w:r w:rsidRPr="003E335B">
              <w:rPr>
                <w:rFonts w:asciiTheme="minorHAnsi" w:hAnsiTheme="minorHAnsi" w:cs="Arial"/>
                <w:sz w:val="20"/>
                <w:szCs w:val="20"/>
              </w:rPr>
              <w:t>Contingent zero-cost collar</w:t>
            </w:r>
          </w:p>
        </w:tc>
        <w:tc>
          <w:tcPr>
            <w:tcW w:w="2070" w:type="dxa"/>
            <w:shd w:val="clear" w:color="auto" w:fill="auto"/>
          </w:tcPr>
          <w:p w:rsidR="0077262A" w:rsidRPr="003E335B" w:rsidRDefault="004443B0"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2070" w:type="dxa"/>
            <w:shd w:val="clear" w:color="auto" w:fill="auto"/>
            <w:hideMark/>
          </w:tcPr>
          <w:p w:rsidR="0077262A" w:rsidRPr="003E335B" w:rsidRDefault="00F05996" w:rsidP="000D70EC">
            <w:pPr>
              <w:spacing w:after="100" w:line="240" w:lineRule="auto"/>
              <w:jc w:val="right"/>
              <w:rPr>
                <w:rFonts w:asciiTheme="minorHAnsi" w:hAnsiTheme="minorHAnsi" w:cs="Arial"/>
                <w:sz w:val="20"/>
                <w:szCs w:val="20"/>
              </w:rPr>
            </w:pPr>
            <w:r>
              <w:rPr>
                <w:rFonts w:asciiTheme="minorHAnsi" w:hAnsiTheme="minorHAnsi" w:cs="Arial"/>
                <w:sz w:val="20"/>
                <w:szCs w:val="20"/>
              </w:rPr>
              <w:t>27</w:t>
            </w:r>
          </w:p>
        </w:tc>
      </w:tr>
      <w:tr w:rsidR="00847BCE" w:rsidRPr="003E335B" w:rsidTr="00C52B12">
        <w:tc>
          <w:tcPr>
            <w:tcW w:w="595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Derivatives not designated as hedges</w:t>
            </w:r>
          </w:p>
        </w:tc>
        <w:tc>
          <w:tcPr>
            <w:tcW w:w="2070" w:type="dxa"/>
            <w:shd w:val="clear" w:color="auto" w:fill="B8CCE4" w:themeFill="accent1" w:themeFillTint="66"/>
          </w:tcPr>
          <w:p w:rsidR="00847BCE" w:rsidRPr="003E335B" w:rsidRDefault="00847BCE" w:rsidP="000D70EC">
            <w:pPr>
              <w:spacing w:after="100" w:line="240" w:lineRule="auto"/>
              <w:jc w:val="right"/>
              <w:rPr>
                <w:rFonts w:asciiTheme="minorHAnsi" w:hAnsiTheme="minorHAnsi" w:cs="Arial"/>
                <w:sz w:val="20"/>
                <w:szCs w:val="20"/>
              </w:rPr>
            </w:pPr>
          </w:p>
        </w:tc>
        <w:tc>
          <w:tcPr>
            <w:tcW w:w="2070" w:type="dxa"/>
            <w:shd w:val="clear" w:color="auto" w:fill="B8CCE4" w:themeFill="accent1" w:themeFillTint="66"/>
          </w:tcPr>
          <w:p w:rsidR="00847BCE" w:rsidRPr="003E335B" w:rsidRDefault="00847BCE" w:rsidP="000D70EC">
            <w:pPr>
              <w:spacing w:after="100" w:line="240" w:lineRule="auto"/>
              <w:jc w:val="right"/>
              <w:rPr>
                <w:rFonts w:asciiTheme="minorHAnsi" w:hAnsiTheme="minorHAnsi" w:cs="Arial"/>
                <w:sz w:val="20"/>
                <w:szCs w:val="20"/>
              </w:rPr>
            </w:pPr>
          </w:p>
        </w:tc>
      </w:tr>
      <w:tr w:rsidR="004443B0" w:rsidRPr="003E335B" w:rsidTr="00C52B12">
        <w:tc>
          <w:tcPr>
            <w:tcW w:w="5958" w:type="dxa"/>
            <w:shd w:val="clear" w:color="auto" w:fill="auto"/>
            <w:hideMark/>
          </w:tcPr>
          <w:p w:rsidR="004443B0" w:rsidRPr="003E335B" w:rsidRDefault="004443B0" w:rsidP="000D70EC">
            <w:pPr>
              <w:spacing w:after="100" w:line="240" w:lineRule="auto"/>
              <w:ind w:left="180"/>
              <w:rPr>
                <w:rFonts w:asciiTheme="minorHAnsi" w:hAnsiTheme="minorHAnsi" w:cs="Arial"/>
                <w:sz w:val="20"/>
                <w:szCs w:val="20"/>
              </w:rPr>
            </w:pPr>
            <w:r>
              <w:rPr>
                <w:rFonts w:asciiTheme="minorHAnsi" w:hAnsiTheme="minorHAnsi" w:cs="Arial"/>
                <w:sz w:val="20"/>
                <w:szCs w:val="20"/>
              </w:rPr>
              <w:t>Veredus Buyout option</w:t>
            </w:r>
          </w:p>
        </w:tc>
        <w:tc>
          <w:tcPr>
            <w:tcW w:w="2070" w:type="dxa"/>
            <w:shd w:val="clear" w:color="auto" w:fill="auto"/>
          </w:tcPr>
          <w:p w:rsidR="004443B0" w:rsidRDefault="004443B0" w:rsidP="000D70EC">
            <w:pPr>
              <w:spacing w:after="100" w:line="240" w:lineRule="auto"/>
              <w:jc w:val="right"/>
              <w:rPr>
                <w:rFonts w:asciiTheme="minorHAnsi" w:hAnsiTheme="minorHAnsi" w:cs="Arial"/>
                <w:sz w:val="20"/>
                <w:szCs w:val="20"/>
              </w:rPr>
            </w:pPr>
            <w:r>
              <w:rPr>
                <w:rFonts w:asciiTheme="minorHAnsi" w:hAnsiTheme="minorHAnsi" w:cs="Arial"/>
                <w:sz w:val="20"/>
                <w:szCs w:val="20"/>
              </w:rPr>
              <w:t>5</w:t>
            </w:r>
          </w:p>
        </w:tc>
        <w:tc>
          <w:tcPr>
            <w:tcW w:w="2070" w:type="dxa"/>
            <w:shd w:val="clear" w:color="auto" w:fill="auto"/>
          </w:tcPr>
          <w:p w:rsidR="004443B0" w:rsidRDefault="004443B0"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r>
      <w:tr w:rsidR="004443B0" w:rsidRPr="003E335B" w:rsidTr="00C52B12">
        <w:tc>
          <w:tcPr>
            <w:tcW w:w="5958" w:type="dxa"/>
            <w:shd w:val="clear" w:color="auto" w:fill="B8CCE4" w:themeFill="accent1" w:themeFillTint="66"/>
            <w:hideMark/>
          </w:tcPr>
          <w:p w:rsidR="004443B0" w:rsidRPr="003E335B" w:rsidRDefault="004443B0" w:rsidP="000D70EC">
            <w:pPr>
              <w:spacing w:after="100" w:line="240" w:lineRule="auto"/>
              <w:ind w:left="180"/>
              <w:rPr>
                <w:rFonts w:asciiTheme="minorHAnsi" w:hAnsiTheme="minorHAnsi" w:cs="Arial"/>
                <w:sz w:val="20"/>
                <w:szCs w:val="20"/>
              </w:rPr>
            </w:pPr>
            <w:r w:rsidRPr="003E335B">
              <w:rPr>
                <w:rFonts w:asciiTheme="minorHAnsi" w:hAnsiTheme="minorHAnsi" w:cs="Arial"/>
                <w:sz w:val="20"/>
                <w:szCs w:val="20"/>
              </w:rPr>
              <w:t>Forward foreign exchange contracts</w:t>
            </w:r>
          </w:p>
        </w:tc>
        <w:tc>
          <w:tcPr>
            <w:tcW w:w="2070" w:type="dxa"/>
            <w:shd w:val="clear" w:color="auto" w:fill="B8CCE4" w:themeFill="accent1" w:themeFillTint="66"/>
          </w:tcPr>
          <w:p w:rsidR="004443B0" w:rsidRPr="003E335B" w:rsidRDefault="004443B0" w:rsidP="000D70EC">
            <w:pPr>
              <w:spacing w:after="100" w:line="240" w:lineRule="auto"/>
              <w:jc w:val="right"/>
              <w:rPr>
                <w:rFonts w:asciiTheme="minorHAnsi" w:hAnsiTheme="minorHAnsi" w:cs="Arial"/>
                <w:sz w:val="20"/>
                <w:szCs w:val="20"/>
              </w:rPr>
            </w:pPr>
            <w:r>
              <w:rPr>
                <w:rFonts w:asciiTheme="minorHAnsi" w:hAnsiTheme="minorHAnsi" w:cs="Arial"/>
                <w:sz w:val="20"/>
                <w:szCs w:val="20"/>
              </w:rPr>
              <w:t>33</w:t>
            </w:r>
          </w:p>
        </w:tc>
        <w:tc>
          <w:tcPr>
            <w:tcW w:w="2070" w:type="dxa"/>
            <w:shd w:val="clear" w:color="auto" w:fill="B8CCE4" w:themeFill="accent1" w:themeFillTint="66"/>
          </w:tcPr>
          <w:p w:rsidR="004443B0" w:rsidRPr="003E335B" w:rsidRDefault="004443B0" w:rsidP="000D70EC">
            <w:pPr>
              <w:spacing w:after="100" w:line="240" w:lineRule="auto"/>
              <w:jc w:val="right"/>
              <w:rPr>
                <w:rFonts w:asciiTheme="minorHAnsi" w:hAnsiTheme="minorHAnsi" w:cs="Arial"/>
                <w:sz w:val="20"/>
                <w:szCs w:val="20"/>
              </w:rPr>
            </w:pPr>
            <w:r>
              <w:rPr>
                <w:rFonts w:asciiTheme="minorHAnsi" w:hAnsiTheme="minorHAnsi" w:cs="Arial"/>
                <w:sz w:val="20"/>
                <w:szCs w:val="20"/>
              </w:rPr>
              <w:t>35</w:t>
            </w:r>
          </w:p>
        </w:tc>
      </w:tr>
      <w:tr w:rsidR="004443B0" w:rsidRPr="003E335B" w:rsidTr="00C52B12">
        <w:tc>
          <w:tcPr>
            <w:tcW w:w="5958" w:type="dxa"/>
            <w:shd w:val="clear" w:color="auto" w:fill="auto"/>
            <w:hideMark/>
          </w:tcPr>
          <w:p w:rsidR="004443B0" w:rsidRPr="003E335B" w:rsidRDefault="004443B0" w:rsidP="000D70EC">
            <w:pPr>
              <w:spacing w:after="100" w:line="240" w:lineRule="auto"/>
              <w:ind w:left="180"/>
              <w:rPr>
                <w:rFonts w:asciiTheme="minorHAnsi" w:hAnsiTheme="minorHAnsi" w:cs="Arial"/>
                <w:sz w:val="20"/>
                <w:szCs w:val="20"/>
              </w:rPr>
            </w:pPr>
            <w:r>
              <w:rPr>
                <w:rFonts w:asciiTheme="minorHAnsi" w:hAnsiTheme="minorHAnsi" w:cs="Arial"/>
                <w:sz w:val="20"/>
                <w:szCs w:val="20"/>
              </w:rPr>
              <w:t>Currency collars</w:t>
            </w:r>
          </w:p>
        </w:tc>
        <w:tc>
          <w:tcPr>
            <w:tcW w:w="2070" w:type="dxa"/>
            <w:shd w:val="clear" w:color="auto" w:fill="auto"/>
          </w:tcPr>
          <w:p w:rsidR="004443B0" w:rsidRPr="003E335B" w:rsidRDefault="004443B0" w:rsidP="000D70EC">
            <w:pPr>
              <w:spacing w:after="100" w:line="240" w:lineRule="auto"/>
              <w:jc w:val="right"/>
              <w:rPr>
                <w:rFonts w:asciiTheme="minorHAnsi" w:hAnsiTheme="minorHAnsi" w:cs="Arial"/>
                <w:sz w:val="20"/>
                <w:szCs w:val="20"/>
              </w:rPr>
            </w:pPr>
            <w:r>
              <w:rPr>
                <w:rFonts w:asciiTheme="minorHAnsi" w:hAnsiTheme="minorHAnsi" w:cs="Arial"/>
                <w:sz w:val="20"/>
                <w:szCs w:val="20"/>
              </w:rPr>
              <w:t>9</w:t>
            </w:r>
          </w:p>
        </w:tc>
        <w:tc>
          <w:tcPr>
            <w:tcW w:w="2070" w:type="dxa"/>
            <w:shd w:val="clear" w:color="auto" w:fill="auto"/>
            <w:hideMark/>
          </w:tcPr>
          <w:p w:rsidR="004443B0" w:rsidRDefault="004443B0" w:rsidP="000D70EC">
            <w:pPr>
              <w:spacing w:after="100" w:line="240" w:lineRule="auto"/>
              <w:jc w:val="right"/>
              <w:rPr>
                <w:rFonts w:asciiTheme="minorHAnsi" w:hAnsiTheme="minorHAnsi" w:cs="Arial"/>
                <w:sz w:val="20"/>
                <w:szCs w:val="20"/>
              </w:rPr>
            </w:pPr>
            <w:r>
              <w:rPr>
                <w:rFonts w:asciiTheme="minorHAnsi" w:hAnsiTheme="minorHAnsi" w:cs="Arial"/>
                <w:sz w:val="20"/>
                <w:szCs w:val="20"/>
              </w:rPr>
              <w:t>3</w:t>
            </w:r>
          </w:p>
        </w:tc>
      </w:tr>
      <w:tr w:rsidR="004443B0" w:rsidRPr="003E335B" w:rsidTr="00C52B12">
        <w:tc>
          <w:tcPr>
            <w:tcW w:w="5958" w:type="dxa"/>
            <w:shd w:val="clear" w:color="auto" w:fill="B8CCE4" w:themeFill="accent1" w:themeFillTint="66"/>
            <w:hideMark/>
          </w:tcPr>
          <w:p w:rsidR="004443B0" w:rsidRPr="003E335B" w:rsidRDefault="004443B0" w:rsidP="000D70EC">
            <w:pPr>
              <w:spacing w:after="100" w:line="240" w:lineRule="auto"/>
              <w:ind w:left="180"/>
              <w:rPr>
                <w:rFonts w:asciiTheme="minorHAnsi" w:hAnsiTheme="minorHAnsi" w:cs="Arial"/>
                <w:sz w:val="20"/>
                <w:szCs w:val="20"/>
              </w:rPr>
            </w:pPr>
            <w:r>
              <w:rPr>
                <w:rFonts w:asciiTheme="minorHAnsi" w:hAnsiTheme="minorHAnsi" w:cs="Arial"/>
                <w:sz w:val="20"/>
                <w:szCs w:val="20"/>
              </w:rPr>
              <w:t>Purchased currency options</w:t>
            </w:r>
          </w:p>
        </w:tc>
        <w:tc>
          <w:tcPr>
            <w:tcW w:w="2070" w:type="dxa"/>
            <w:tcBorders>
              <w:bottom w:val="single" w:sz="18" w:space="0" w:color="auto"/>
            </w:tcBorders>
            <w:shd w:val="clear" w:color="auto" w:fill="B8CCE4" w:themeFill="accent1" w:themeFillTint="66"/>
          </w:tcPr>
          <w:p w:rsidR="004443B0" w:rsidRPr="003E335B" w:rsidRDefault="004443B0" w:rsidP="000D70EC">
            <w:pPr>
              <w:spacing w:after="100" w:line="240" w:lineRule="auto"/>
              <w:jc w:val="right"/>
              <w:rPr>
                <w:rFonts w:asciiTheme="minorHAnsi" w:hAnsiTheme="minorHAnsi" w:cs="Arial"/>
                <w:sz w:val="20"/>
                <w:szCs w:val="20"/>
              </w:rPr>
            </w:pPr>
            <w:r>
              <w:rPr>
                <w:rFonts w:asciiTheme="minorHAnsi" w:hAnsiTheme="minorHAnsi" w:cs="Arial"/>
                <w:sz w:val="20"/>
                <w:szCs w:val="20"/>
              </w:rPr>
              <w:t>2</w:t>
            </w:r>
          </w:p>
        </w:tc>
        <w:tc>
          <w:tcPr>
            <w:tcW w:w="2070" w:type="dxa"/>
            <w:tcBorders>
              <w:bottom w:val="single" w:sz="18" w:space="0" w:color="auto"/>
            </w:tcBorders>
            <w:shd w:val="clear" w:color="auto" w:fill="B8CCE4" w:themeFill="accent1" w:themeFillTint="66"/>
            <w:hideMark/>
          </w:tcPr>
          <w:p w:rsidR="004443B0" w:rsidRPr="003E335B" w:rsidRDefault="004443B0"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r>
      <w:tr w:rsidR="00847BCE" w:rsidRPr="003E335B" w:rsidTr="00C52B12">
        <w:tc>
          <w:tcPr>
            <w:tcW w:w="5958" w:type="dxa"/>
            <w:shd w:val="clear" w:color="auto" w:fill="auto"/>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Total derivatives financial instruments</w:t>
            </w:r>
          </w:p>
        </w:tc>
        <w:tc>
          <w:tcPr>
            <w:tcW w:w="2070" w:type="dxa"/>
            <w:tcBorders>
              <w:top w:val="single" w:sz="18" w:space="0" w:color="auto"/>
            </w:tcBorders>
            <w:shd w:val="clear" w:color="auto" w:fill="auto"/>
          </w:tcPr>
          <w:p w:rsidR="00847BCE" w:rsidRPr="003E335B" w:rsidRDefault="004443B0"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93</w:t>
            </w:r>
          </w:p>
        </w:tc>
        <w:tc>
          <w:tcPr>
            <w:tcW w:w="2070" w:type="dxa"/>
            <w:tcBorders>
              <w:top w:val="single" w:sz="18" w:space="0" w:color="auto"/>
            </w:tcBorders>
            <w:shd w:val="clear" w:color="auto" w:fill="auto"/>
            <w:hideMark/>
          </w:tcPr>
          <w:p w:rsidR="00847BCE" w:rsidRPr="003E335B" w:rsidRDefault="00F05996"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91</w:t>
            </w:r>
          </w:p>
        </w:tc>
      </w:tr>
      <w:tr w:rsidR="00847BCE" w:rsidRPr="003E335B" w:rsidTr="00C52B12">
        <w:tc>
          <w:tcPr>
            <w:tcW w:w="595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i/>
                <w:sz w:val="20"/>
                <w:szCs w:val="20"/>
              </w:rPr>
            </w:pPr>
            <w:r w:rsidRPr="003E335B">
              <w:rPr>
                <w:rFonts w:asciiTheme="minorHAnsi" w:hAnsiTheme="minorHAnsi" w:cs="Arial"/>
                <w:i/>
                <w:sz w:val="20"/>
                <w:szCs w:val="20"/>
              </w:rPr>
              <w:t>Current</w:t>
            </w:r>
          </w:p>
        </w:tc>
        <w:tc>
          <w:tcPr>
            <w:tcW w:w="2070" w:type="dxa"/>
            <w:shd w:val="clear" w:color="auto" w:fill="B8CCE4" w:themeFill="accent1" w:themeFillTint="66"/>
          </w:tcPr>
          <w:p w:rsidR="00847BCE" w:rsidRPr="003E335B" w:rsidRDefault="004443B0"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87</w:t>
            </w:r>
          </w:p>
        </w:tc>
        <w:tc>
          <w:tcPr>
            <w:tcW w:w="2070" w:type="dxa"/>
            <w:shd w:val="clear" w:color="auto" w:fill="B8CCE4" w:themeFill="accent1" w:themeFillTint="66"/>
            <w:hideMark/>
          </w:tcPr>
          <w:p w:rsidR="00847BCE" w:rsidRPr="003E335B" w:rsidRDefault="00F05996"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85</w:t>
            </w:r>
          </w:p>
        </w:tc>
      </w:tr>
      <w:tr w:rsidR="00847BCE" w:rsidRPr="003E335B" w:rsidTr="00C52B12">
        <w:tc>
          <w:tcPr>
            <w:tcW w:w="5958" w:type="dxa"/>
            <w:shd w:val="clear" w:color="auto" w:fill="auto"/>
            <w:hideMark/>
          </w:tcPr>
          <w:p w:rsidR="00847BCE" w:rsidRPr="003E335B" w:rsidRDefault="00847BCE" w:rsidP="000D70EC">
            <w:pPr>
              <w:spacing w:after="100" w:line="240" w:lineRule="auto"/>
              <w:rPr>
                <w:rFonts w:asciiTheme="minorHAnsi" w:hAnsiTheme="minorHAnsi" w:cs="Arial"/>
                <w:i/>
                <w:sz w:val="20"/>
                <w:szCs w:val="20"/>
              </w:rPr>
            </w:pPr>
            <w:r w:rsidRPr="003E335B">
              <w:rPr>
                <w:rFonts w:asciiTheme="minorHAnsi" w:hAnsiTheme="minorHAnsi" w:cs="Arial"/>
                <w:i/>
                <w:sz w:val="20"/>
                <w:szCs w:val="20"/>
              </w:rPr>
              <w:t>Non-current</w:t>
            </w:r>
          </w:p>
        </w:tc>
        <w:tc>
          <w:tcPr>
            <w:tcW w:w="2070" w:type="dxa"/>
            <w:tcBorders>
              <w:bottom w:val="single" w:sz="18" w:space="0" w:color="auto"/>
            </w:tcBorders>
            <w:shd w:val="clear" w:color="auto" w:fill="auto"/>
          </w:tcPr>
          <w:p w:rsidR="00847BCE" w:rsidRPr="003E335B" w:rsidRDefault="004443B0"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6</w:t>
            </w:r>
          </w:p>
        </w:tc>
        <w:tc>
          <w:tcPr>
            <w:tcW w:w="2070" w:type="dxa"/>
            <w:tcBorders>
              <w:bottom w:val="single" w:sz="18" w:space="0" w:color="auto"/>
            </w:tcBorders>
            <w:shd w:val="clear" w:color="auto" w:fill="auto"/>
            <w:hideMark/>
          </w:tcPr>
          <w:p w:rsidR="00847BCE" w:rsidRPr="003E335B" w:rsidRDefault="00F05996"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6</w:t>
            </w:r>
          </w:p>
        </w:tc>
      </w:tr>
      <w:tr w:rsidR="00847BCE" w:rsidRPr="003E335B" w:rsidTr="00C52B12">
        <w:tc>
          <w:tcPr>
            <w:tcW w:w="595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Total other financial assets (including derivatives)</w:t>
            </w:r>
          </w:p>
        </w:tc>
        <w:tc>
          <w:tcPr>
            <w:tcW w:w="2070" w:type="dxa"/>
            <w:tcBorders>
              <w:top w:val="single" w:sz="18" w:space="0" w:color="auto"/>
            </w:tcBorders>
            <w:shd w:val="clear" w:color="auto" w:fill="B8CCE4" w:themeFill="accent1" w:themeFillTint="66"/>
          </w:tcPr>
          <w:p w:rsidR="00847BCE" w:rsidRPr="003E335B" w:rsidRDefault="004443B0"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727</w:t>
            </w:r>
          </w:p>
        </w:tc>
        <w:tc>
          <w:tcPr>
            <w:tcW w:w="2070" w:type="dxa"/>
            <w:tcBorders>
              <w:top w:val="single" w:sz="18" w:space="0" w:color="auto"/>
            </w:tcBorders>
            <w:shd w:val="clear" w:color="auto" w:fill="B8CCE4" w:themeFill="accent1" w:themeFillTint="66"/>
            <w:hideMark/>
          </w:tcPr>
          <w:p w:rsidR="00847BCE" w:rsidRPr="003E335B" w:rsidRDefault="00F05996"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1,336</w:t>
            </w:r>
          </w:p>
        </w:tc>
      </w:tr>
      <w:tr w:rsidR="00847BCE" w:rsidRPr="003E335B" w:rsidTr="00C52B12">
        <w:tc>
          <w:tcPr>
            <w:tcW w:w="5958" w:type="dxa"/>
            <w:shd w:val="clear" w:color="auto" w:fill="auto"/>
            <w:hideMark/>
          </w:tcPr>
          <w:p w:rsidR="00847BCE" w:rsidRPr="003E335B" w:rsidRDefault="00847BCE" w:rsidP="000D70EC">
            <w:pPr>
              <w:spacing w:after="100" w:line="240" w:lineRule="auto"/>
              <w:rPr>
                <w:rFonts w:asciiTheme="minorHAnsi" w:hAnsiTheme="minorHAnsi" w:cs="Arial"/>
                <w:i/>
                <w:sz w:val="20"/>
                <w:szCs w:val="20"/>
              </w:rPr>
            </w:pPr>
            <w:r w:rsidRPr="003E335B">
              <w:rPr>
                <w:rFonts w:asciiTheme="minorHAnsi" w:hAnsiTheme="minorHAnsi" w:cs="Arial"/>
                <w:i/>
                <w:sz w:val="20"/>
                <w:szCs w:val="20"/>
              </w:rPr>
              <w:t>Total current</w:t>
            </w:r>
          </w:p>
        </w:tc>
        <w:tc>
          <w:tcPr>
            <w:tcW w:w="2070" w:type="dxa"/>
            <w:shd w:val="clear" w:color="auto" w:fill="auto"/>
          </w:tcPr>
          <w:p w:rsidR="00847BCE" w:rsidRPr="003E335B" w:rsidRDefault="004443B0"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667</w:t>
            </w:r>
          </w:p>
        </w:tc>
        <w:tc>
          <w:tcPr>
            <w:tcW w:w="2070" w:type="dxa"/>
            <w:shd w:val="clear" w:color="auto" w:fill="auto"/>
            <w:hideMark/>
          </w:tcPr>
          <w:p w:rsidR="00847BCE" w:rsidRPr="003E335B" w:rsidRDefault="00F05996"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1,211</w:t>
            </w:r>
          </w:p>
        </w:tc>
      </w:tr>
      <w:tr w:rsidR="00847BCE" w:rsidRPr="003E335B" w:rsidTr="00C52B12">
        <w:tc>
          <w:tcPr>
            <w:tcW w:w="5958" w:type="dxa"/>
            <w:tcBorders>
              <w:bottom w:val="single" w:sz="18" w:space="0" w:color="auto"/>
            </w:tcBorders>
            <w:shd w:val="clear" w:color="auto" w:fill="B8CCE4" w:themeFill="accent1" w:themeFillTint="66"/>
            <w:hideMark/>
          </w:tcPr>
          <w:p w:rsidR="00847BCE" w:rsidRPr="003E335B" w:rsidRDefault="00847BCE" w:rsidP="000D70EC">
            <w:pPr>
              <w:spacing w:after="100" w:line="240" w:lineRule="auto"/>
              <w:rPr>
                <w:rFonts w:asciiTheme="minorHAnsi" w:hAnsiTheme="minorHAnsi" w:cs="Arial"/>
                <w:i/>
                <w:sz w:val="20"/>
                <w:szCs w:val="20"/>
              </w:rPr>
            </w:pPr>
            <w:r w:rsidRPr="003E335B">
              <w:rPr>
                <w:rFonts w:asciiTheme="minorHAnsi" w:hAnsiTheme="minorHAnsi" w:cs="Arial"/>
                <w:i/>
                <w:sz w:val="20"/>
                <w:szCs w:val="20"/>
              </w:rPr>
              <w:t>Total non-current</w:t>
            </w:r>
          </w:p>
        </w:tc>
        <w:tc>
          <w:tcPr>
            <w:tcW w:w="2070" w:type="dxa"/>
            <w:tcBorders>
              <w:bottom w:val="single" w:sz="18" w:space="0" w:color="auto"/>
            </w:tcBorders>
            <w:shd w:val="clear" w:color="auto" w:fill="B8CCE4" w:themeFill="accent1" w:themeFillTint="66"/>
          </w:tcPr>
          <w:p w:rsidR="00847BCE" w:rsidRPr="003E335B" w:rsidRDefault="004443B0"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60</w:t>
            </w:r>
          </w:p>
        </w:tc>
        <w:tc>
          <w:tcPr>
            <w:tcW w:w="2070" w:type="dxa"/>
            <w:tcBorders>
              <w:bottom w:val="single" w:sz="18" w:space="0" w:color="auto"/>
            </w:tcBorders>
            <w:shd w:val="clear" w:color="auto" w:fill="B8CCE4" w:themeFill="accent1" w:themeFillTint="66"/>
            <w:hideMark/>
          </w:tcPr>
          <w:p w:rsidR="00847BCE" w:rsidRPr="003E335B" w:rsidRDefault="00F05996"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125</w:t>
            </w:r>
          </w:p>
        </w:tc>
      </w:tr>
    </w:tbl>
    <w:p w:rsidR="00E4412A" w:rsidRPr="003E335B" w:rsidRDefault="00E4412A" w:rsidP="000D70EC">
      <w:pPr>
        <w:spacing w:after="100" w:line="240" w:lineRule="auto"/>
        <w:rPr>
          <w:rFonts w:asciiTheme="minorHAnsi" w:hAnsiTheme="minorHAnsi" w:cs="Arial"/>
          <w:sz w:val="20"/>
          <w:szCs w:val="20"/>
        </w:rPr>
        <w:sectPr w:rsidR="00E4412A" w:rsidRPr="003E335B" w:rsidSect="007D1EF2">
          <w:headerReference w:type="default" r:id="rId17"/>
          <w:pgSz w:w="12240" w:h="15840"/>
          <w:pgMar w:top="1530" w:right="1185" w:bottom="284" w:left="1185" w:header="284" w:footer="284" w:gutter="0"/>
          <w:cols w:space="708"/>
          <w:docGrid w:linePitch="360"/>
        </w:sectPr>
      </w:pPr>
    </w:p>
    <w:p w:rsidR="00847BCE" w:rsidRPr="003E335B" w:rsidRDefault="00847BCE" w:rsidP="000D70EC">
      <w:pPr>
        <w:spacing w:after="100" w:line="240" w:lineRule="auto"/>
        <w:ind w:left="450"/>
        <w:rPr>
          <w:rFonts w:asciiTheme="minorHAnsi" w:hAnsiTheme="minorHAnsi" w:cs="Arial"/>
          <w:sz w:val="20"/>
          <w:szCs w:val="20"/>
        </w:rPr>
      </w:pPr>
      <w:r w:rsidRPr="003E335B">
        <w:rPr>
          <w:rFonts w:asciiTheme="minorHAnsi" w:hAnsiTheme="minorHAnsi" w:cs="Arial"/>
          <w:sz w:val="20"/>
          <w:szCs w:val="20"/>
        </w:rPr>
        <w:lastRenderedPageBreak/>
        <w:t>Movements in other financial assets (excluding derivatives) recorded in the first six months of 201</w:t>
      </w:r>
      <w:r w:rsidR="006D777B">
        <w:rPr>
          <w:rFonts w:asciiTheme="minorHAnsi" w:hAnsiTheme="minorHAnsi" w:cs="Arial"/>
          <w:sz w:val="20"/>
          <w:szCs w:val="20"/>
        </w:rPr>
        <w:t>1</w:t>
      </w:r>
      <w:r w:rsidRPr="003E335B">
        <w:rPr>
          <w:rFonts w:asciiTheme="minorHAnsi" w:hAnsiTheme="minorHAnsi" w:cs="Arial"/>
          <w:sz w:val="20"/>
          <w:szCs w:val="20"/>
        </w:rPr>
        <w:t xml:space="preserve"> are summarized as follows:</w:t>
      </w:r>
    </w:p>
    <w:tbl>
      <w:tblPr>
        <w:tblW w:w="14130" w:type="dxa"/>
        <w:tblInd w:w="558" w:type="dxa"/>
        <w:tblLayout w:type="fixed"/>
        <w:tblLook w:val="04A0"/>
      </w:tblPr>
      <w:tblGrid>
        <w:gridCol w:w="4050"/>
        <w:gridCol w:w="1260"/>
        <w:gridCol w:w="1260"/>
        <w:gridCol w:w="1260"/>
        <w:gridCol w:w="1260"/>
        <w:gridCol w:w="1170"/>
        <w:gridCol w:w="1440"/>
        <w:gridCol w:w="1170"/>
        <w:gridCol w:w="1260"/>
      </w:tblGrid>
      <w:tr w:rsidR="00FB2185" w:rsidRPr="003E335B" w:rsidTr="007D4F65">
        <w:tc>
          <w:tcPr>
            <w:tcW w:w="4050" w:type="dxa"/>
            <w:tcBorders>
              <w:bottom w:val="single" w:sz="18" w:space="0" w:color="auto"/>
            </w:tcBorders>
            <w:vAlign w:val="bottom"/>
            <w:hideMark/>
          </w:tcPr>
          <w:p w:rsidR="00FB2185" w:rsidRPr="003E335B" w:rsidRDefault="00FB2185"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1260" w:type="dxa"/>
            <w:tcBorders>
              <w:bottom w:val="single" w:sz="18" w:space="0" w:color="auto"/>
            </w:tcBorders>
            <w:vAlign w:val="bottom"/>
            <w:hideMark/>
          </w:tcPr>
          <w:p w:rsidR="00FB2185" w:rsidRPr="003E335B" w:rsidRDefault="00FB2185"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Jan 1, 201</w:t>
            </w:r>
            <w:r w:rsidR="00BE357C" w:rsidRPr="003E335B">
              <w:rPr>
                <w:rFonts w:asciiTheme="minorHAnsi" w:hAnsiTheme="minorHAnsi" w:cs="Arial"/>
                <w:sz w:val="20"/>
                <w:szCs w:val="20"/>
              </w:rPr>
              <w:t>1</w:t>
            </w:r>
            <w:r w:rsidR="00DC4940" w:rsidRPr="003E335B">
              <w:rPr>
                <w:rFonts w:asciiTheme="minorHAnsi" w:hAnsiTheme="minorHAnsi" w:cs="Arial"/>
                <w:sz w:val="20"/>
                <w:szCs w:val="20"/>
              </w:rPr>
              <w:t xml:space="preserve"> (audited)</w:t>
            </w:r>
          </w:p>
        </w:tc>
        <w:tc>
          <w:tcPr>
            <w:tcW w:w="1260" w:type="dxa"/>
            <w:tcBorders>
              <w:bottom w:val="single" w:sz="18" w:space="0" w:color="auto"/>
            </w:tcBorders>
            <w:vAlign w:val="bottom"/>
            <w:hideMark/>
          </w:tcPr>
          <w:p w:rsidR="00FB2185" w:rsidRPr="003E335B" w:rsidRDefault="00FB2185"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Change in fair value included in OCI*</w:t>
            </w:r>
          </w:p>
        </w:tc>
        <w:tc>
          <w:tcPr>
            <w:tcW w:w="1260" w:type="dxa"/>
            <w:tcBorders>
              <w:bottom w:val="single" w:sz="18" w:space="0" w:color="auto"/>
            </w:tcBorders>
            <w:vAlign w:val="bottom"/>
          </w:tcPr>
          <w:p w:rsidR="00FB2185" w:rsidRPr="003E335B" w:rsidRDefault="00FB2185"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Change in fair value included in income statement</w:t>
            </w:r>
          </w:p>
        </w:tc>
        <w:tc>
          <w:tcPr>
            <w:tcW w:w="1260" w:type="dxa"/>
            <w:tcBorders>
              <w:bottom w:val="single" w:sz="18" w:space="0" w:color="auto"/>
            </w:tcBorders>
            <w:vAlign w:val="bottom"/>
            <w:hideMark/>
          </w:tcPr>
          <w:p w:rsidR="00FB2185" w:rsidRPr="003E335B" w:rsidRDefault="00FB2185"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Purchase</w:t>
            </w:r>
            <w:r w:rsidR="007D4F65">
              <w:rPr>
                <w:rFonts w:asciiTheme="minorHAnsi" w:hAnsiTheme="minorHAnsi" w:cs="Arial"/>
                <w:sz w:val="20"/>
                <w:szCs w:val="20"/>
              </w:rPr>
              <w:t xml:space="preserve"> / Increase</w:t>
            </w:r>
          </w:p>
        </w:tc>
        <w:tc>
          <w:tcPr>
            <w:tcW w:w="1170" w:type="dxa"/>
            <w:tcBorders>
              <w:bottom w:val="single" w:sz="18" w:space="0" w:color="auto"/>
            </w:tcBorders>
            <w:vAlign w:val="bottom"/>
            <w:hideMark/>
          </w:tcPr>
          <w:p w:rsidR="00FB2185" w:rsidRPr="003E335B" w:rsidRDefault="00FB2185"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Sale</w:t>
            </w:r>
            <w:r w:rsidR="007D4F65">
              <w:rPr>
                <w:rFonts w:asciiTheme="minorHAnsi" w:hAnsiTheme="minorHAnsi" w:cs="Arial"/>
                <w:sz w:val="20"/>
                <w:szCs w:val="20"/>
              </w:rPr>
              <w:t xml:space="preserve"> / Settlement</w:t>
            </w:r>
          </w:p>
        </w:tc>
        <w:tc>
          <w:tcPr>
            <w:tcW w:w="1440" w:type="dxa"/>
            <w:tcBorders>
              <w:bottom w:val="single" w:sz="18" w:space="0" w:color="auto"/>
            </w:tcBorders>
            <w:vAlign w:val="bottom"/>
            <w:hideMark/>
          </w:tcPr>
          <w:p w:rsidR="00FB2185" w:rsidRPr="003E335B" w:rsidRDefault="00FB2185"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Foreign exchange result recognized in OCI*</w:t>
            </w:r>
          </w:p>
        </w:tc>
        <w:tc>
          <w:tcPr>
            <w:tcW w:w="1170" w:type="dxa"/>
            <w:tcBorders>
              <w:bottom w:val="single" w:sz="18" w:space="0" w:color="auto"/>
            </w:tcBorders>
            <w:vAlign w:val="bottom"/>
          </w:tcPr>
          <w:p w:rsidR="00FB2185" w:rsidRPr="003E335B" w:rsidRDefault="007D4F65" w:rsidP="000D70EC">
            <w:pPr>
              <w:spacing w:after="100" w:line="240" w:lineRule="auto"/>
              <w:jc w:val="center"/>
              <w:rPr>
                <w:rFonts w:asciiTheme="minorHAnsi" w:hAnsiTheme="minorHAnsi" w:cs="Arial"/>
                <w:sz w:val="20"/>
                <w:szCs w:val="20"/>
              </w:rPr>
            </w:pPr>
            <w:r>
              <w:rPr>
                <w:rFonts w:asciiTheme="minorHAnsi" w:hAnsiTheme="minorHAnsi" w:cs="Arial"/>
                <w:sz w:val="20"/>
                <w:szCs w:val="20"/>
              </w:rPr>
              <w:t>Realized gain</w:t>
            </w:r>
          </w:p>
        </w:tc>
        <w:tc>
          <w:tcPr>
            <w:tcW w:w="1260" w:type="dxa"/>
            <w:tcBorders>
              <w:bottom w:val="single" w:sz="18" w:space="0" w:color="auto"/>
            </w:tcBorders>
            <w:vAlign w:val="bottom"/>
            <w:hideMark/>
          </w:tcPr>
          <w:p w:rsidR="00FB2185" w:rsidRPr="003E335B" w:rsidRDefault="00FB2185"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w:t>
            </w:r>
            <w:r w:rsidR="00BE357C" w:rsidRPr="003E335B">
              <w:rPr>
                <w:rFonts w:asciiTheme="minorHAnsi" w:hAnsiTheme="minorHAnsi" w:cs="Arial"/>
                <w:sz w:val="20"/>
                <w:szCs w:val="20"/>
              </w:rPr>
              <w:t>ly</w:t>
            </w:r>
            <w:r w:rsidRPr="003E335B">
              <w:rPr>
                <w:rFonts w:asciiTheme="minorHAnsi" w:hAnsiTheme="minorHAnsi" w:cs="Arial"/>
                <w:sz w:val="20"/>
                <w:szCs w:val="20"/>
              </w:rPr>
              <w:t xml:space="preserve"> 2, 201</w:t>
            </w:r>
            <w:r w:rsidR="00BE357C" w:rsidRPr="003E335B">
              <w:rPr>
                <w:rFonts w:asciiTheme="minorHAnsi" w:hAnsiTheme="minorHAnsi" w:cs="Arial"/>
                <w:sz w:val="20"/>
                <w:szCs w:val="20"/>
              </w:rPr>
              <w:t>1</w:t>
            </w:r>
            <w:r w:rsidR="00DC4940" w:rsidRPr="003E335B">
              <w:rPr>
                <w:rFonts w:asciiTheme="minorHAnsi" w:hAnsiTheme="minorHAnsi" w:cs="Arial"/>
                <w:sz w:val="20"/>
                <w:szCs w:val="20"/>
              </w:rPr>
              <w:t xml:space="preserve"> (un-audited)</w:t>
            </w:r>
          </w:p>
        </w:tc>
      </w:tr>
      <w:tr w:rsidR="00FB2185" w:rsidRPr="003E335B" w:rsidTr="007D4F65">
        <w:tc>
          <w:tcPr>
            <w:tcW w:w="4050" w:type="dxa"/>
            <w:tcBorders>
              <w:top w:val="single" w:sz="18" w:space="0" w:color="auto"/>
            </w:tcBorders>
            <w:shd w:val="clear" w:color="auto" w:fill="auto"/>
            <w:vAlign w:val="center"/>
            <w:hideMark/>
          </w:tcPr>
          <w:p w:rsidR="00FB2185" w:rsidRPr="003E335B" w:rsidRDefault="00FB2185"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Government bonds issued by the U.S. Treasury</w:t>
            </w:r>
          </w:p>
        </w:tc>
        <w:tc>
          <w:tcPr>
            <w:tcW w:w="1260" w:type="dxa"/>
            <w:tcBorders>
              <w:top w:val="single" w:sz="18" w:space="0" w:color="auto"/>
            </w:tcBorders>
            <w:shd w:val="clear" w:color="auto" w:fill="auto"/>
            <w:vAlign w:val="center"/>
            <w:hideMark/>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350</w:t>
            </w:r>
          </w:p>
        </w:tc>
        <w:tc>
          <w:tcPr>
            <w:tcW w:w="1260" w:type="dxa"/>
            <w:tcBorders>
              <w:top w:val="single" w:sz="18" w:space="0" w:color="auto"/>
            </w:tcBorders>
            <w:shd w:val="clear" w:color="auto" w:fill="auto"/>
            <w:vAlign w:val="center"/>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260" w:type="dxa"/>
            <w:tcBorders>
              <w:top w:val="single" w:sz="18" w:space="0" w:color="auto"/>
            </w:tcBorders>
            <w:shd w:val="clear" w:color="auto" w:fill="auto"/>
            <w:vAlign w:val="center"/>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260" w:type="dxa"/>
            <w:tcBorders>
              <w:top w:val="single" w:sz="18" w:space="0" w:color="auto"/>
            </w:tcBorders>
            <w:shd w:val="clear" w:color="auto" w:fill="auto"/>
            <w:vAlign w:val="center"/>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170" w:type="dxa"/>
            <w:tcBorders>
              <w:top w:val="single" w:sz="18" w:space="0" w:color="auto"/>
            </w:tcBorders>
            <w:shd w:val="clear" w:color="auto" w:fill="auto"/>
            <w:vAlign w:val="center"/>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(350)</w:t>
            </w:r>
          </w:p>
        </w:tc>
        <w:tc>
          <w:tcPr>
            <w:tcW w:w="1440" w:type="dxa"/>
            <w:tcBorders>
              <w:top w:val="single" w:sz="18" w:space="0" w:color="auto"/>
            </w:tcBorders>
            <w:shd w:val="clear" w:color="auto" w:fill="auto"/>
            <w:vAlign w:val="center"/>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170" w:type="dxa"/>
            <w:tcBorders>
              <w:top w:val="single" w:sz="18" w:space="0" w:color="auto"/>
            </w:tcBorders>
            <w:shd w:val="clear" w:color="auto" w:fill="auto"/>
            <w:vAlign w:val="center"/>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260" w:type="dxa"/>
            <w:tcBorders>
              <w:top w:val="single" w:sz="18" w:space="0" w:color="auto"/>
            </w:tcBorders>
            <w:shd w:val="clear" w:color="auto" w:fill="auto"/>
            <w:vAlign w:val="center"/>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r>
      <w:tr w:rsidR="00FB2185" w:rsidRPr="003E335B" w:rsidTr="007D4F65">
        <w:tc>
          <w:tcPr>
            <w:tcW w:w="4050" w:type="dxa"/>
            <w:shd w:val="clear" w:color="auto" w:fill="auto"/>
            <w:vAlign w:val="center"/>
            <w:hideMark/>
          </w:tcPr>
          <w:p w:rsidR="00FB2185" w:rsidRPr="003E335B" w:rsidRDefault="00FB2185"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Government bonds issued by foreign governments</w:t>
            </w:r>
          </w:p>
        </w:tc>
        <w:tc>
          <w:tcPr>
            <w:tcW w:w="1260" w:type="dxa"/>
            <w:shd w:val="clear" w:color="auto" w:fill="auto"/>
            <w:vAlign w:val="center"/>
            <w:hideMark/>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213</w:t>
            </w:r>
          </w:p>
        </w:tc>
        <w:tc>
          <w:tcPr>
            <w:tcW w:w="1260" w:type="dxa"/>
            <w:shd w:val="clear" w:color="auto" w:fill="auto"/>
            <w:vAlign w:val="center"/>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260" w:type="dxa"/>
            <w:shd w:val="clear" w:color="auto" w:fill="auto"/>
            <w:vAlign w:val="center"/>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260" w:type="dxa"/>
            <w:shd w:val="clear" w:color="auto" w:fill="auto"/>
            <w:vAlign w:val="center"/>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127</w:t>
            </w:r>
          </w:p>
        </w:tc>
        <w:tc>
          <w:tcPr>
            <w:tcW w:w="1170" w:type="dxa"/>
            <w:shd w:val="clear" w:color="auto" w:fill="auto"/>
            <w:vAlign w:val="center"/>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(218)</w:t>
            </w:r>
          </w:p>
        </w:tc>
        <w:tc>
          <w:tcPr>
            <w:tcW w:w="1440" w:type="dxa"/>
            <w:shd w:val="clear" w:color="auto" w:fill="auto"/>
            <w:vAlign w:val="center"/>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11</w:t>
            </w:r>
          </w:p>
        </w:tc>
        <w:tc>
          <w:tcPr>
            <w:tcW w:w="1170" w:type="dxa"/>
            <w:shd w:val="clear" w:color="auto" w:fill="auto"/>
            <w:vAlign w:val="center"/>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260" w:type="dxa"/>
            <w:shd w:val="clear" w:color="auto" w:fill="auto"/>
            <w:vAlign w:val="center"/>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133</w:t>
            </w:r>
          </w:p>
        </w:tc>
      </w:tr>
      <w:tr w:rsidR="007D4F65" w:rsidRPr="003E335B" w:rsidTr="007D4F65">
        <w:tc>
          <w:tcPr>
            <w:tcW w:w="4050" w:type="dxa"/>
            <w:shd w:val="clear" w:color="auto" w:fill="auto"/>
            <w:vAlign w:val="center"/>
            <w:hideMark/>
          </w:tcPr>
          <w:p w:rsidR="007D4F65" w:rsidRPr="003E335B" w:rsidRDefault="007D4F65" w:rsidP="000D70EC">
            <w:pPr>
              <w:spacing w:after="100" w:line="240" w:lineRule="auto"/>
              <w:rPr>
                <w:rFonts w:asciiTheme="minorHAnsi" w:hAnsiTheme="minorHAnsi" w:cs="Arial"/>
                <w:sz w:val="20"/>
                <w:szCs w:val="20"/>
              </w:rPr>
            </w:pPr>
            <w:r>
              <w:rPr>
                <w:rFonts w:asciiTheme="minorHAnsi" w:hAnsiTheme="minorHAnsi" w:cs="Arial"/>
                <w:sz w:val="20"/>
                <w:szCs w:val="20"/>
              </w:rPr>
              <w:t>Fixed rate debt securities issued by financial institutions</w:t>
            </w:r>
          </w:p>
        </w:tc>
        <w:tc>
          <w:tcPr>
            <w:tcW w:w="1260" w:type="dxa"/>
            <w:shd w:val="clear" w:color="auto" w:fill="auto"/>
            <w:vAlign w:val="center"/>
            <w:hideMark/>
          </w:tcPr>
          <w:p w:rsidR="007D4F6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260" w:type="dxa"/>
            <w:shd w:val="clear" w:color="auto" w:fill="auto"/>
            <w:vAlign w:val="center"/>
          </w:tcPr>
          <w:p w:rsidR="007D4F6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260" w:type="dxa"/>
            <w:shd w:val="clear" w:color="auto" w:fill="auto"/>
            <w:vAlign w:val="center"/>
          </w:tcPr>
          <w:p w:rsidR="007D4F6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260" w:type="dxa"/>
            <w:shd w:val="clear" w:color="auto" w:fill="auto"/>
            <w:vAlign w:val="center"/>
          </w:tcPr>
          <w:p w:rsidR="007D4F6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27</w:t>
            </w:r>
          </w:p>
        </w:tc>
        <w:tc>
          <w:tcPr>
            <w:tcW w:w="1170" w:type="dxa"/>
            <w:shd w:val="clear" w:color="auto" w:fill="auto"/>
            <w:vAlign w:val="center"/>
          </w:tcPr>
          <w:p w:rsidR="007D4F6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440" w:type="dxa"/>
            <w:shd w:val="clear" w:color="auto" w:fill="auto"/>
            <w:vAlign w:val="center"/>
          </w:tcPr>
          <w:p w:rsidR="007D4F6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2</w:t>
            </w:r>
          </w:p>
        </w:tc>
        <w:tc>
          <w:tcPr>
            <w:tcW w:w="1170" w:type="dxa"/>
            <w:shd w:val="clear" w:color="auto" w:fill="auto"/>
            <w:vAlign w:val="center"/>
          </w:tcPr>
          <w:p w:rsidR="007D4F6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260" w:type="dxa"/>
            <w:shd w:val="clear" w:color="auto" w:fill="auto"/>
            <w:vAlign w:val="center"/>
          </w:tcPr>
          <w:p w:rsidR="007D4F6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29</w:t>
            </w:r>
          </w:p>
        </w:tc>
      </w:tr>
      <w:tr w:rsidR="00FB2185" w:rsidRPr="003E335B" w:rsidTr="007D4F65">
        <w:tc>
          <w:tcPr>
            <w:tcW w:w="4050" w:type="dxa"/>
            <w:shd w:val="clear" w:color="auto" w:fill="auto"/>
            <w:vAlign w:val="center"/>
            <w:hideMark/>
          </w:tcPr>
          <w:p w:rsidR="00FB2185" w:rsidRPr="003E335B" w:rsidRDefault="00FB2185"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Senior debt floating rate note issued by financial institutions</w:t>
            </w:r>
          </w:p>
        </w:tc>
        <w:tc>
          <w:tcPr>
            <w:tcW w:w="1260" w:type="dxa"/>
            <w:shd w:val="clear" w:color="auto" w:fill="auto"/>
            <w:vAlign w:val="center"/>
            <w:hideMark/>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328</w:t>
            </w:r>
          </w:p>
        </w:tc>
        <w:tc>
          <w:tcPr>
            <w:tcW w:w="1260" w:type="dxa"/>
            <w:shd w:val="clear" w:color="auto" w:fill="auto"/>
            <w:vAlign w:val="center"/>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2</w:t>
            </w:r>
          </w:p>
        </w:tc>
        <w:tc>
          <w:tcPr>
            <w:tcW w:w="1260" w:type="dxa"/>
            <w:shd w:val="clear" w:color="auto" w:fill="auto"/>
            <w:vAlign w:val="center"/>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(5)</w:t>
            </w:r>
          </w:p>
        </w:tc>
        <w:tc>
          <w:tcPr>
            <w:tcW w:w="1260" w:type="dxa"/>
            <w:shd w:val="clear" w:color="auto" w:fill="auto"/>
            <w:vAlign w:val="center"/>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170" w:type="dxa"/>
            <w:shd w:val="clear" w:color="auto" w:fill="auto"/>
            <w:vAlign w:val="center"/>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(70)</w:t>
            </w:r>
          </w:p>
        </w:tc>
        <w:tc>
          <w:tcPr>
            <w:tcW w:w="1440" w:type="dxa"/>
            <w:shd w:val="clear" w:color="auto" w:fill="auto"/>
            <w:vAlign w:val="center"/>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9</w:t>
            </w:r>
          </w:p>
        </w:tc>
        <w:tc>
          <w:tcPr>
            <w:tcW w:w="1170" w:type="dxa"/>
            <w:shd w:val="clear" w:color="auto" w:fill="auto"/>
            <w:vAlign w:val="center"/>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260" w:type="dxa"/>
            <w:shd w:val="clear" w:color="auto" w:fill="auto"/>
            <w:vAlign w:val="center"/>
          </w:tcPr>
          <w:p w:rsidR="007D4F6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264</w:t>
            </w:r>
          </w:p>
        </w:tc>
      </w:tr>
      <w:tr w:rsidR="00FB2185" w:rsidRPr="003E335B" w:rsidTr="007D4F65">
        <w:tc>
          <w:tcPr>
            <w:tcW w:w="4050" w:type="dxa"/>
            <w:shd w:val="clear" w:color="auto" w:fill="auto"/>
            <w:vAlign w:val="center"/>
            <w:hideMark/>
          </w:tcPr>
          <w:p w:rsidR="00FB2185" w:rsidRPr="003E335B" w:rsidRDefault="00FB2185"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Quoted equity instruments</w:t>
            </w:r>
          </w:p>
        </w:tc>
        <w:tc>
          <w:tcPr>
            <w:tcW w:w="1260" w:type="dxa"/>
            <w:tcBorders>
              <w:bottom w:val="single" w:sz="18" w:space="0" w:color="auto"/>
            </w:tcBorders>
            <w:shd w:val="clear" w:color="auto" w:fill="auto"/>
            <w:vAlign w:val="center"/>
            <w:hideMark/>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172</w:t>
            </w:r>
          </w:p>
        </w:tc>
        <w:tc>
          <w:tcPr>
            <w:tcW w:w="1260" w:type="dxa"/>
            <w:tcBorders>
              <w:bottom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15</w:t>
            </w:r>
          </w:p>
        </w:tc>
        <w:tc>
          <w:tcPr>
            <w:tcW w:w="1260" w:type="dxa"/>
            <w:tcBorders>
              <w:bottom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14</w:t>
            </w:r>
          </w:p>
        </w:tc>
        <w:tc>
          <w:tcPr>
            <w:tcW w:w="1260" w:type="dxa"/>
            <w:tcBorders>
              <w:bottom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170" w:type="dxa"/>
            <w:tcBorders>
              <w:bottom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(189)</w:t>
            </w:r>
          </w:p>
        </w:tc>
        <w:tc>
          <w:tcPr>
            <w:tcW w:w="1440" w:type="dxa"/>
            <w:tcBorders>
              <w:bottom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170" w:type="dxa"/>
            <w:tcBorders>
              <w:bottom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260" w:type="dxa"/>
            <w:tcBorders>
              <w:bottom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12</w:t>
            </w:r>
          </w:p>
        </w:tc>
      </w:tr>
      <w:tr w:rsidR="00FB2185" w:rsidRPr="003E335B" w:rsidTr="007D4F65">
        <w:tc>
          <w:tcPr>
            <w:tcW w:w="4050" w:type="dxa"/>
            <w:shd w:val="clear" w:color="auto" w:fill="auto"/>
            <w:vAlign w:val="center"/>
            <w:hideMark/>
          </w:tcPr>
          <w:p w:rsidR="00FB2185" w:rsidRPr="003E335B" w:rsidRDefault="00FB2185"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Sub-total Available-for-sale investments – quoted debt and equity securities</w:t>
            </w:r>
          </w:p>
        </w:tc>
        <w:tc>
          <w:tcPr>
            <w:tcW w:w="1260" w:type="dxa"/>
            <w:tcBorders>
              <w:top w:val="single" w:sz="18" w:space="0" w:color="auto"/>
            </w:tcBorders>
            <w:shd w:val="clear" w:color="auto" w:fill="auto"/>
            <w:vAlign w:val="center"/>
            <w:hideMark/>
          </w:tcPr>
          <w:p w:rsidR="00FB2185" w:rsidRPr="003E335B" w:rsidRDefault="007D4F65"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1,063</w:t>
            </w:r>
          </w:p>
        </w:tc>
        <w:tc>
          <w:tcPr>
            <w:tcW w:w="1260" w:type="dxa"/>
            <w:tcBorders>
              <w:top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17</w:t>
            </w:r>
          </w:p>
        </w:tc>
        <w:tc>
          <w:tcPr>
            <w:tcW w:w="1260" w:type="dxa"/>
            <w:tcBorders>
              <w:top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9</w:t>
            </w:r>
          </w:p>
        </w:tc>
        <w:tc>
          <w:tcPr>
            <w:tcW w:w="1260" w:type="dxa"/>
            <w:tcBorders>
              <w:top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154</w:t>
            </w:r>
          </w:p>
        </w:tc>
        <w:tc>
          <w:tcPr>
            <w:tcW w:w="1170" w:type="dxa"/>
            <w:tcBorders>
              <w:top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(827)</w:t>
            </w:r>
          </w:p>
        </w:tc>
        <w:tc>
          <w:tcPr>
            <w:tcW w:w="1440" w:type="dxa"/>
            <w:tcBorders>
              <w:top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22</w:t>
            </w:r>
          </w:p>
        </w:tc>
        <w:tc>
          <w:tcPr>
            <w:tcW w:w="1170" w:type="dxa"/>
            <w:tcBorders>
              <w:top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w:t>
            </w:r>
          </w:p>
        </w:tc>
        <w:tc>
          <w:tcPr>
            <w:tcW w:w="1260" w:type="dxa"/>
            <w:tcBorders>
              <w:top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438</w:t>
            </w:r>
          </w:p>
        </w:tc>
      </w:tr>
      <w:tr w:rsidR="00FB2185" w:rsidRPr="003E335B" w:rsidTr="007D4F65">
        <w:tc>
          <w:tcPr>
            <w:tcW w:w="4050" w:type="dxa"/>
            <w:shd w:val="clear" w:color="auto" w:fill="auto"/>
            <w:vAlign w:val="center"/>
            <w:hideMark/>
          </w:tcPr>
          <w:p w:rsidR="00FB2185" w:rsidRPr="003E335B" w:rsidRDefault="00FB2185"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Auction rate securities</w:t>
            </w:r>
          </w:p>
        </w:tc>
        <w:tc>
          <w:tcPr>
            <w:tcW w:w="1260" w:type="dxa"/>
            <w:shd w:val="clear" w:color="auto" w:fill="auto"/>
            <w:vAlign w:val="center"/>
            <w:hideMark/>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72</w:t>
            </w:r>
          </w:p>
        </w:tc>
        <w:tc>
          <w:tcPr>
            <w:tcW w:w="1260" w:type="dxa"/>
            <w:shd w:val="clear" w:color="auto" w:fill="auto"/>
            <w:vAlign w:val="center"/>
          </w:tcPr>
          <w:p w:rsidR="006C2EAE"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5</w:t>
            </w:r>
          </w:p>
        </w:tc>
        <w:tc>
          <w:tcPr>
            <w:tcW w:w="1260" w:type="dxa"/>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(50)</w:t>
            </w:r>
          </w:p>
        </w:tc>
        <w:tc>
          <w:tcPr>
            <w:tcW w:w="1260" w:type="dxa"/>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170" w:type="dxa"/>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(350)</w:t>
            </w:r>
          </w:p>
        </w:tc>
        <w:tc>
          <w:tcPr>
            <w:tcW w:w="1440" w:type="dxa"/>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170" w:type="dxa"/>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323</w:t>
            </w:r>
          </w:p>
        </w:tc>
        <w:tc>
          <w:tcPr>
            <w:tcW w:w="1260" w:type="dxa"/>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r>
      <w:tr w:rsidR="00FB2185" w:rsidRPr="003E335B" w:rsidTr="007D4F65">
        <w:tc>
          <w:tcPr>
            <w:tcW w:w="4050" w:type="dxa"/>
            <w:shd w:val="clear" w:color="auto" w:fill="auto"/>
            <w:vAlign w:val="center"/>
            <w:hideMark/>
          </w:tcPr>
          <w:p w:rsidR="00FB2185" w:rsidRPr="003E335B" w:rsidRDefault="00FB2185"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Sub-total Available-for-sale investments – unquoted debt securities</w:t>
            </w:r>
          </w:p>
        </w:tc>
        <w:tc>
          <w:tcPr>
            <w:tcW w:w="1260" w:type="dxa"/>
            <w:tcBorders>
              <w:top w:val="single" w:sz="18" w:space="0" w:color="auto"/>
            </w:tcBorders>
            <w:shd w:val="clear" w:color="auto" w:fill="auto"/>
            <w:vAlign w:val="center"/>
            <w:hideMark/>
          </w:tcPr>
          <w:p w:rsidR="007D4F65" w:rsidRPr="003E335B" w:rsidRDefault="007D4F65"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72</w:t>
            </w:r>
          </w:p>
        </w:tc>
        <w:tc>
          <w:tcPr>
            <w:tcW w:w="1260" w:type="dxa"/>
            <w:tcBorders>
              <w:top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5</w:t>
            </w:r>
          </w:p>
        </w:tc>
        <w:tc>
          <w:tcPr>
            <w:tcW w:w="1260" w:type="dxa"/>
            <w:tcBorders>
              <w:top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(50)</w:t>
            </w:r>
          </w:p>
        </w:tc>
        <w:tc>
          <w:tcPr>
            <w:tcW w:w="1260" w:type="dxa"/>
            <w:tcBorders>
              <w:top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w:t>
            </w:r>
          </w:p>
        </w:tc>
        <w:tc>
          <w:tcPr>
            <w:tcW w:w="1170" w:type="dxa"/>
            <w:tcBorders>
              <w:top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(350)</w:t>
            </w:r>
          </w:p>
        </w:tc>
        <w:tc>
          <w:tcPr>
            <w:tcW w:w="1440" w:type="dxa"/>
            <w:tcBorders>
              <w:top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w:t>
            </w:r>
          </w:p>
        </w:tc>
        <w:tc>
          <w:tcPr>
            <w:tcW w:w="1170" w:type="dxa"/>
            <w:tcBorders>
              <w:top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323</w:t>
            </w:r>
          </w:p>
        </w:tc>
        <w:tc>
          <w:tcPr>
            <w:tcW w:w="1260" w:type="dxa"/>
            <w:tcBorders>
              <w:top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w:t>
            </w:r>
          </w:p>
        </w:tc>
      </w:tr>
      <w:tr w:rsidR="00FB2185" w:rsidRPr="003E335B" w:rsidTr="007D4F65">
        <w:tc>
          <w:tcPr>
            <w:tcW w:w="4050" w:type="dxa"/>
            <w:shd w:val="clear" w:color="auto" w:fill="auto"/>
            <w:vAlign w:val="center"/>
            <w:hideMark/>
          </w:tcPr>
          <w:p w:rsidR="00FB2185" w:rsidRPr="003E335B" w:rsidRDefault="00FB2185"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Available-for-sale investments – unquoted equity securities</w:t>
            </w:r>
          </w:p>
        </w:tc>
        <w:tc>
          <w:tcPr>
            <w:tcW w:w="1260" w:type="dxa"/>
            <w:shd w:val="clear" w:color="auto" w:fill="auto"/>
            <w:vAlign w:val="center"/>
            <w:hideMark/>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28</w:t>
            </w:r>
          </w:p>
        </w:tc>
        <w:tc>
          <w:tcPr>
            <w:tcW w:w="1260" w:type="dxa"/>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1</w:t>
            </w:r>
          </w:p>
        </w:tc>
        <w:tc>
          <w:tcPr>
            <w:tcW w:w="1260" w:type="dxa"/>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260" w:type="dxa"/>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170" w:type="dxa"/>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440" w:type="dxa"/>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170" w:type="dxa"/>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260" w:type="dxa"/>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29</w:t>
            </w:r>
          </w:p>
        </w:tc>
      </w:tr>
      <w:tr w:rsidR="00FB2185" w:rsidRPr="003E335B" w:rsidTr="007D4F65">
        <w:tc>
          <w:tcPr>
            <w:tcW w:w="4050" w:type="dxa"/>
            <w:shd w:val="clear" w:color="auto" w:fill="auto"/>
            <w:vAlign w:val="center"/>
            <w:hideMark/>
          </w:tcPr>
          <w:p w:rsidR="00FB2185" w:rsidRPr="003E335B" w:rsidRDefault="00FB2185"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Restricted cash</w:t>
            </w:r>
          </w:p>
        </w:tc>
        <w:tc>
          <w:tcPr>
            <w:tcW w:w="1260" w:type="dxa"/>
            <w:shd w:val="clear" w:color="auto" w:fill="auto"/>
            <w:vAlign w:val="center"/>
            <w:hideMark/>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7</w:t>
            </w:r>
          </w:p>
        </w:tc>
        <w:tc>
          <w:tcPr>
            <w:tcW w:w="1260" w:type="dxa"/>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260" w:type="dxa"/>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260" w:type="dxa"/>
            <w:shd w:val="clear" w:color="auto" w:fill="auto"/>
            <w:vAlign w:val="center"/>
          </w:tcPr>
          <w:p w:rsidR="00FB2185" w:rsidRPr="003E335B" w:rsidRDefault="00260182" w:rsidP="000D70EC">
            <w:pPr>
              <w:spacing w:after="100" w:line="240" w:lineRule="auto"/>
              <w:jc w:val="right"/>
              <w:rPr>
                <w:rFonts w:asciiTheme="minorHAnsi" w:hAnsiTheme="minorHAnsi" w:cs="Arial"/>
                <w:sz w:val="20"/>
                <w:szCs w:val="20"/>
              </w:rPr>
            </w:pPr>
            <w:r>
              <w:rPr>
                <w:rFonts w:asciiTheme="minorHAnsi" w:hAnsiTheme="minorHAnsi" w:cs="Arial"/>
                <w:sz w:val="20"/>
                <w:szCs w:val="20"/>
              </w:rPr>
              <w:t>95</w:t>
            </w:r>
          </w:p>
        </w:tc>
        <w:tc>
          <w:tcPr>
            <w:tcW w:w="1170" w:type="dxa"/>
            <w:shd w:val="clear" w:color="auto" w:fill="auto"/>
            <w:vAlign w:val="center"/>
          </w:tcPr>
          <w:p w:rsidR="00FB2185" w:rsidRPr="003E335B" w:rsidRDefault="006C2EAE" w:rsidP="00260182">
            <w:pPr>
              <w:spacing w:after="100" w:line="240" w:lineRule="auto"/>
              <w:jc w:val="right"/>
              <w:rPr>
                <w:rFonts w:asciiTheme="minorHAnsi" w:hAnsiTheme="minorHAnsi" w:cs="Arial"/>
                <w:sz w:val="20"/>
                <w:szCs w:val="20"/>
              </w:rPr>
            </w:pPr>
            <w:r>
              <w:rPr>
                <w:rFonts w:asciiTheme="minorHAnsi" w:hAnsiTheme="minorHAnsi" w:cs="Arial"/>
                <w:sz w:val="20"/>
                <w:szCs w:val="20"/>
              </w:rPr>
              <w:t>(</w:t>
            </w:r>
            <w:r w:rsidR="00260182">
              <w:rPr>
                <w:rFonts w:asciiTheme="minorHAnsi" w:hAnsiTheme="minorHAnsi" w:cs="Arial"/>
                <w:sz w:val="20"/>
                <w:szCs w:val="20"/>
              </w:rPr>
              <w:t>94</w:t>
            </w:r>
            <w:r>
              <w:rPr>
                <w:rFonts w:asciiTheme="minorHAnsi" w:hAnsiTheme="minorHAnsi" w:cs="Arial"/>
                <w:sz w:val="20"/>
                <w:szCs w:val="20"/>
              </w:rPr>
              <w:t>)</w:t>
            </w:r>
          </w:p>
        </w:tc>
        <w:tc>
          <w:tcPr>
            <w:tcW w:w="1440" w:type="dxa"/>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170" w:type="dxa"/>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260" w:type="dxa"/>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8</w:t>
            </w:r>
          </w:p>
        </w:tc>
      </w:tr>
      <w:tr w:rsidR="00CF1375" w:rsidRPr="003E335B" w:rsidTr="007D4F65">
        <w:tc>
          <w:tcPr>
            <w:tcW w:w="4050" w:type="dxa"/>
            <w:shd w:val="clear" w:color="auto" w:fill="auto"/>
            <w:vAlign w:val="center"/>
            <w:hideMark/>
          </w:tcPr>
          <w:p w:rsidR="00CF1375" w:rsidRPr="003E335B" w:rsidRDefault="00CF1375"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Short-term deposits</w:t>
            </w:r>
          </w:p>
        </w:tc>
        <w:tc>
          <w:tcPr>
            <w:tcW w:w="1260" w:type="dxa"/>
            <w:shd w:val="clear" w:color="auto" w:fill="auto"/>
            <w:vAlign w:val="center"/>
            <w:hideMark/>
          </w:tcPr>
          <w:p w:rsidR="00CF137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67</w:t>
            </w:r>
          </w:p>
        </w:tc>
        <w:tc>
          <w:tcPr>
            <w:tcW w:w="1260" w:type="dxa"/>
            <w:shd w:val="clear" w:color="auto" w:fill="auto"/>
            <w:vAlign w:val="center"/>
          </w:tcPr>
          <w:p w:rsidR="00CF137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260" w:type="dxa"/>
            <w:shd w:val="clear" w:color="auto" w:fill="auto"/>
            <w:vAlign w:val="center"/>
          </w:tcPr>
          <w:p w:rsidR="00CF137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260" w:type="dxa"/>
            <w:shd w:val="clear" w:color="auto" w:fill="auto"/>
            <w:vAlign w:val="center"/>
          </w:tcPr>
          <w:p w:rsidR="00CF137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150</w:t>
            </w:r>
          </w:p>
        </w:tc>
        <w:tc>
          <w:tcPr>
            <w:tcW w:w="1170" w:type="dxa"/>
            <w:shd w:val="clear" w:color="auto" w:fill="auto"/>
            <w:vAlign w:val="center"/>
          </w:tcPr>
          <w:p w:rsidR="00CF137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(73)</w:t>
            </w:r>
          </w:p>
        </w:tc>
        <w:tc>
          <w:tcPr>
            <w:tcW w:w="1440" w:type="dxa"/>
            <w:shd w:val="clear" w:color="auto" w:fill="auto"/>
            <w:vAlign w:val="center"/>
          </w:tcPr>
          <w:p w:rsidR="00CF137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7</w:t>
            </w:r>
          </w:p>
        </w:tc>
        <w:tc>
          <w:tcPr>
            <w:tcW w:w="1170" w:type="dxa"/>
            <w:shd w:val="clear" w:color="auto" w:fill="auto"/>
            <w:vAlign w:val="center"/>
          </w:tcPr>
          <w:p w:rsidR="00CF137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260" w:type="dxa"/>
            <w:shd w:val="clear" w:color="auto" w:fill="auto"/>
            <w:vAlign w:val="center"/>
          </w:tcPr>
          <w:p w:rsidR="00CF137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151</w:t>
            </w:r>
          </w:p>
        </w:tc>
      </w:tr>
      <w:tr w:rsidR="00FB2185" w:rsidRPr="003E335B" w:rsidTr="007D4F65">
        <w:tc>
          <w:tcPr>
            <w:tcW w:w="4050" w:type="dxa"/>
            <w:shd w:val="clear" w:color="auto" w:fill="auto"/>
            <w:vAlign w:val="center"/>
            <w:hideMark/>
          </w:tcPr>
          <w:p w:rsidR="00FB2185" w:rsidRPr="003E335B" w:rsidRDefault="00FB2185"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Other current financial assets</w:t>
            </w:r>
          </w:p>
        </w:tc>
        <w:tc>
          <w:tcPr>
            <w:tcW w:w="1260" w:type="dxa"/>
            <w:tcBorders>
              <w:bottom w:val="single" w:sz="18" w:space="0" w:color="auto"/>
            </w:tcBorders>
            <w:shd w:val="clear" w:color="auto" w:fill="auto"/>
            <w:vAlign w:val="center"/>
            <w:hideMark/>
          </w:tcPr>
          <w:p w:rsidR="00FB2185" w:rsidRPr="003E335B" w:rsidRDefault="007D4F65" w:rsidP="000D70EC">
            <w:pPr>
              <w:spacing w:after="100" w:line="240" w:lineRule="auto"/>
              <w:jc w:val="right"/>
              <w:rPr>
                <w:rFonts w:asciiTheme="minorHAnsi" w:hAnsiTheme="minorHAnsi" w:cs="Arial"/>
                <w:sz w:val="20"/>
                <w:szCs w:val="20"/>
              </w:rPr>
            </w:pPr>
            <w:r>
              <w:rPr>
                <w:rFonts w:asciiTheme="minorHAnsi" w:hAnsiTheme="minorHAnsi" w:cs="Arial"/>
                <w:sz w:val="20"/>
                <w:szCs w:val="20"/>
              </w:rPr>
              <w:t>8</w:t>
            </w:r>
          </w:p>
        </w:tc>
        <w:tc>
          <w:tcPr>
            <w:tcW w:w="1260" w:type="dxa"/>
            <w:tcBorders>
              <w:bottom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260" w:type="dxa"/>
            <w:tcBorders>
              <w:bottom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260" w:type="dxa"/>
            <w:tcBorders>
              <w:bottom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170" w:type="dxa"/>
            <w:tcBorders>
              <w:bottom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440" w:type="dxa"/>
            <w:tcBorders>
              <w:bottom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170" w:type="dxa"/>
            <w:tcBorders>
              <w:bottom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260" w:type="dxa"/>
            <w:tcBorders>
              <w:bottom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sz w:val="20"/>
                <w:szCs w:val="20"/>
              </w:rPr>
            </w:pPr>
            <w:r>
              <w:rPr>
                <w:rFonts w:asciiTheme="minorHAnsi" w:hAnsiTheme="minorHAnsi" w:cs="Arial"/>
                <w:sz w:val="20"/>
                <w:szCs w:val="20"/>
              </w:rPr>
              <w:t>8</w:t>
            </w:r>
          </w:p>
        </w:tc>
      </w:tr>
      <w:tr w:rsidR="00FB2185" w:rsidRPr="003E335B" w:rsidTr="007D4F65">
        <w:tc>
          <w:tcPr>
            <w:tcW w:w="4050" w:type="dxa"/>
            <w:tcBorders>
              <w:bottom w:val="single" w:sz="18" w:space="0" w:color="auto"/>
            </w:tcBorders>
            <w:shd w:val="clear" w:color="auto" w:fill="auto"/>
            <w:vAlign w:val="center"/>
            <w:hideMark/>
          </w:tcPr>
          <w:p w:rsidR="00FB2185" w:rsidRPr="003E335B" w:rsidRDefault="00FB2185"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Total other financial assets (excluding derivatives)</w:t>
            </w:r>
          </w:p>
        </w:tc>
        <w:tc>
          <w:tcPr>
            <w:tcW w:w="1260" w:type="dxa"/>
            <w:tcBorders>
              <w:top w:val="single" w:sz="18" w:space="0" w:color="auto"/>
              <w:bottom w:val="single" w:sz="18" w:space="0" w:color="auto"/>
            </w:tcBorders>
            <w:shd w:val="clear" w:color="auto" w:fill="auto"/>
            <w:vAlign w:val="center"/>
            <w:hideMark/>
          </w:tcPr>
          <w:p w:rsidR="00FB2185" w:rsidRPr="003E335B" w:rsidRDefault="007D4F65"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1,245</w:t>
            </w:r>
          </w:p>
        </w:tc>
        <w:tc>
          <w:tcPr>
            <w:tcW w:w="1260" w:type="dxa"/>
            <w:tcBorders>
              <w:top w:val="single" w:sz="18" w:space="0" w:color="auto"/>
              <w:bottom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23</w:t>
            </w:r>
          </w:p>
        </w:tc>
        <w:tc>
          <w:tcPr>
            <w:tcW w:w="1260" w:type="dxa"/>
            <w:tcBorders>
              <w:top w:val="single" w:sz="18" w:space="0" w:color="auto"/>
              <w:bottom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(41)</w:t>
            </w:r>
          </w:p>
        </w:tc>
        <w:tc>
          <w:tcPr>
            <w:tcW w:w="1260" w:type="dxa"/>
            <w:tcBorders>
              <w:top w:val="single" w:sz="18" w:space="0" w:color="auto"/>
              <w:bottom w:val="single" w:sz="18" w:space="0" w:color="auto"/>
            </w:tcBorders>
            <w:shd w:val="clear" w:color="auto" w:fill="auto"/>
            <w:vAlign w:val="center"/>
          </w:tcPr>
          <w:p w:rsidR="00FB2185" w:rsidRPr="003E335B" w:rsidRDefault="00260182" w:rsidP="00260182">
            <w:pPr>
              <w:spacing w:after="100" w:line="240" w:lineRule="auto"/>
              <w:jc w:val="right"/>
              <w:rPr>
                <w:rFonts w:asciiTheme="minorHAnsi" w:hAnsiTheme="minorHAnsi" w:cs="Arial"/>
                <w:b/>
                <w:sz w:val="20"/>
                <w:szCs w:val="20"/>
              </w:rPr>
            </w:pPr>
            <w:r>
              <w:rPr>
                <w:rFonts w:asciiTheme="minorHAnsi" w:hAnsiTheme="minorHAnsi" w:cs="Arial"/>
                <w:b/>
                <w:sz w:val="20"/>
                <w:szCs w:val="20"/>
              </w:rPr>
              <w:t>399</w:t>
            </w:r>
          </w:p>
        </w:tc>
        <w:tc>
          <w:tcPr>
            <w:tcW w:w="1170" w:type="dxa"/>
            <w:tcBorders>
              <w:top w:val="single" w:sz="18" w:space="0" w:color="auto"/>
              <w:bottom w:val="single" w:sz="18" w:space="0" w:color="auto"/>
            </w:tcBorders>
            <w:shd w:val="clear" w:color="auto" w:fill="auto"/>
            <w:vAlign w:val="center"/>
          </w:tcPr>
          <w:p w:rsidR="00FB2185" w:rsidRPr="003E335B" w:rsidRDefault="006C2EAE" w:rsidP="00260182">
            <w:pPr>
              <w:spacing w:after="100" w:line="240" w:lineRule="auto"/>
              <w:jc w:val="right"/>
              <w:rPr>
                <w:rFonts w:asciiTheme="minorHAnsi" w:hAnsiTheme="minorHAnsi" w:cs="Arial"/>
                <w:b/>
                <w:sz w:val="20"/>
                <w:szCs w:val="20"/>
              </w:rPr>
            </w:pPr>
            <w:r>
              <w:rPr>
                <w:rFonts w:asciiTheme="minorHAnsi" w:hAnsiTheme="minorHAnsi" w:cs="Arial"/>
                <w:b/>
                <w:sz w:val="20"/>
                <w:szCs w:val="20"/>
              </w:rPr>
              <w:t>(1,</w:t>
            </w:r>
            <w:r w:rsidR="00260182">
              <w:rPr>
                <w:rFonts w:asciiTheme="minorHAnsi" w:hAnsiTheme="minorHAnsi" w:cs="Arial"/>
                <w:b/>
                <w:sz w:val="20"/>
                <w:szCs w:val="20"/>
              </w:rPr>
              <w:t>344</w:t>
            </w:r>
            <w:r>
              <w:rPr>
                <w:rFonts w:asciiTheme="minorHAnsi" w:hAnsiTheme="minorHAnsi" w:cs="Arial"/>
                <w:b/>
                <w:sz w:val="20"/>
                <w:szCs w:val="20"/>
              </w:rPr>
              <w:t>)</w:t>
            </w:r>
          </w:p>
        </w:tc>
        <w:tc>
          <w:tcPr>
            <w:tcW w:w="1440" w:type="dxa"/>
            <w:tcBorders>
              <w:top w:val="single" w:sz="18" w:space="0" w:color="auto"/>
              <w:bottom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29</w:t>
            </w:r>
          </w:p>
        </w:tc>
        <w:tc>
          <w:tcPr>
            <w:tcW w:w="1170" w:type="dxa"/>
            <w:tcBorders>
              <w:top w:val="single" w:sz="18" w:space="0" w:color="auto"/>
              <w:bottom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323</w:t>
            </w:r>
          </w:p>
        </w:tc>
        <w:tc>
          <w:tcPr>
            <w:tcW w:w="1260" w:type="dxa"/>
            <w:tcBorders>
              <w:top w:val="single" w:sz="18" w:space="0" w:color="auto"/>
              <w:bottom w:val="single" w:sz="18" w:space="0" w:color="auto"/>
            </w:tcBorders>
            <w:shd w:val="clear" w:color="auto" w:fill="auto"/>
            <w:vAlign w:val="center"/>
          </w:tcPr>
          <w:p w:rsidR="00FB2185" w:rsidRPr="003E335B" w:rsidRDefault="006C2EAE"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634</w:t>
            </w:r>
          </w:p>
        </w:tc>
      </w:tr>
    </w:tbl>
    <w:p w:rsidR="00847BCE" w:rsidRPr="003E335B" w:rsidRDefault="00847BCE" w:rsidP="000D70EC">
      <w:pPr>
        <w:spacing w:after="100" w:line="240" w:lineRule="auto"/>
        <w:ind w:firstLine="720"/>
        <w:rPr>
          <w:rFonts w:asciiTheme="minorHAnsi" w:hAnsiTheme="minorHAnsi" w:cs="Arial"/>
          <w:sz w:val="20"/>
          <w:szCs w:val="20"/>
        </w:rPr>
      </w:pPr>
      <w:r w:rsidRPr="003E335B">
        <w:rPr>
          <w:rFonts w:asciiTheme="minorHAnsi" w:hAnsiTheme="minorHAnsi" w:cs="Arial"/>
          <w:sz w:val="20"/>
          <w:szCs w:val="20"/>
        </w:rPr>
        <w:t>*OCI: Other comprehensive income</w:t>
      </w:r>
    </w:p>
    <w:p w:rsidR="00E4412A" w:rsidRPr="003E335B" w:rsidRDefault="00E4412A" w:rsidP="000D70EC">
      <w:pPr>
        <w:spacing w:after="100" w:line="240" w:lineRule="auto"/>
        <w:rPr>
          <w:rFonts w:asciiTheme="minorHAnsi" w:hAnsiTheme="minorHAnsi" w:cs="Arial"/>
          <w:sz w:val="20"/>
          <w:szCs w:val="20"/>
        </w:rPr>
        <w:sectPr w:rsidR="00E4412A" w:rsidRPr="003E335B" w:rsidSect="007D1EF2">
          <w:pgSz w:w="15840" w:h="12240" w:orient="landscape"/>
          <w:pgMar w:top="1185" w:right="1701" w:bottom="1185" w:left="284" w:header="284" w:footer="284" w:gutter="0"/>
          <w:cols w:space="708"/>
          <w:docGrid w:linePitch="360"/>
        </w:sectPr>
      </w:pPr>
    </w:p>
    <w:p w:rsidR="008733F0" w:rsidRDefault="00847BCE">
      <w:pPr>
        <w:spacing w:after="100" w:line="240" w:lineRule="auto"/>
        <w:jc w:val="both"/>
        <w:rPr>
          <w:rFonts w:asciiTheme="minorHAnsi" w:hAnsiTheme="minorHAnsi" w:cs="Arial"/>
          <w:b/>
          <w:i/>
          <w:sz w:val="20"/>
          <w:szCs w:val="20"/>
        </w:rPr>
      </w:pPr>
      <w:r w:rsidRPr="003E335B">
        <w:rPr>
          <w:rFonts w:asciiTheme="minorHAnsi" w:hAnsiTheme="minorHAnsi" w:cs="Arial"/>
          <w:b/>
          <w:i/>
          <w:sz w:val="20"/>
          <w:szCs w:val="20"/>
        </w:rPr>
        <w:lastRenderedPageBreak/>
        <w:t>Available-for-sale investments – quoted debt</w:t>
      </w:r>
      <w:r w:rsidR="00F72874" w:rsidRPr="003E335B">
        <w:rPr>
          <w:rFonts w:asciiTheme="minorHAnsi" w:hAnsiTheme="minorHAnsi" w:cs="Arial"/>
          <w:b/>
          <w:i/>
          <w:sz w:val="20"/>
          <w:szCs w:val="20"/>
        </w:rPr>
        <w:t xml:space="preserve"> and equity</w:t>
      </w:r>
      <w:r w:rsidRPr="003E335B">
        <w:rPr>
          <w:rFonts w:asciiTheme="minorHAnsi" w:hAnsiTheme="minorHAnsi" w:cs="Arial"/>
          <w:b/>
          <w:i/>
          <w:sz w:val="20"/>
          <w:szCs w:val="20"/>
        </w:rPr>
        <w:t xml:space="preserve"> instruments</w:t>
      </w:r>
    </w:p>
    <w:p w:rsidR="00F90AAB" w:rsidRPr="00F90AAB" w:rsidRDefault="00F90AAB" w:rsidP="000A1B34">
      <w:pPr>
        <w:pStyle w:val="BlockText"/>
        <w:rPr>
          <w:rFonts w:eastAsia="Calibri" w:cs="Arial"/>
          <w:color w:val="auto"/>
          <w:lang w:bidi="ar-SA"/>
        </w:rPr>
      </w:pPr>
      <w:r w:rsidRPr="00F90AAB">
        <w:rPr>
          <w:rFonts w:eastAsia="Calibri" w:cs="Arial"/>
          <w:color w:val="auto"/>
          <w:lang w:bidi="ar-SA"/>
        </w:rPr>
        <w:t xml:space="preserve">The change in fair value of the $133 million government debt securities classified as available-for-sale was not material as at July 2, 2011. The </w:t>
      </w:r>
      <w:r>
        <w:rPr>
          <w:rFonts w:eastAsia="Calibri" w:cs="Arial"/>
          <w:color w:val="auto"/>
          <w:lang w:bidi="ar-SA"/>
        </w:rPr>
        <w:t>Group</w:t>
      </w:r>
      <w:r w:rsidRPr="00F90AAB">
        <w:rPr>
          <w:rFonts w:eastAsia="Calibri" w:cs="Arial"/>
          <w:color w:val="auto"/>
          <w:lang w:bidi="ar-SA"/>
        </w:rPr>
        <w:t xml:space="preserve"> estimated the fair value of these financial assets based on publicly quoted market prices. The duration of the government </w:t>
      </w:r>
      <w:r w:rsidR="006D0980" w:rsidRPr="00F90AAB">
        <w:rPr>
          <w:rFonts w:eastAsia="Calibri" w:cs="Arial"/>
          <w:color w:val="auto"/>
          <w:lang w:bidi="ar-SA"/>
        </w:rPr>
        <w:t>b</w:t>
      </w:r>
      <w:r w:rsidR="006D0980">
        <w:rPr>
          <w:rFonts w:eastAsia="Calibri" w:cs="Arial"/>
          <w:color w:val="auto"/>
          <w:lang w:bidi="ar-SA"/>
        </w:rPr>
        <w:t>ond</w:t>
      </w:r>
      <w:r w:rsidR="006D0980" w:rsidRPr="00F90AAB">
        <w:rPr>
          <w:rFonts w:eastAsia="Calibri" w:cs="Arial"/>
          <w:color w:val="auto"/>
          <w:lang w:bidi="ar-SA"/>
        </w:rPr>
        <w:t xml:space="preserve">s </w:t>
      </w:r>
      <w:r w:rsidRPr="00F90AAB">
        <w:rPr>
          <w:rFonts w:eastAsia="Calibri" w:cs="Arial"/>
          <w:color w:val="auto"/>
          <w:lang w:bidi="ar-SA"/>
        </w:rPr>
        <w:t xml:space="preserve">portfolio is less than eleven months on average and the securities are rated Aa2 by Moody’s. </w:t>
      </w:r>
    </w:p>
    <w:p w:rsidR="00F90AAB" w:rsidRPr="00F90AAB" w:rsidRDefault="00F90AAB" w:rsidP="000A1B34">
      <w:pPr>
        <w:pStyle w:val="BlockText"/>
        <w:rPr>
          <w:rFonts w:eastAsia="Calibri" w:cs="Arial"/>
          <w:color w:val="auto"/>
          <w:lang w:bidi="ar-SA"/>
        </w:rPr>
      </w:pPr>
      <w:r w:rsidRPr="00F90AAB">
        <w:rPr>
          <w:rFonts w:eastAsia="Calibri" w:cs="Arial"/>
          <w:color w:val="auto"/>
          <w:lang w:bidi="ar-SA"/>
        </w:rPr>
        <w:t xml:space="preserve">Out of the 9 investment positions in floating-rate notes, 7 securities are in an unrealized loss position, which has been considered as </w:t>
      </w:r>
      <w:r w:rsidR="00330101">
        <w:rPr>
          <w:rFonts w:eastAsia="Calibri" w:cs="Arial"/>
          <w:color w:val="auto"/>
          <w:lang w:bidi="ar-SA"/>
        </w:rPr>
        <w:t>not prolonged and not significant</w:t>
      </w:r>
      <w:r w:rsidRPr="00F90AAB">
        <w:rPr>
          <w:rFonts w:eastAsia="Calibri" w:cs="Arial"/>
          <w:color w:val="auto"/>
          <w:lang w:bidi="ar-SA"/>
        </w:rPr>
        <w:t>, with the only exception of a senior floating rate note of Euro 15 million issued by Lehman Brothers</w:t>
      </w:r>
      <w:r>
        <w:rPr>
          <w:rFonts w:eastAsia="Calibri" w:cs="Arial"/>
          <w:color w:val="auto"/>
          <w:lang w:bidi="ar-SA"/>
        </w:rPr>
        <w:t xml:space="preserve">. </w:t>
      </w:r>
      <w:r w:rsidRPr="00F90AAB">
        <w:rPr>
          <w:rFonts w:eastAsia="Calibri" w:cs="Arial"/>
          <w:color w:val="auto"/>
          <w:lang w:bidi="ar-SA"/>
        </w:rPr>
        <w:t xml:space="preserve">For all investments, except the Lehman Brothers senior unsecured bonds described below, the </w:t>
      </w:r>
      <w:r>
        <w:rPr>
          <w:rFonts w:eastAsia="Calibri" w:cs="Arial"/>
          <w:color w:val="auto"/>
          <w:lang w:bidi="ar-SA"/>
        </w:rPr>
        <w:t>Group</w:t>
      </w:r>
      <w:r w:rsidRPr="00F90AAB">
        <w:rPr>
          <w:rFonts w:eastAsia="Calibri" w:cs="Arial"/>
          <w:color w:val="auto"/>
          <w:lang w:bidi="ar-SA"/>
        </w:rPr>
        <w:t xml:space="preserve"> expects to recover the debt securities’ entire amortized cost basis. Since the duration of the portfolio is 1.4 years on average and the securities have a minimum Moody’s rating of A2 (with the only exception of the Lehman Brothers senior unsecured bonds), the </w:t>
      </w:r>
      <w:r>
        <w:rPr>
          <w:rFonts w:eastAsia="Calibri" w:cs="Arial"/>
          <w:color w:val="auto"/>
          <w:lang w:bidi="ar-SA"/>
        </w:rPr>
        <w:t>Group</w:t>
      </w:r>
      <w:r w:rsidRPr="00F90AAB">
        <w:rPr>
          <w:rFonts w:eastAsia="Calibri" w:cs="Arial"/>
          <w:color w:val="auto"/>
          <w:lang w:bidi="ar-SA"/>
        </w:rPr>
        <w:t xml:space="preserve"> expects the value of the securities to return to par as the final maturity is approaching; as such, no credit loss has been identified on these instruments. </w:t>
      </w:r>
    </w:p>
    <w:p w:rsidR="00990F6C" w:rsidRDefault="00F90AAB" w:rsidP="000A1B34">
      <w:pPr>
        <w:pStyle w:val="BlockText"/>
        <w:rPr>
          <w:rFonts w:eastAsia="Calibri" w:cs="Arial"/>
          <w:color w:val="auto"/>
          <w:lang w:bidi="ar-SA"/>
        </w:rPr>
      </w:pPr>
      <w:r w:rsidRPr="00F90AAB">
        <w:rPr>
          <w:rFonts w:eastAsia="Calibri" w:cs="Arial"/>
          <w:color w:val="auto"/>
          <w:lang w:bidi="ar-SA"/>
        </w:rPr>
        <w:t xml:space="preserve">For the Lehman Brothers senior unsecured bonds, the </w:t>
      </w:r>
      <w:r w:rsidR="00990F6C">
        <w:rPr>
          <w:rFonts w:eastAsia="Calibri" w:cs="Arial"/>
          <w:color w:val="auto"/>
          <w:lang w:bidi="ar-SA"/>
        </w:rPr>
        <w:t>Group</w:t>
      </w:r>
      <w:r w:rsidRPr="00F90AAB">
        <w:rPr>
          <w:rFonts w:eastAsia="Calibri" w:cs="Arial"/>
          <w:color w:val="auto"/>
          <w:lang w:bidi="ar-SA"/>
        </w:rPr>
        <w:t xml:space="preserve"> has been measuring fair value since Lehman Brothers Chapter 11 filing on September 15, 2008 based on information received from a major credit rating entity. Such fair value information relied</w:t>
      </w:r>
      <w:r>
        <w:rPr>
          <w:rFonts w:eastAsia="Calibri" w:cs="Arial"/>
          <w:color w:val="auto"/>
          <w:lang w:bidi="ar-SA"/>
        </w:rPr>
        <w:t xml:space="preserve"> on historical recovery rates</w:t>
      </w:r>
      <w:r w:rsidRPr="00F90AAB">
        <w:rPr>
          <w:rFonts w:eastAsia="Calibri" w:cs="Arial"/>
          <w:color w:val="auto"/>
          <w:lang w:bidi="ar-SA"/>
        </w:rPr>
        <w:t xml:space="preserve">.  At the date of Lehman Brothers Chapter 11 filing, the </w:t>
      </w:r>
      <w:r>
        <w:rPr>
          <w:rFonts w:eastAsia="Calibri" w:cs="Arial"/>
          <w:color w:val="auto"/>
          <w:lang w:bidi="ar-SA"/>
        </w:rPr>
        <w:t>Group</w:t>
      </w:r>
      <w:r w:rsidRPr="00F90AAB">
        <w:rPr>
          <w:rFonts w:eastAsia="Calibri" w:cs="Arial"/>
          <w:color w:val="auto"/>
          <w:lang w:bidi="ar-SA"/>
        </w:rPr>
        <w:t xml:space="preserve"> did not expect to recover the entire amortized cost basis of the securities and </w:t>
      </w:r>
      <w:r>
        <w:rPr>
          <w:rFonts w:eastAsia="Calibri" w:cs="Arial"/>
          <w:color w:val="auto"/>
          <w:lang w:bidi="ar-SA"/>
        </w:rPr>
        <w:t xml:space="preserve">recorded an </w:t>
      </w:r>
      <w:r w:rsidRPr="00F90AAB">
        <w:rPr>
          <w:rFonts w:eastAsia="Calibri" w:cs="Arial"/>
          <w:color w:val="auto"/>
          <w:lang w:bidi="ar-SA"/>
        </w:rPr>
        <w:t xml:space="preserve">impairment charge representing 50% of the face value of the debt securities. During </w:t>
      </w:r>
      <w:r>
        <w:rPr>
          <w:rFonts w:eastAsia="Calibri" w:cs="Arial"/>
          <w:color w:val="auto"/>
          <w:lang w:bidi="ar-SA"/>
        </w:rPr>
        <w:t>the first half of 2011</w:t>
      </w:r>
      <w:r w:rsidRPr="00F90AAB">
        <w:rPr>
          <w:rFonts w:eastAsia="Calibri" w:cs="Arial"/>
          <w:color w:val="auto"/>
          <w:lang w:bidi="ar-SA"/>
        </w:rPr>
        <w:t>, following values observed on the open market and direct unbinding quotation</w:t>
      </w:r>
      <w:r w:rsidR="00990F6C">
        <w:rPr>
          <w:rFonts w:eastAsia="Calibri" w:cs="Arial"/>
          <w:color w:val="auto"/>
          <w:lang w:bidi="ar-SA"/>
        </w:rPr>
        <w:t>s</w:t>
      </w:r>
      <w:r w:rsidRPr="00F90AAB">
        <w:rPr>
          <w:rFonts w:eastAsia="Calibri" w:cs="Arial"/>
          <w:color w:val="auto"/>
          <w:lang w:bidi="ar-SA"/>
        </w:rPr>
        <w:t xml:space="preserve">, the </w:t>
      </w:r>
      <w:r>
        <w:rPr>
          <w:rFonts w:eastAsia="Calibri" w:cs="Arial"/>
          <w:color w:val="auto"/>
          <w:lang w:bidi="ar-SA"/>
        </w:rPr>
        <w:t>Group</w:t>
      </w:r>
      <w:r w:rsidRPr="00F90AAB">
        <w:rPr>
          <w:rFonts w:eastAsia="Calibri" w:cs="Arial"/>
          <w:color w:val="auto"/>
          <w:lang w:bidi="ar-SA"/>
        </w:rPr>
        <w:t xml:space="preserve"> assessed that it expected to recover the impaired amortized cost basis of the Lehman Brothers debt securities amounting to $5 million. As a result</w:t>
      </w:r>
      <w:r w:rsidR="00990F6C">
        <w:rPr>
          <w:rFonts w:eastAsia="Calibri" w:cs="Arial"/>
          <w:color w:val="auto"/>
          <w:lang w:bidi="ar-SA"/>
        </w:rPr>
        <w:t>,</w:t>
      </w:r>
      <w:r w:rsidRPr="00F90AAB">
        <w:rPr>
          <w:rFonts w:eastAsia="Calibri" w:cs="Arial"/>
          <w:color w:val="auto"/>
          <w:lang w:bidi="ar-SA"/>
        </w:rPr>
        <w:t xml:space="preserve"> </w:t>
      </w:r>
      <w:r w:rsidR="00990F6C">
        <w:rPr>
          <w:rFonts w:eastAsia="Calibri" w:cs="Arial"/>
          <w:color w:val="auto"/>
          <w:lang w:bidi="ar-SA"/>
        </w:rPr>
        <w:t>an impairment charge of $5 million was recorded</w:t>
      </w:r>
      <w:r w:rsidR="00990F6C" w:rsidRPr="00F90AAB">
        <w:rPr>
          <w:rFonts w:eastAsia="Calibri" w:cs="Arial"/>
          <w:color w:val="auto"/>
          <w:lang w:bidi="ar-SA"/>
        </w:rPr>
        <w:t xml:space="preserve"> during the first </w:t>
      </w:r>
      <w:r w:rsidR="00990F6C">
        <w:rPr>
          <w:rFonts w:eastAsia="Calibri" w:cs="Arial"/>
          <w:color w:val="auto"/>
          <w:lang w:bidi="ar-SA"/>
        </w:rPr>
        <w:t>half</w:t>
      </w:r>
      <w:r w:rsidR="00990F6C" w:rsidRPr="00F90AAB">
        <w:rPr>
          <w:rFonts w:eastAsia="Calibri" w:cs="Arial"/>
          <w:color w:val="auto"/>
          <w:lang w:bidi="ar-SA"/>
        </w:rPr>
        <w:t xml:space="preserve"> of 2011</w:t>
      </w:r>
      <w:r w:rsidR="00990F6C">
        <w:rPr>
          <w:rFonts w:eastAsia="Calibri" w:cs="Arial"/>
          <w:color w:val="auto"/>
          <w:lang w:bidi="ar-SA"/>
        </w:rPr>
        <w:t>.</w:t>
      </w:r>
    </w:p>
    <w:p w:rsidR="00254A1E" w:rsidRDefault="00990F6C">
      <w:pPr>
        <w:pStyle w:val="BlockText"/>
        <w:rPr>
          <w:rFonts w:eastAsia="Calibri" w:cs="Arial"/>
          <w:color w:val="auto"/>
          <w:lang w:bidi="ar-SA"/>
        </w:rPr>
      </w:pPr>
      <w:r w:rsidRPr="00990F6C">
        <w:rPr>
          <w:rFonts w:eastAsia="Calibri" w:cs="Arial"/>
          <w:color w:val="auto"/>
          <w:lang w:bidi="ar-SA"/>
        </w:rPr>
        <w:t xml:space="preserve">On May 7, 2010 the </w:t>
      </w:r>
      <w:r>
        <w:rPr>
          <w:rFonts w:eastAsia="Calibri" w:cs="Arial"/>
          <w:color w:val="auto"/>
          <w:lang w:bidi="ar-SA"/>
        </w:rPr>
        <w:t>Group</w:t>
      </w:r>
      <w:r w:rsidRPr="00990F6C">
        <w:rPr>
          <w:rFonts w:eastAsia="Calibri" w:cs="Arial"/>
          <w:color w:val="auto"/>
          <w:lang w:bidi="ar-SA"/>
        </w:rPr>
        <w:t xml:space="preserve"> disposed of its investment in Numonyx in exchange of 67 million shares in Micron Technology Inc. During November and December 2010, the </w:t>
      </w:r>
      <w:r>
        <w:rPr>
          <w:rFonts w:eastAsia="Calibri" w:cs="Arial"/>
          <w:color w:val="auto"/>
          <w:lang w:bidi="ar-SA"/>
        </w:rPr>
        <w:t>Group</w:t>
      </w:r>
      <w:r w:rsidRPr="00990F6C">
        <w:rPr>
          <w:rFonts w:eastAsia="Calibri" w:cs="Arial"/>
          <w:color w:val="auto"/>
          <w:lang w:bidi="ar-SA"/>
        </w:rPr>
        <w:t xml:space="preserve"> sold around 47 million of those shares, together with the related hedging instruments.  The remaining 20 million shares and related hedging instruments were sold during January 2011. The $189 million proceeds from the sale of the remaining shares</w:t>
      </w:r>
      <w:r w:rsidR="0071517B">
        <w:rPr>
          <w:rFonts w:eastAsia="Calibri" w:cs="Arial"/>
          <w:color w:val="auto"/>
          <w:lang w:bidi="ar-SA"/>
        </w:rPr>
        <w:t xml:space="preserve"> together with the unwinding of the related derivative instruments</w:t>
      </w:r>
      <w:r w:rsidRPr="00990F6C">
        <w:rPr>
          <w:rFonts w:eastAsia="Calibri" w:cs="Arial"/>
          <w:color w:val="auto"/>
          <w:lang w:bidi="ar-SA"/>
        </w:rPr>
        <w:t xml:space="preserve"> generated a non-operating </w:t>
      </w:r>
      <w:r w:rsidR="00B423FB">
        <w:rPr>
          <w:rFonts w:eastAsia="Calibri" w:cs="Arial"/>
          <w:color w:val="auto"/>
          <w:lang w:bidi="ar-SA"/>
        </w:rPr>
        <w:t>loss</w:t>
      </w:r>
      <w:r w:rsidRPr="00990F6C">
        <w:rPr>
          <w:rFonts w:eastAsia="Calibri" w:cs="Arial"/>
          <w:color w:val="auto"/>
          <w:lang w:bidi="ar-SA"/>
        </w:rPr>
        <w:t xml:space="preserve"> of $</w:t>
      </w:r>
      <w:r w:rsidR="00B423FB">
        <w:rPr>
          <w:rFonts w:eastAsia="Calibri" w:cs="Arial"/>
          <w:color w:val="auto"/>
          <w:lang w:bidi="ar-SA"/>
        </w:rPr>
        <w:t>4</w:t>
      </w:r>
      <w:r w:rsidRPr="00990F6C">
        <w:rPr>
          <w:rFonts w:eastAsia="Calibri" w:cs="Arial"/>
          <w:color w:val="auto"/>
          <w:lang w:bidi="ar-SA"/>
        </w:rPr>
        <w:t xml:space="preserve"> million reported in the line “</w:t>
      </w:r>
      <w:r>
        <w:rPr>
          <w:rFonts w:eastAsia="Calibri" w:cs="Arial"/>
          <w:color w:val="auto"/>
          <w:lang w:bidi="ar-SA"/>
        </w:rPr>
        <w:t>Finance income</w:t>
      </w:r>
      <w:r w:rsidRPr="00990F6C">
        <w:rPr>
          <w:rFonts w:eastAsia="Calibri" w:cs="Arial"/>
          <w:color w:val="auto"/>
          <w:lang w:bidi="ar-SA"/>
        </w:rPr>
        <w:t>”.</w:t>
      </w:r>
      <w:r w:rsidR="00B423FB">
        <w:rPr>
          <w:rFonts w:eastAsia="Calibri" w:cs="Arial"/>
          <w:color w:val="auto"/>
          <w:lang w:bidi="ar-SA"/>
        </w:rPr>
        <w:t xml:space="preserve"> This loss was offset by an income of $6 million corresponding to the ineffective portion of the contingent collars designated as cash flow hedges.</w:t>
      </w:r>
      <w:r w:rsidRPr="00990F6C">
        <w:rPr>
          <w:rFonts w:eastAsia="Calibri" w:cs="Arial"/>
          <w:color w:val="auto"/>
          <w:lang w:bidi="ar-SA"/>
        </w:rPr>
        <w:t xml:space="preserve"> </w:t>
      </w:r>
    </w:p>
    <w:p w:rsidR="008733F0" w:rsidRDefault="00847BCE">
      <w:pPr>
        <w:spacing w:after="100" w:line="240" w:lineRule="auto"/>
        <w:jc w:val="both"/>
        <w:rPr>
          <w:rFonts w:asciiTheme="minorHAnsi" w:hAnsiTheme="minorHAnsi" w:cs="Arial"/>
          <w:b/>
          <w:i/>
          <w:sz w:val="20"/>
          <w:szCs w:val="20"/>
        </w:rPr>
      </w:pPr>
      <w:r w:rsidRPr="003E335B">
        <w:rPr>
          <w:rFonts w:asciiTheme="minorHAnsi" w:hAnsiTheme="minorHAnsi" w:cs="Arial"/>
          <w:b/>
          <w:i/>
          <w:sz w:val="20"/>
          <w:szCs w:val="20"/>
        </w:rPr>
        <w:t xml:space="preserve">Available-for-sale investments – unquoted debt instruments </w:t>
      </w:r>
    </w:p>
    <w:p w:rsidR="008733F0" w:rsidRDefault="00132ABA">
      <w:pPr>
        <w:spacing w:after="100" w:line="240" w:lineRule="auto"/>
        <w:jc w:val="both"/>
        <w:rPr>
          <w:rFonts w:asciiTheme="minorHAnsi" w:hAnsiTheme="minorHAnsi" w:cs="Arial"/>
          <w:sz w:val="20"/>
          <w:szCs w:val="20"/>
        </w:rPr>
      </w:pPr>
      <w:r w:rsidRPr="00132ABA">
        <w:rPr>
          <w:rFonts w:asciiTheme="minorHAnsi" w:hAnsiTheme="minorHAnsi" w:cs="Arial"/>
          <w:sz w:val="20"/>
          <w:szCs w:val="20"/>
        </w:rPr>
        <w:t xml:space="preserve">The </w:t>
      </w:r>
      <w:r>
        <w:rPr>
          <w:rFonts w:asciiTheme="minorHAnsi" w:hAnsiTheme="minorHAnsi" w:cs="Arial"/>
          <w:sz w:val="20"/>
          <w:szCs w:val="20"/>
        </w:rPr>
        <w:t>Group</w:t>
      </w:r>
      <w:r w:rsidRPr="00132ABA">
        <w:rPr>
          <w:rFonts w:asciiTheme="minorHAnsi" w:hAnsiTheme="minorHAnsi" w:cs="Arial"/>
          <w:sz w:val="20"/>
          <w:szCs w:val="20"/>
        </w:rPr>
        <w:t xml:space="preserve">’s legal action to recover from Credit Suisse the amount invested in unauthorized auction rate securities against the </w:t>
      </w:r>
      <w:r>
        <w:rPr>
          <w:rFonts w:asciiTheme="minorHAnsi" w:hAnsiTheme="minorHAnsi" w:cs="Arial"/>
          <w:sz w:val="20"/>
          <w:szCs w:val="20"/>
        </w:rPr>
        <w:t>Group</w:t>
      </w:r>
      <w:r w:rsidRPr="00132ABA">
        <w:rPr>
          <w:rFonts w:asciiTheme="minorHAnsi" w:hAnsiTheme="minorHAnsi" w:cs="Arial"/>
          <w:sz w:val="20"/>
          <w:szCs w:val="20"/>
        </w:rPr>
        <w:t>’s instructions was</w:t>
      </w:r>
      <w:r w:rsidR="005C53B5">
        <w:rPr>
          <w:rFonts w:asciiTheme="minorHAnsi" w:hAnsiTheme="minorHAnsi" w:cs="Arial"/>
          <w:sz w:val="20"/>
          <w:szCs w:val="20"/>
        </w:rPr>
        <w:t xml:space="preserve"> settled on June 9, 2011 with </w:t>
      </w:r>
      <w:r w:rsidRPr="00132ABA">
        <w:rPr>
          <w:rFonts w:asciiTheme="minorHAnsi" w:hAnsiTheme="minorHAnsi" w:cs="Arial"/>
          <w:sz w:val="20"/>
          <w:szCs w:val="20"/>
        </w:rPr>
        <w:t xml:space="preserve">net </w:t>
      </w:r>
      <w:r w:rsidR="005C53B5">
        <w:rPr>
          <w:rFonts w:asciiTheme="minorHAnsi" w:hAnsiTheme="minorHAnsi" w:cs="Arial"/>
          <w:sz w:val="20"/>
          <w:szCs w:val="20"/>
        </w:rPr>
        <w:t>proceeds</w:t>
      </w:r>
      <w:r w:rsidRPr="00132ABA">
        <w:rPr>
          <w:rFonts w:asciiTheme="minorHAnsi" w:hAnsiTheme="minorHAnsi" w:cs="Arial"/>
          <w:sz w:val="20"/>
          <w:szCs w:val="20"/>
        </w:rPr>
        <w:t xml:space="preserve"> of $350 million. Upon receipt of the funds, the ownership of the portfolio was transferred to Credit Suisse and the </w:t>
      </w:r>
      <w:r>
        <w:rPr>
          <w:rFonts w:asciiTheme="minorHAnsi" w:hAnsiTheme="minorHAnsi" w:cs="Arial"/>
          <w:sz w:val="20"/>
          <w:szCs w:val="20"/>
        </w:rPr>
        <w:t>Group</w:t>
      </w:r>
      <w:r w:rsidRPr="00132ABA">
        <w:rPr>
          <w:rFonts w:asciiTheme="minorHAnsi" w:hAnsiTheme="minorHAnsi" w:cs="Arial"/>
          <w:sz w:val="20"/>
          <w:szCs w:val="20"/>
        </w:rPr>
        <w:t xml:space="preserve"> derecognized the $77 million of auction rate securities reported at fair value as non-current assets on the line “</w:t>
      </w:r>
      <w:r>
        <w:rPr>
          <w:rFonts w:asciiTheme="minorHAnsi" w:hAnsiTheme="minorHAnsi" w:cs="Arial"/>
          <w:sz w:val="20"/>
          <w:szCs w:val="20"/>
        </w:rPr>
        <w:t>Other non-current financial assets</w:t>
      </w:r>
      <w:r w:rsidRPr="00132ABA">
        <w:rPr>
          <w:rFonts w:asciiTheme="minorHAnsi" w:hAnsiTheme="minorHAnsi" w:cs="Arial"/>
          <w:sz w:val="20"/>
          <w:szCs w:val="20"/>
        </w:rPr>
        <w:t xml:space="preserve">” on the </w:t>
      </w:r>
      <w:r>
        <w:rPr>
          <w:rFonts w:asciiTheme="minorHAnsi" w:hAnsiTheme="minorHAnsi" w:cs="Arial"/>
          <w:sz w:val="20"/>
          <w:szCs w:val="20"/>
        </w:rPr>
        <w:t xml:space="preserve">statement of financial position as at December 31, 2010 </w:t>
      </w:r>
      <w:r w:rsidRPr="00132ABA">
        <w:rPr>
          <w:rFonts w:asciiTheme="minorHAnsi" w:hAnsiTheme="minorHAnsi" w:cs="Arial"/>
          <w:sz w:val="20"/>
          <w:szCs w:val="20"/>
        </w:rPr>
        <w:t xml:space="preserve">and recognized a pre-tax gain of $329 million, out of which $6 million in SG&amp;A and $323 million as a realized gain on financial assets. This settlement is further described in note </w:t>
      </w:r>
      <w:r>
        <w:rPr>
          <w:rFonts w:asciiTheme="minorHAnsi" w:hAnsiTheme="minorHAnsi" w:cs="Arial"/>
          <w:sz w:val="20"/>
          <w:szCs w:val="20"/>
        </w:rPr>
        <w:t>16</w:t>
      </w:r>
      <w:r w:rsidRPr="00132ABA">
        <w:rPr>
          <w:rFonts w:asciiTheme="minorHAnsi" w:hAnsiTheme="minorHAnsi" w:cs="Arial"/>
          <w:sz w:val="20"/>
          <w:szCs w:val="20"/>
        </w:rPr>
        <w:t>.</w:t>
      </w:r>
      <w:r w:rsidR="0071517B" w:rsidRPr="0071517B">
        <w:rPr>
          <w:rFonts w:asciiTheme="minorHAnsi" w:hAnsiTheme="minorHAnsi" w:cs="Arial"/>
          <w:sz w:val="20"/>
          <w:szCs w:val="20"/>
        </w:rPr>
        <w:t xml:space="preserve"> </w:t>
      </w:r>
    </w:p>
    <w:p w:rsidR="00F5021F" w:rsidRPr="003E335B" w:rsidRDefault="00F5021F"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 xml:space="preserve"> </w:t>
      </w:r>
    </w:p>
    <w:p w:rsidR="00675D93" w:rsidRPr="003E335B" w:rsidRDefault="00675D93" w:rsidP="000D70EC">
      <w:pPr>
        <w:spacing w:after="100" w:line="240" w:lineRule="auto"/>
        <w:rPr>
          <w:rFonts w:asciiTheme="minorHAnsi" w:eastAsia="Times New Roman" w:hAnsiTheme="minorHAnsi" w:cs="Arial"/>
          <w:b/>
          <w:smallCaps/>
          <w:color w:val="009CDD"/>
          <w:spacing w:val="10"/>
          <w:sz w:val="20"/>
          <w:szCs w:val="20"/>
          <w:lang w:bidi="en-US"/>
        </w:rPr>
      </w:pPr>
      <w:bookmarkStart w:id="169" w:name="_Ref255315251"/>
      <w:bookmarkStart w:id="170" w:name="_Toc265058926"/>
      <w:bookmarkStart w:id="171" w:name="_Ref255553207"/>
      <w:r w:rsidRPr="003E335B">
        <w:rPr>
          <w:rFonts w:asciiTheme="minorHAnsi" w:hAnsiTheme="minorHAnsi"/>
          <w:sz w:val="20"/>
          <w:szCs w:val="20"/>
        </w:rPr>
        <w:br w:type="page"/>
      </w:r>
    </w:p>
    <w:p w:rsidR="00847BCE" w:rsidRPr="003E335B" w:rsidRDefault="00847BCE" w:rsidP="000D70EC">
      <w:pPr>
        <w:pStyle w:val="Title4"/>
        <w:spacing w:before="0" w:after="100" w:line="240" w:lineRule="auto"/>
        <w:rPr>
          <w:rFonts w:asciiTheme="minorHAnsi" w:hAnsiTheme="minorHAnsi"/>
          <w:sz w:val="20"/>
          <w:szCs w:val="20"/>
        </w:rPr>
      </w:pPr>
      <w:r w:rsidRPr="003E335B">
        <w:rPr>
          <w:rFonts w:asciiTheme="minorHAnsi" w:hAnsiTheme="minorHAnsi"/>
          <w:sz w:val="20"/>
          <w:szCs w:val="20"/>
        </w:rPr>
        <w:lastRenderedPageBreak/>
        <w:t>Other financial liabilities</w:t>
      </w:r>
      <w:bookmarkEnd w:id="169"/>
      <w:bookmarkEnd w:id="170"/>
      <w:bookmarkEnd w:id="171"/>
    </w:p>
    <w:p w:rsidR="00847BCE" w:rsidRPr="003E335B" w:rsidRDefault="00847BCE" w:rsidP="000D70EC">
      <w:pPr>
        <w:spacing w:after="100" w:line="240" w:lineRule="auto"/>
        <w:rPr>
          <w:rFonts w:asciiTheme="minorHAnsi" w:hAnsiTheme="minorHAnsi" w:cs="Arial"/>
          <w:sz w:val="20"/>
          <w:szCs w:val="20"/>
        </w:rPr>
      </w:pPr>
    </w:p>
    <w:tbl>
      <w:tblPr>
        <w:tblW w:w="10098" w:type="dxa"/>
        <w:tblLook w:val="04A0"/>
      </w:tblPr>
      <w:tblGrid>
        <w:gridCol w:w="5688"/>
        <w:gridCol w:w="2205"/>
        <w:gridCol w:w="2205"/>
      </w:tblGrid>
      <w:tr w:rsidR="00847BCE" w:rsidRPr="003E335B" w:rsidTr="00C52B12">
        <w:tc>
          <w:tcPr>
            <w:tcW w:w="5688" w:type="dxa"/>
            <w:vMerge w:val="restart"/>
            <w:vAlign w:val="bottom"/>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2205" w:type="dxa"/>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(unaudited)</w:t>
            </w:r>
          </w:p>
        </w:tc>
        <w:tc>
          <w:tcPr>
            <w:tcW w:w="2205" w:type="dxa"/>
            <w:tcBorders>
              <w:bottom w:val="single" w:sz="18" w:space="0" w:color="auto"/>
            </w:tcBorders>
            <w:vAlign w:val="bottom"/>
          </w:tcPr>
          <w:p w:rsidR="00847BCE" w:rsidRPr="003E335B" w:rsidRDefault="00DC4940"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(audited)</w:t>
            </w:r>
          </w:p>
        </w:tc>
      </w:tr>
      <w:tr w:rsidR="00847BCE" w:rsidRPr="003E335B" w:rsidTr="00C52B12">
        <w:tc>
          <w:tcPr>
            <w:tcW w:w="0" w:type="auto"/>
            <w:vMerge/>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p>
        </w:tc>
        <w:tc>
          <w:tcPr>
            <w:tcW w:w="2205" w:type="dxa"/>
            <w:tcBorders>
              <w:top w:val="single" w:sz="18" w:space="0" w:color="auto"/>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w:t>
            </w:r>
            <w:r w:rsidR="00BE357C" w:rsidRPr="003E335B">
              <w:rPr>
                <w:rFonts w:asciiTheme="minorHAnsi" w:hAnsiTheme="minorHAnsi" w:cs="Arial"/>
                <w:sz w:val="20"/>
                <w:szCs w:val="20"/>
              </w:rPr>
              <w:t>ly</w:t>
            </w:r>
            <w:r w:rsidRPr="003E335B">
              <w:rPr>
                <w:rFonts w:asciiTheme="minorHAnsi" w:hAnsiTheme="minorHAnsi" w:cs="Arial"/>
                <w:sz w:val="20"/>
                <w:szCs w:val="20"/>
              </w:rPr>
              <w:t xml:space="preserve"> 2, 201</w:t>
            </w:r>
            <w:r w:rsidR="00BE357C" w:rsidRPr="003E335B">
              <w:rPr>
                <w:rFonts w:asciiTheme="minorHAnsi" w:hAnsiTheme="minorHAnsi" w:cs="Arial"/>
                <w:sz w:val="20"/>
                <w:szCs w:val="20"/>
              </w:rPr>
              <w:t>1</w:t>
            </w:r>
          </w:p>
        </w:tc>
        <w:tc>
          <w:tcPr>
            <w:tcW w:w="2205" w:type="dxa"/>
            <w:tcBorders>
              <w:top w:val="single" w:sz="18" w:space="0" w:color="auto"/>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December 31, 20</w:t>
            </w:r>
            <w:r w:rsidR="00BE357C" w:rsidRPr="003E335B">
              <w:rPr>
                <w:rFonts w:asciiTheme="minorHAnsi" w:hAnsiTheme="minorHAnsi" w:cs="Arial"/>
                <w:sz w:val="20"/>
                <w:szCs w:val="20"/>
              </w:rPr>
              <w:t>10</w:t>
            </w:r>
          </w:p>
        </w:tc>
      </w:tr>
      <w:tr w:rsidR="00847BCE" w:rsidRPr="003E335B" w:rsidTr="00C52B12">
        <w:tc>
          <w:tcPr>
            <w:tcW w:w="568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Derivative financial instruments</w:t>
            </w:r>
          </w:p>
        </w:tc>
        <w:tc>
          <w:tcPr>
            <w:tcW w:w="2205" w:type="dxa"/>
            <w:shd w:val="clear" w:color="auto" w:fill="B8CCE4" w:themeFill="accent1" w:themeFillTint="66"/>
            <w:vAlign w:val="center"/>
          </w:tcPr>
          <w:p w:rsidR="00847BCE" w:rsidRPr="003E335B" w:rsidRDefault="00847BCE" w:rsidP="000D70EC">
            <w:pPr>
              <w:spacing w:after="100" w:line="240" w:lineRule="auto"/>
              <w:jc w:val="right"/>
              <w:rPr>
                <w:rFonts w:asciiTheme="minorHAnsi" w:hAnsiTheme="minorHAnsi" w:cs="Arial"/>
                <w:b/>
                <w:sz w:val="20"/>
                <w:szCs w:val="20"/>
              </w:rPr>
            </w:pPr>
          </w:p>
        </w:tc>
        <w:tc>
          <w:tcPr>
            <w:tcW w:w="2205" w:type="dxa"/>
            <w:shd w:val="clear" w:color="auto" w:fill="B8CCE4" w:themeFill="accent1" w:themeFillTint="66"/>
            <w:vAlign w:val="center"/>
          </w:tcPr>
          <w:p w:rsidR="00847BCE" w:rsidRPr="003E335B" w:rsidRDefault="00847BCE" w:rsidP="000D70EC">
            <w:pPr>
              <w:spacing w:after="100" w:line="240" w:lineRule="auto"/>
              <w:jc w:val="right"/>
              <w:rPr>
                <w:rFonts w:asciiTheme="minorHAnsi" w:hAnsiTheme="minorHAnsi" w:cs="Arial"/>
                <w:b/>
                <w:sz w:val="20"/>
                <w:szCs w:val="20"/>
              </w:rPr>
            </w:pPr>
          </w:p>
        </w:tc>
      </w:tr>
      <w:tr w:rsidR="00847BCE" w:rsidRPr="003E335B" w:rsidTr="00C52B12">
        <w:tc>
          <w:tcPr>
            <w:tcW w:w="5688" w:type="dxa"/>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Cash flow hedges</w:t>
            </w:r>
          </w:p>
        </w:tc>
        <w:tc>
          <w:tcPr>
            <w:tcW w:w="2205" w:type="dxa"/>
            <w:vAlign w:val="center"/>
          </w:tcPr>
          <w:p w:rsidR="00847BCE" w:rsidRPr="003E335B" w:rsidRDefault="00847BCE" w:rsidP="000D70EC">
            <w:pPr>
              <w:spacing w:after="100" w:line="240" w:lineRule="auto"/>
              <w:jc w:val="right"/>
              <w:rPr>
                <w:rFonts w:asciiTheme="minorHAnsi" w:hAnsiTheme="minorHAnsi" w:cs="Arial"/>
                <w:sz w:val="20"/>
                <w:szCs w:val="20"/>
              </w:rPr>
            </w:pPr>
          </w:p>
        </w:tc>
        <w:tc>
          <w:tcPr>
            <w:tcW w:w="2205" w:type="dxa"/>
            <w:vAlign w:val="center"/>
          </w:tcPr>
          <w:p w:rsidR="00847BCE" w:rsidRPr="003E335B" w:rsidRDefault="00847BCE" w:rsidP="000D70EC">
            <w:pPr>
              <w:spacing w:after="100" w:line="240" w:lineRule="auto"/>
              <w:jc w:val="right"/>
              <w:rPr>
                <w:rFonts w:asciiTheme="minorHAnsi" w:hAnsiTheme="minorHAnsi" w:cs="Arial"/>
                <w:sz w:val="20"/>
                <w:szCs w:val="20"/>
              </w:rPr>
            </w:pPr>
          </w:p>
        </w:tc>
      </w:tr>
      <w:tr w:rsidR="00847BCE" w:rsidRPr="003E335B" w:rsidTr="00C52B12">
        <w:tc>
          <w:tcPr>
            <w:tcW w:w="5688" w:type="dxa"/>
            <w:shd w:val="clear" w:color="auto" w:fill="B8CCE4" w:themeFill="accent1" w:themeFillTint="66"/>
            <w:hideMark/>
          </w:tcPr>
          <w:p w:rsidR="00847BCE" w:rsidRPr="003E335B" w:rsidRDefault="00847BCE" w:rsidP="000D70EC">
            <w:pPr>
              <w:spacing w:after="100" w:line="240" w:lineRule="auto"/>
              <w:ind w:left="180"/>
              <w:rPr>
                <w:rFonts w:asciiTheme="minorHAnsi" w:hAnsiTheme="minorHAnsi" w:cs="Arial"/>
                <w:sz w:val="20"/>
                <w:szCs w:val="20"/>
              </w:rPr>
            </w:pPr>
            <w:r w:rsidRPr="003E335B">
              <w:rPr>
                <w:rFonts w:asciiTheme="minorHAnsi" w:hAnsiTheme="minorHAnsi" w:cs="Arial"/>
                <w:sz w:val="20"/>
                <w:szCs w:val="20"/>
              </w:rPr>
              <w:t>Forward foreign exchange contracts</w:t>
            </w:r>
          </w:p>
        </w:tc>
        <w:tc>
          <w:tcPr>
            <w:tcW w:w="2205" w:type="dxa"/>
            <w:shd w:val="clear" w:color="auto" w:fill="B8CCE4" w:themeFill="accent1" w:themeFillTint="66"/>
            <w:vAlign w:val="center"/>
          </w:tcPr>
          <w:p w:rsidR="00847BCE" w:rsidRPr="003E335B" w:rsidRDefault="005637CA"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2205" w:type="dxa"/>
            <w:shd w:val="clear" w:color="auto" w:fill="B8CCE4" w:themeFill="accent1" w:themeFillTint="66"/>
            <w:vAlign w:val="center"/>
            <w:hideMark/>
          </w:tcPr>
          <w:p w:rsidR="00847BCE" w:rsidRPr="003E335B" w:rsidRDefault="00533406" w:rsidP="000D70EC">
            <w:pPr>
              <w:spacing w:after="100" w:line="240" w:lineRule="auto"/>
              <w:jc w:val="right"/>
              <w:rPr>
                <w:rFonts w:asciiTheme="minorHAnsi" w:hAnsiTheme="minorHAnsi" w:cs="Arial"/>
                <w:sz w:val="20"/>
                <w:szCs w:val="20"/>
              </w:rPr>
            </w:pPr>
            <w:r>
              <w:rPr>
                <w:rFonts w:asciiTheme="minorHAnsi" w:hAnsiTheme="minorHAnsi" w:cs="Arial"/>
                <w:sz w:val="20"/>
                <w:szCs w:val="20"/>
              </w:rPr>
              <w:t>2</w:t>
            </w:r>
          </w:p>
        </w:tc>
      </w:tr>
      <w:tr w:rsidR="00847BCE" w:rsidRPr="003E335B" w:rsidTr="00C52B12">
        <w:tc>
          <w:tcPr>
            <w:tcW w:w="5688" w:type="dxa"/>
            <w:hideMark/>
          </w:tcPr>
          <w:p w:rsidR="00847BCE" w:rsidRPr="003E335B" w:rsidRDefault="00533406" w:rsidP="000D70EC">
            <w:pPr>
              <w:spacing w:after="100" w:line="240" w:lineRule="auto"/>
              <w:ind w:left="180"/>
              <w:rPr>
                <w:rFonts w:asciiTheme="minorHAnsi" w:hAnsiTheme="minorHAnsi" w:cs="Arial"/>
                <w:sz w:val="20"/>
                <w:szCs w:val="20"/>
              </w:rPr>
            </w:pPr>
            <w:r>
              <w:rPr>
                <w:rFonts w:asciiTheme="minorHAnsi" w:hAnsiTheme="minorHAnsi" w:cs="Arial"/>
                <w:sz w:val="20"/>
                <w:szCs w:val="20"/>
              </w:rPr>
              <w:t>Currency collars</w:t>
            </w:r>
          </w:p>
        </w:tc>
        <w:tc>
          <w:tcPr>
            <w:tcW w:w="2205" w:type="dxa"/>
            <w:vAlign w:val="center"/>
          </w:tcPr>
          <w:p w:rsidR="00847BCE" w:rsidRPr="003E335B" w:rsidRDefault="005637CA"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2205" w:type="dxa"/>
            <w:vAlign w:val="center"/>
            <w:hideMark/>
          </w:tcPr>
          <w:p w:rsidR="00847BCE" w:rsidRPr="003E335B" w:rsidRDefault="00533406" w:rsidP="000D70EC">
            <w:pPr>
              <w:spacing w:after="100" w:line="240" w:lineRule="auto"/>
              <w:jc w:val="right"/>
              <w:rPr>
                <w:rFonts w:asciiTheme="minorHAnsi" w:hAnsiTheme="minorHAnsi" w:cs="Arial"/>
                <w:sz w:val="20"/>
                <w:szCs w:val="20"/>
              </w:rPr>
            </w:pPr>
            <w:r>
              <w:rPr>
                <w:rFonts w:asciiTheme="minorHAnsi" w:hAnsiTheme="minorHAnsi" w:cs="Arial"/>
                <w:sz w:val="20"/>
                <w:szCs w:val="20"/>
              </w:rPr>
              <w:t>1</w:t>
            </w:r>
          </w:p>
        </w:tc>
      </w:tr>
      <w:tr w:rsidR="00847BCE" w:rsidRPr="003E335B" w:rsidTr="00C52B12">
        <w:tc>
          <w:tcPr>
            <w:tcW w:w="568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Derivatives not designated as hedges</w:t>
            </w:r>
          </w:p>
        </w:tc>
        <w:tc>
          <w:tcPr>
            <w:tcW w:w="2205" w:type="dxa"/>
            <w:shd w:val="clear" w:color="auto" w:fill="B8CCE4" w:themeFill="accent1" w:themeFillTint="66"/>
            <w:vAlign w:val="center"/>
          </w:tcPr>
          <w:p w:rsidR="00847BCE" w:rsidRPr="003E335B" w:rsidRDefault="00847BCE" w:rsidP="000D70EC">
            <w:pPr>
              <w:spacing w:after="100" w:line="240" w:lineRule="auto"/>
              <w:jc w:val="right"/>
              <w:rPr>
                <w:rFonts w:asciiTheme="minorHAnsi" w:hAnsiTheme="minorHAnsi" w:cs="Arial"/>
                <w:sz w:val="20"/>
                <w:szCs w:val="20"/>
              </w:rPr>
            </w:pPr>
          </w:p>
        </w:tc>
        <w:tc>
          <w:tcPr>
            <w:tcW w:w="2205" w:type="dxa"/>
            <w:shd w:val="clear" w:color="auto" w:fill="B8CCE4" w:themeFill="accent1" w:themeFillTint="66"/>
            <w:vAlign w:val="center"/>
          </w:tcPr>
          <w:p w:rsidR="00847BCE" w:rsidRPr="003E335B" w:rsidRDefault="00847BCE" w:rsidP="000D70EC">
            <w:pPr>
              <w:spacing w:after="100" w:line="240" w:lineRule="auto"/>
              <w:jc w:val="right"/>
              <w:rPr>
                <w:rFonts w:asciiTheme="minorHAnsi" w:hAnsiTheme="minorHAnsi" w:cs="Arial"/>
                <w:sz w:val="20"/>
                <w:szCs w:val="20"/>
              </w:rPr>
            </w:pPr>
          </w:p>
        </w:tc>
      </w:tr>
      <w:tr w:rsidR="00847BCE" w:rsidRPr="003E335B" w:rsidTr="00C52B12">
        <w:tc>
          <w:tcPr>
            <w:tcW w:w="5688" w:type="dxa"/>
            <w:hideMark/>
          </w:tcPr>
          <w:p w:rsidR="00847BCE" w:rsidRPr="003E335B" w:rsidRDefault="00572E99" w:rsidP="000D70EC">
            <w:pPr>
              <w:spacing w:after="100" w:line="240" w:lineRule="auto"/>
              <w:ind w:left="180"/>
              <w:rPr>
                <w:rFonts w:asciiTheme="minorHAnsi" w:hAnsiTheme="minorHAnsi" w:cs="Arial"/>
                <w:sz w:val="20"/>
                <w:szCs w:val="20"/>
              </w:rPr>
            </w:pPr>
            <w:r w:rsidRPr="003E335B">
              <w:rPr>
                <w:rFonts w:asciiTheme="minorHAnsi" w:hAnsiTheme="minorHAnsi" w:cs="Arial"/>
                <w:sz w:val="20"/>
                <w:szCs w:val="20"/>
              </w:rPr>
              <w:t>Forward foreign exchange contracts</w:t>
            </w:r>
          </w:p>
        </w:tc>
        <w:tc>
          <w:tcPr>
            <w:tcW w:w="2205" w:type="dxa"/>
            <w:vAlign w:val="center"/>
          </w:tcPr>
          <w:p w:rsidR="00847BCE" w:rsidRPr="003E335B" w:rsidRDefault="005637CA" w:rsidP="000D70EC">
            <w:pPr>
              <w:spacing w:after="100" w:line="240" w:lineRule="auto"/>
              <w:jc w:val="right"/>
              <w:rPr>
                <w:rFonts w:asciiTheme="minorHAnsi" w:hAnsiTheme="minorHAnsi" w:cs="Arial"/>
                <w:sz w:val="20"/>
                <w:szCs w:val="20"/>
              </w:rPr>
            </w:pPr>
            <w:r>
              <w:rPr>
                <w:rFonts w:asciiTheme="minorHAnsi" w:hAnsiTheme="minorHAnsi" w:cs="Arial"/>
                <w:sz w:val="20"/>
                <w:szCs w:val="20"/>
              </w:rPr>
              <w:t>2</w:t>
            </w:r>
          </w:p>
        </w:tc>
        <w:tc>
          <w:tcPr>
            <w:tcW w:w="2205" w:type="dxa"/>
            <w:vAlign w:val="center"/>
            <w:hideMark/>
          </w:tcPr>
          <w:p w:rsidR="00847BCE" w:rsidRPr="003E335B" w:rsidRDefault="00533406" w:rsidP="000D70EC">
            <w:pPr>
              <w:spacing w:after="100" w:line="240" w:lineRule="auto"/>
              <w:jc w:val="right"/>
              <w:rPr>
                <w:rFonts w:asciiTheme="minorHAnsi" w:hAnsiTheme="minorHAnsi" w:cs="Arial"/>
                <w:sz w:val="20"/>
                <w:szCs w:val="20"/>
              </w:rPr>
            </w:pPr>
            <w:r>
              <w:rPr>
                <w:rFonts w:asciiTheme="minorHAnsi" w:hAnsiTheme="minorHAnsi" w:cs="Arial"/>
                <w:sz w:val="20"/>
                <w:szCs w:val="20"/>
              </w:rPr>
              <w:t>7</w:t>
            </w:r>
          </w:p>
        </w:tc>
      </w:tr>
      <w:tr w:rsidR="00847BCE" w:rsidRPr="003E335B" w:rsidTr="00C52B12">
        <w:tc>
          <w:tcPr>
            <w:tcW w:w="5688" w:type="dxa"/>
            <w:shd w:val="clear" w:color="auto" w:fill="B8CCE4" w:themeFill="accent1" w:themeFillTint="66"/>
            <w:hideMark/>
          </w:tcPr>
          <w:p w:rsidR="00847BCE" w:rsidRPr="003E335B" w:rsidRDefault="00533406" w:rsidP="000D70EC">
            <w:pPr>
              <w:spacing w:after="100" w:line="240" w:lineRule="auto"/>
              <w:ind w:left="180"/>
              <w:rPr>
                <w:rFonts w:asciiTheme="minorHAnsi" w:hAnsiTheme="minorHAnsi" w:cs="Arial"/>
                <w:sz w:val="20"/>
                <w:szCs w:val="20"/>
              </w:rPr>
            </w:pPr>
            <w:r>
              <w:rPr>
                <w:rFonts w:asciiTheme="minorHAnsi" w:hAnsiTheme="minorHAnsi" w:cs="Arial"/>
                <w:sz w:val="20"/>
                <w:szCs w:val="20"/>
              </w:rPr>
              <w:t>Currency collars</w:t>
            </w:r>
          </w:p>
        </w:tc>
        <w:tc>
          <w:tcPr>
            <w:tcW w:w="2205" w:type="dxa"/>
            <w:tcBorders>
              <w:bottom w:val="single" w:sz="18" w:space="0" w:color="auto"/>
            </w:tcBorders>
            <w:shd w:val="clear" w:color="auto" w:fill="B8CCE4" w:themeFill="accent1" w:themeFillTint="66"/>
            <w:vAlign w:val="center"/>
          </w:tcPr>
          <w:p w:rsidR="00847BCE" w:rsidRPr="003E335B" w:rsidRDefault="005637CA"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2205" w:type="dxa"/>
            <w:tcBorders>
              <w:bottom w:val="single" w:sz="18" w:space="0" w:color="auto"/>
            </w:tcBorders>
            <w:shd w:val="clear" w:color="auto" w:fill="B8CCE4" w:themeFill="accent1" w:themeFillTint="66"/>
            <w:vAlign w:val="center"/>
            <w:hideMark/>
          </w:tcPr>
          <w:p w:rsidR="00847BCE" w:rsidRPr="003E335B" w:rsidRDefault="00533406" w:rsidP="000D70EC">
            <w:pPr>
              <w:spacing w:after="100" w:line="240" w:lineRule="auto"/>
              <w:jc w:val="right"/>
              <w:rPr>
                <w:rFonts w:asciiTheme="minorHAnsi" w:hAnsiTheme="minorHAnsi" w:cs="Arial"/>
                <w:sz w:val="20"/>
                <w:szCs w:val="20"/>
              </w:rPr>
            </w:pPr>
            <w:r>
              <w:rPr>
                <w:rFonts w:asciiTheme="minorHAnsi" w:hAnsiTheme="minorHAnsi" w:cs="Arial"/>
                <w:sz w:val="20"/>
                <w:szCs w:val="20"/>
              </w:rPr>
              <w:t>1</w:t>
            </w:r>
          </w:p>
        </w:tc>
      </w:tr>
      <w:tr w:rsidR="00847BCE" w:rsidRPr="003E335B" w:rsidTr="00C52B12">
        <w:tc>
          <w:tcPr>
            <w:tcW w:w="5688" w:type="dxa"/>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Total derivatives financial instruments</w:t>
            </w:r>
          </w:p>
        </w:tc>
        <w:tc>
          <w:tcPr>
            <w:tcW w:w="2205" w:type="dxa"/>
            <w:tcBorders>
              <w:top w:val="single" w:sz="18" w:space="0" w:color="auto"/>
            </w:tcBorders>
            <w:vAlign w:val="center"/>
          </w:tcPr>
          <w:p w:rsidR="00847BCE" w:rsidRPr="003E335B" w:rsidRDefault="00533406"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2</w:t>
            </w:r>
          </w:p>
        </w:tc>
        <w:tc>
          <w:tcPr>
            <w:tcW w:w="2205" w:type="dxa"/>
            <w:tcBorders>
              <w:top w:val="single" w:sz="18" w:space="0" w:color="auto"/>
            </w:tcBorders>
            <w:vAlign w:val="center"/>
            <w:hideMark/>
          </w:tcPr>
          <w:p w:rsidR="00847BCE" w:rsidRPr="003E335B" w:rsidRDefault="00533406"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11</w:t>
            </w:r>
          </w:p>
        </w:tc>
      </w:tr>
      <w:tr w:rsidR="00847BCE" w:rsidRPr="003E335B" w:rsidTr="00C52B12">
        <w:tc>
          <w:tcPr>
            <w:tcW w:w="568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i/>
                <w:sz w:val="20"/>
                <w:szCs w:val="20"/>
              </w:rPr>
            </w:pPr>
            <w:r w:rsidRPr="003E335B">
              <w:rPr>
                <w:rFonts w:asciiTheme="minorHAnsi" w:hAnsiTheme="minorHAnsi" w:cs="Arial"/>
                <w:i/>
                <w:sz w:val="20"/>
                <w:szCs w:val="20"/>
              </w:rPr>
              <w:t>Current</w:t>
            </w:r>
          </w:p>
        </w:tc>
        <w:tc>
          <w:tcPr>
            <w:tcW w:w="2205" w:type="dxa"/>
            <w:shd w:val="clear" w:color="auto" w:fill="B8CCE4" w:themeFill="accent1" w:themeFillTint="66"/>
            <w:vAlign w:val="center"/>
          </w:tcPr>
          <w:p w:rsidR="00847BCE" w:rsidRPr="003E335B" w:rsidRDefault="00533406"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2</w:t>
            </w:r>
          </w:p>
        </w:tc>
        <w:tc>
          <w:tcPr>
            <w:tcW w:w="2205" w:type="dxa"/>
            <w:shd w:val="clear" w:color="auto" w:fill="B8CCE4" w:themeFill="accent1" w:themeFillTint="66"/>
            <w:vAlign w:val="center"/>
            <w:hideMark/>
          </w:tcPr>
          <w:p w:rsidR="00847BCE" w:rsidRPr="003E335B" w:rsidRDefault="00533406"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11</w:t>
            </w:r>
          </w:p>
        </w:tc>
      </w:tr>
      <w:tr w:rsidR="00847BCE" w:rsidRPr="003E335B" w:rsidTr="00C52B12">
        <w:tc>
          <w:tcPr>
            <w:tcW w:w="5688" w:type="dxa"/>
            <w:hideMark/>
          </w:tcPr>
          <w:p w:rsidR="00847BCE" w:rsidRPr="003E335B" w:rsidRDefault="00847BCE" w:rsidP="000D70EC">
            <w:pPr>
              <w:spacing w:after="100" w:line="240" w:lineRule="auto"/>
              <w:rPr>
                <w:rFonts w:asciiTheme="minorHAnsi" w:hAnsiTheme="minorHAnsi" w:cs="Arial"/>
                <w:i/>
                <w:sz w:val="20"/>
                <w:szCs w:val="20"/>
              </w:rPr>
            </w:pPr>
            <w:r w:rsidRPr="003E335B">
              <w:rPr>
                <w:rFonts w:asciiTheme="minorHAnsi" w:hAnsiTheme="minorHAnsi" w:cs="Arial"/>
                <w:i/>
                <w:sz w:val="20"/>
                <w:szCs w:val="20"/>
              </w:rPr>
              <w:t>Non-current</w:t>
            </w:r>
          </w:p>
        </w:tc>
        <w:tc>
          <w:tcPr>
            <w:tcW w:w="2205" w:type="dxa"/>
            <w:vAlign w:val="center"/>
          </w:tcPr>
          <w:p w:rsidR="00847BCE" w:rsidRPr="003E335B" w:rsidRDefault="00533406"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w:t>
            </w:r>
          </w:p>
        </w:tc>
        <w:tc>
          <w:tcPr>
            <w:tcW w:w="2205" w:type="dxa"/>
            <w:vAlign w:val="center"/>
            <w:hideMark/>
          </w:tcPr>
          <w:p w:rsidR="00847BCE" w:rsidRPr="003E335B" w:rsidRDefault="00533406"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w:t>
            </w:r>
          </w:p>
        </w:tc>
      </w:tr>
      <w:tr w:rsidR="00847BCE" w:rsidRPr="003E335B" w:rsidTr="00C52B12">
        <w:tc>
          <w:tcPr>
            <w:tcW w:w="568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Total other financial liabilities (including derivatives)</w:t>
            </w:r>
          </w:p>
        </w:tc>
        <w:tc>
          <w:tcPr>
            <w:tcW w:w="2205" w:type="dxa"/>
            <w:shd w:val="clear" w:color="auto" w:fill="B8CCE4" w:themeFill="accent1" w:themeFillTint="66"/>
            <w:vAlign w:val="center"/>
          </w:tcPr>
          <w:p w:rsidR="00847BCE" w:rsidRPr="003E335B" w:rsidRDefault="00533406"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2</w:t>
            </w:r>
          </w:p>
        </w:tc>
        <w:tc>
          <w:tcPr>
            <w:tcW w:w="2205" w:type="dxa"/>
            <w:shd w:val="clear" w:color="auto" w:fill="B8CCE4" w:themeFill="accent1" w:themeFillTint="66"/>
            <w:vAlign w:val="center"/>
            <w:hideMark/>
          </w:tcPr>
          <w:p w:rsidR="00847BCE" w:rsidRPr="003E335B" w:rsidRDefault="00533406"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11</w:t>
            </w:r>
          </w:p>
        </w:tc>
      </w:tr>
      <w:tr w:rsidR="00847BCE" w:rsidRPr="003E335B" w:rsidTr="00C52B12">
        <w:tc>
          <w:tcPr>
            <w:tcW w:w="5688" w:type="dxa"/>
            <w:hideMark/>
          </w:tcPr>
          <w:p w:rsidR="00847BCE" w:rsidRPr="003E335B" w:rsidRDefault="00847BCE" w:rsidP="000D70EC">
            <w:pPr>
              <w:spacing w:after="100" w:line="240" w:lineRule="auto"/>
              <w:rPr>
                <w:rFonts w:asciiTheme="minorHAnsi" w:hAnsiTheme="minorHAnsi" w:cs="Arial"/>
                <w:i/>
                <w:sz w:val="20"/>
                <w:szCs w:val="20"/>
              </w:rPr>
            </w:pPr>
            <w:r w:rsidRPr="003E335B">
              <w:rPr>
                <w:rFonts w:asciiTheme="minorHAnsi" w:hAnsiTheme="minorHAnsi" w:cs="Arial"/>
                <w:i/>
                <w:sz w:val="20"/>
                <w:szCs w:val="20"/>
              </w:rPr>
              <w:t>Total current</w:t>
            </w:r>
          </w:p>
        </w:tc>
        <w:tc>
          <w:tcPr>
            <w:tcW w:w="2205" w:type="dxa"/>
            <w:vAlign w:val="center"/>
          </w:tcPr>
          <w:p w:rsidR="00847BCE" w:rsidRPr="003E335B" w:rsidRDefault="00533406"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2</w:t>
            </w:r>
          </w:p>
        </w:tc>
        <w:tc>
          <w:tcPr>
            <w:tcW w:w="2205" w:type="dxa"/>
            <w:vAlign w:val="center"/>
            <w:hideMark/>
          </w:tcPr>
          <w:p w:rsidR="00847BCE" w:rsidRPr="003E335B" w:rsidRDefault="00533406"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11</w:t>
            </w:r>
          </w:p>
        </w:tc>
      </w:tr>
      <w:tr w:rsidR="00847BCE" w:rsidRPr="003E335B" w:rsidTr="00C52B12">
        <w:tc>
          <w:tcPr>
            <w:tcW w:w="5688" w:type="dxa"/>
            <w:tcBorders>
              <w:bottom w:val="single" w:sz="18" w:space="0" w:color="auto"/>
            </w:tcBorders>
            <w:shd w:val="clear" w:color="auto" w:fill="B8CCE4" w:themeFill="accent1" w:themeFillTint="66"/>
            <w:hideMark/>
          </w:tcPr>
          <w:p w:rsidR="00847BCE" w:rsidRPr="003E335B" w:rsidRDefault="00847BCE" w:rsidP="000D70EC">
            <w:pPr>
              <w:spacing w:after="100" w:line="240" w:lineRule="auto"/>
              <w:rPr>
                <w:rFonts w:asciiTheme="minorHAnsi" w:hAnsiTheme="minorHAnsi" w:cs="Arial"/>
                <w:i/>
                <w:sz w:val="20"/>
                <w:szCs w:val="20"/>
              </w:rPr>
            </w:pPr>
            <w:r w:rsidRPr="003E335B">
              <w:rPr>
                <w:rFonts w:asciiTheme="minorHAnsi" w:hAnsiTheme="minorHAnsi" w:cs="Arial"/>
                <w:i/>
                <w:sz w:val="20"/>
                <w:szCs w:val="20"/>
              </w:rPr>
              <w:t>Total non-current</w:t>
            </w:r>
          </w:p>
        </w:tc>
        <w:tc>
          <w:tcPr>
            <w:tcW w:w="2205" w:type="dxa"/>
            <w:tcBorders>
              <w:bottom w:val="single" w:sz="18" w:space="0" w:color="auto"/>
            </w:tcBorders>
            <w:shd w:val="clear" w:color="auto" w:fill="B8CCE4" w:themeFill="accent1" w:themeFillTint="66"/>
            <w:vAlign w:val="center"/>
          </w:tcPr>
          <w:p w:rsidR="00847BCE" w:rsidRPr="003E335B" w:rsidRDefault="00533406"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w:t>
            </w:r>
          </w:p>
        </w:tc>
        <w:tc>
          <w:tcPr>
            <w:tcW w:w="2205" w:type="dxa"/>
            <w:tcBorders>
              <w:bottom w:val="single" w:sz="18" w:space="0" w:color="auto"/>
            </w:tcBorders>
            <w:shd w:val="clear" w:color="auto" w:fill="B8CCE4" w:themeFill="accent1" w:themeFillTint="66"/>
            <w:vAlign w:val="center"/>
            <w:hideMark/>
          </w:tcPr>
          <w:p w:rsidR="00847BCE" w:rsidRPr="003E335B" w:rsidRDefault="00533406"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w:t>
            </w:r>
          </w:p>
        </w:tc>
      </w:tr>
    </w:tbl>
    <w:p w:rsidR="00847BCE" w:rsidRPr="003E335B" w:rsidRDefault="009A5467" w:rsidP="000D70EC">
      <w:pPr>
        <w:spacing w:after="100" w:line="240" w:lineRule="auto"/>
        <w:rPr>
          <w:rFonts w:asciiTheme="minorHAnsi" w:hAnsiTheme="minorHAnsi" w:cs="Arial"/>
          <w:sz w:val="20"/>
          <w:szCs w:val="20"/>
        </w:rPr>
      </w:pPr>
      <w:r>
        <w:rPr>
          <w:rFonts w:asciiTheme="minorHAnsi" w:hAnsiTheme="minorHAnsi" w:cs="Arial"/>
          <w:sz w:val="20"/>
          <w:szCs w:val="20"/>
        </w:rPr>
        <w:tab/>
      </w:r>
    </w:p>
    <w:p w:rsidR="00847BCE" w:rsidRPr="003E335B" w:rsidRDefault="00847BCE" w:rsidP="000D70EC">
      <w:pPr>
        <w:pStyle w:val="Title4"/>
        <w:spacing w:before="0" w:after="100" w:line="240" w:lineRule="auto"/>
        <w:rPr>
          <w:rFonts w:asciiTheme="minorHAnsi" w:hAnsiTheme="minorHAnsi"/>
          <w:sz w:val="20"/>
          <w:szCs w:val="20"/>
        </w:rPr>
      </w:pPr>
      <w:r w:rsidRPr="003E335B">
        <w:rPr>
          <w:rFonts w:asciiTheme="minorHAnsi" w:hAnsiTheme="minorHAnsi"/>
          <w:sz w:val="20"/>
          <w:szCs w:val="20"/>
        </w:rPr>
        <w:br w:type="page"/>
      </w:r>
      <w:bookmarkStart w:id="172" w:name="_Toc265058927"/>
      <w:r w:rsidRPr="003E335B">
        <w:rPr>
          <w:rFonts w:asciiTheme="minorHAnsi" w:hAnsiTheme="minorHAnsi"/>
          <w:sz w:val="20"/>
          <w:szCs w:val="20"/>
        </w:rPr>
        <w:lastRenderedPageBreak/>
        <w:t>Interest-bearing loans and borrowings</w:t>
      </w:r>
      <w:bookmarkEnd w:id="172"/>
    </w:p>
    <w:p w:rsidR="00847BCE" w:rsidRPr="003E335B" w:rsidRDefault="00847BCE" w:rsidP="000D70EC">
      <w:pPr>
        <w:spacing w:after="100" w:line="240" w:lineRule="auto"/>
        <w:rPr>
          <w:rFonts w:asciiTheme="minorHAnsi" w:hAnsiTheme="minorHAnsi" w:cs="Arial"/>
          <w:sz w:val="20"/>
          <w:szCs w:val="20"/>
        </w:rPr>
      </w:pPr>
    </w:p>
    <w:tbl>
      <w:tblPr>
        <w:tblW w:w="10098" w:type="dxa"/>
        <w:tblLayout w:type="fixed"/>
        <w:tblLook w:val="04A0"/>
      </w:tblPr>
      <w:tblGrid>
        <w:gridCol w:w="6498"/>
        <w:gridCol w:w="1800"/>
        <w:gridCol w:w="1800"/>
      </w:tblGrid>
      <w:tr w:rsidR="00847BCE" w:rsidRPr="003E335B" w:rsidTr="00C52B12">
        <w:tc>
          <w:tcPr>
            <w:tcW w:w="6498" w:type="dxa"/>
            <w:vAlign w:val="bottom"/>
            <w:hideMark/>
          </w:tcPr>
          <w:p w:rsidR="00847BCE" w:rsidRPr="003E335B" w:rsidRDefault="00847BCE" w:rsidP="000D70EC">
            <w:pPr>
              <w:spacing w:after="100" w:line="240" w:lineRule="auto"/>
              <w:jc w:val="center"/>
              <w:rPr>
                <w:rFonts w:asciiTheme="minorHAnsi" w:hAnsiTheme="minorHAnsi" w:cs="Arial"/>
                <w:sz w:val="20"/>
                <w:szCs w:val="20"/>
              </w:rPr>
            </w:pPr>
          </w:p>
        </w:tc>
        <w:tc>
          <w:tcPr>
            <w:tcW w:w="1800" w:type="dxa"/>
            <w:tcBorders>
              <w:bottom w:val="single" w:sz="18" w:space="0" w:color="auto"/>
            </w:tcBorders>
            <w:vAlign w:val="bottom"/>
            <w:hideMark/>
          </w:tcPr>
          <w:p w:rsidR="00847BCE" w:rsidRPr="003E335B" w:rsidRDefault="00DC4940"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(unaudited)</w:t>
            </w:r>
          </w:p>
        </w:tc>
        <w:tc>
          <w:tcPr>
            <w:tcW w:w="1800" w:type="dxa"/>
            <w:tcBorders>
              <w:bottom w:val="single" w:sz="18" w:space="0" w:color="auto"/>
            </w:tcBorders>
            <w:vAlign w:val="bottom"/>
            <w:hideMark/>
          </w:tcPr>
          <w:p w:rsidR="00847BCE" w:rsidRPr="003E335B" w:rsidRDefault="00DC4940"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(audited)</w:t>
            </w:r>
          </w:p>
        </w:tc>
      </w:tr>
      <w:tr w:rsidR="00DC4940" w:rsidRPr="003E335B" w:rsidTr="00C52B12">
        <w:tc>
          <w:tcPr>
            <w:tcW w:w="6498" w:type="dxa"/>
            <w:tcBorders>
              <w:bottom w:val="single" w:sz="18" w:space="0" w:color="auto"/>
            </w:tcBorders>
            <w:vAlign w:val="bottom"/>
            <w:hideMark/>
          </w:tcPr>
          <w:p w:rsidR="00DC4940" w:rsidRPr="003E335B" w:rsidRDefault="00767A3D"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1800" w:type="dxa"/>
            <w:tcBorders>
              <w:top w:val="single" w:sz="18" w:space="0" w:color="auto"/>
              <w:bottom w:val="single" w:sz="18" w:space="0" w:color="auto"/>
            </w:tcBorders>
            <w:vAlign w:val="bottom"/>
          </w:tcPr>
          <w:p w:rsidR="00DC4940" w:rsidRPr="003E335B" w:rsidRDefault="00DC4940"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w:t>
            </w:r>
            <w:r w:rsidR="00BE357C" w:rsidRPr="003E335B">
              <w:rPr>
                <w:rFonts w:asciiTheme="minorHAnsi" w:hAnsiTheme="minorHAnsi" w:cs="Arial"/>
                <w:sz w:val="20"/>
                <w:szCs w:val="20"/>
              </w:rPr>
              <w:t>ly</w:t>
            </w:r>
            <w:r w:rsidRPr="003E335B">
              <w:rPr>
                <w:rFonts w:asciiTheme="minorHAnsi" w:hAnsiTheme="minorHAnsi" w:cs="Arial"/>
                <w:sz w:val="20"/>
                <w:szCs w:val="20"/>
              </w:rPr>
              <w:t xml:space="preserve"> 2, 201</w:t>
            </w:r>
            <w:r w:rsidR="00BE357C" w:rsidRPr="003E335B">
              <w:rPr>
                <w:rFonts w:asciiTheme="minorHAnsi" w:hAnsiTheme="minorHAnsi" w:cs="Arial"/>
                <w:sz w:val="20"/>
                <w:szCs w:val="20"/>
              </w:rPr>
              <w:t>1</w:t>
            </w:r>
          </w:p>
        </w:tc>
        <w:tc>
          <w:tcPr>
            <w:tcW w:w="1800" w:type="dxa"/>
            <w:tcBorders>
              <w:top w:val="single" w:sz="18" w:space="0" w:color="auto"/>
              <w:bottom w:val="single" w:sz="18" w:space="0" w:color="auto"/>
            </w:tcBorders>
            <w:vAlign w:val="bottom"/>
          </w:tcPr>
          <w:p w:rsidR="00DC4940" w:rsidRPr="003E335B" w:rsidRDefault="00DC4940"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December 31, 20</w:t>
            </w:r>
            <w:r w:rsidR="00BE357C" w:rsidRPr="003E335B">
              <w:rPr>
                <w:rFonts w:asciiTheme="minorHAnsi" w:hAnsiTheme="minorHAnsi" w:cs="Arial"/>
                <w:sz w:val="20"/>
                <w:szCs w:val="20"/>
              </w:rPr>
              <w:t>10</w:t>
            </w:r>
          </w:p>
        </w:tc>
      </w:tr>
      <w:tr w:rsidR="0001582F" w:rsidRPr="003E335B" w:rsidTr="00C52B12">
        <w:tc>
          <w:tcPr>
            <w:tcW w:w="6498" w:type="dxa"/>
            <w:tcBorders>
              <w:top w:val="single" w:sz="18" w:space="0" w:color="auto"/>
            </w:tcBorders>
            <w:shd w:val="clear" w:color="auto" w:fill="auto"/>
            <w:hideMark/>
          </w:tcPr>
          <w:p w:rsidR="0001582F" w:rsidRPr="003E335B" w:rsidRDefault="0001582F" w:rsidP="000D70EC">
            <w:pPr>
              <w:spacing w:after="100" w:line="240" w:lineRule="auto"/>
              <w:rPr>
                <w:rFonts w:asciiTheme="minorHAnsi" w:hAnsiTheme="minorHAnsi" w:cs="Arial"/>
                <w:b/>
                <w:sz w:val="20"/>
                <w:szCs w:val="20"/>
              </w:rPr>
            </w:pPr>
            <w:r>
              <w:rPr>
                <w:rFonts w:asciiTheme="minorHAnsi" w:hAnsiTheme="minorHAnsi" w:cs="Arial"/>
                <w:b/>
                <w:sz w:val="20"/>
                <w:szCs w:val="20"/>
              </w:rPr>
              <w:t>ST-Ericsson’s parent financing</w:t>
            </w:r>
          </w:p>
        </w:tc>
        <w:tc>
          <w:tcPr>
            <w:tcW w:w="1800" w:type="dxa"/>
            <w:tcBorders>
              <w:top w:val="single" w:sz="18" w:space="0" w:color="auto"/>
            </w:tcBorders>
            <w:shd w:val="clear" w:color="auto" w:fill="auto"/>
          </w:tcPr>
          <w:p w:rsidR="0001582F" w:rsidRPr="003E335B" w:rsidRDefault="003D0AFE"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223</w:t>
            </w:r>
          </w:p>
        </w:tc>
        <w:tc>
          <w:tcPr>
            <w:tcW w:w="1800" w:type="dxa"/>
            <w:tcBorders>
              <w:top w:val="single" w:sz="18" w:space="0" w:color="auto"/>
            </w:tcBorders>
            <w:shd w:val="clear" w:color="auto" w:fill="auto"/>
          </w:tcPr>
          <w:p w:rsidR="0001582F" w:rsidRPr="003E335B" w:rsidRDefault="0001582F"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75</w:t>
            </w:r>
          </w:p>
        </w:tc>
      </w:tr>
      <w:tr w:rsidR="00C52B12" w:rsidRPr="003E335B" w:rsidTr="00C52B12">
        <w:tc>
          <w:tcPr>
            <w:tcW w:w="6498" w:type="dxa"/>
            <w:shd w:val="clear" w:color="auto" w:fill="B8CCE4" w:themeFill="accent1" w:themeFillTint="66"/>
            <w:hideMark/>
          </w:tcPr>
          <w:p w:rsidR="00C52B12" w:rsidRPr="003E335B" w:rsidRDefault="00C52B12"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Funding program loans from European Investment Bank</w:t>
            </w:r>
          </w:p>
        </w:tc>
        <w:tc>
          <w:tcPr>
            <w:tcW w:w="1800" w:type="dxa"/>
            <w:shd w:val="clear" w:color="auto" w:fill="B8CCE4" w:themeFill="accent1" w:themeFillTint="66"/>
          </w:tcPr>
          <w:p w:rsidR="00C52B12" w:rsidRPr="003E335B" w:rsidRDefault="00C52B12" w:rsidP="000D70EC">
            <w:pPr>
              <w:spacing w:after="100" w:line="240" w:lineRule="auto"/>
              <w:rPr>
                <w:rFonts w:asciiTheme="minorHAnsi" w:hAnsiTheme="minorHAnsi" w:cs="Arial"/>
                <w:b/>
                <w:sz w:val="20"/>
                <w:szCs w:val="20"/>
              </w:rPr>
            </w:pPr>
          </w:p>
        </w:tc>
        <w:tc>
          <w:tcPr>
            <w:tcW w:w="1800" w:type="dxa"/>
            <w:shd w:val="clear" w:color="auto" w:fill="B8CCE4" w:themeFill="accent1" w:themeFillTint="66"/>
          </w:tcPr>
          <w:p w:rsidR="00C52B12" w:rsidRPr="003E335B" w:rsidRDefault="00C52B12" w:rsidP="000D70EC">
            <w:pPr>
              <w:spacing w:after="100" w:line="240" w:lineRule="auto"/>
              <w:rPr>
                <w:rFonts w:asciiTheme="minorHAnsi" w:hAnsiTheme="minorHAnsi" w:cs="Arial"/>
                <w:b/>
                <w:sz w:val="20"/>
                <w:szCs w:val="20"/>
              </w:rPr>
            </w:pPr>
          </w:p>
        </w:tc>
      </w:tr>
      <w:tr w:rsidR="00A7706C" w:rsidRPr="003E335B" w:rsidTr="00C52B12">
        <w:tc>
          <w:tcPr>
            <w:tcW w:w="6498" w:type="dxa"/>
            <w:shd w:val="clear" w:color="auto" w:fill="auto"/>
            <w:hideMark/>
          </w:tcPr>
          <w:p w:rsidR="00A7706C" w:rsidRPr="003E335B" w:rsidRDefault="00A7706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0.2</w:t>
            </w:r>
            <w:r w:rsidR="0001582F">
              <w:rPr>
                <w:rFonts w:asciiTheme="minorHAnsi" w:hAnsiTheme="minorHAnsi" w:cs="Arial"/>
                <w:sz w:val="20"/>
                <w:szCs w:val="20"/>
              </w:rPr>
              <w:t>6</w:t>
            </w:r>
            <w:r w:rsidRPr="003E335B">
              <w:rPr>
                <w:rFonts w:asciiTheme="minorHAnsi" w:hAnsiTheme="minorHAnsi" w:cs="Arial"/>
                <w:sz w:val="20"/>
                <w:szCs w:val="20"/>
              </w:rPr>
              <w:t>% (w.a.*), floating interest rate at LIBOR + 0.017%</w:t>
            </w:r>
          </w:p>
        </w:tc>
        <w:tc>
          <w:tcPr>
            <w:tcW w:w="1800" w:type="dxa"/>
            <w:shd w:val="clear" w:color="auto" w:fill="auto"/>
          </w:tcPr>
          <w:p w:rsidR="00A7706C" w:rsidRPr="003E335B" w:rsidRDefault="003D0AFE" w:rsidP="000D70EC">
            <w:pPr>
              <w:spacing w:after="100" w:line="240" w:lineRule="auto"/>
              <w:jc w:val="right"/>
              <w:rPr>
                <w:rFonts w:asciiTheme="minorHAnsi" w:hAnsiTheme="minorHAnsi" w:cs="Arial"/>
                <w:sz w:val="20"/>
                <w:szCs w:val="20"/>
              </w:rPr>
            </w:pPr>
            <w:r>
              <w:rPr>
                <w:rFonts w:asciiTheme="minorHAnsi" w:hAnsiTheme="minorHAnsi" w:cs="Arial"/>
                <w:sz w:val="20"/>
                <w:szCs w:val="20"/>
              </w:rPr>
              <w:t>80</w:t>
            </w:r>
          </w:p>
        </w:tc>
        <w:tc>
          <w:tcPr>
            <w:tcW w:w="1800" w:type="dxa"/>
            <w:shd w:val="clear" w:color="auto" w:fill="auto"/>
            <w:hideMark/>
          </w:tcPr>
          <w:p w:rsidR="00A7706C" w:rsidRPr="003E335B" w:rsidRDefault="0001582F" w:rsidP="000D70EC">
            <w:pPr>
              <w:spacing w:after="100" w:line="240" w:lineRule="auto"/>
              <w:jc w:val="right"/>
              <w:rPr>
                <w:rFonts w:asciiTheme="minorHAnsi" w:hAnsiTheme="minorHAnsi" w:cs="Arial"/>
                <w:sz w:val="20"/>
                <w:szCs w:val="20"/>
              </w:rPr>
            </w:pPr>
            <w:r>
              <w:rPr>
                <w:rFonts w:asciiTheme="minorHAnsi" w:hAnsiTheme="minorHAnsi" w:cs="Arial"/>
                <w:sz w:val="20"/>
                <w:szCs w:val="20"/>
              </w:rPr>
              <w:t>80</w:t>
            </w:r>
          </w:p>
        </w:tc>
      </w:tr>
      <w:tr w:rsidR="00A7706C" w:rsidRPr="003E335B" w:rsidTr="00C52B12">
        <w:tc>
          <w:tcPr>
            <w:tcW w:w="6498" w:type="dxa"/>
            <w:shd w:val="clear" w:color="auto" w:fill="B8CCE4" w:themeFill="accent1" w:themeFillTint="66"/>
            <w:hideMark/>
          </w:tcPr>
          <w:p w:rsidR="00A7706C" w:rsidRPr="003E335B" w:rsidRDefault="00A7706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0.3</w:t>
            </w:r>
            <w:r w:rsidR="0001582F">
              <w:rPr>
                <w:rFonts w:asciiTheme="minorHAnsi" w:hAnsiTheme="minorHAnsi" w:cs="Arial"/>
                <w:sz w:val="20"/>
                <w:szCs w:val="20"/>
              </w:rPr>
              <w:t>0</w:t>
            </w:r>
            <w:r w:rsidRPr="003E335B">
              <w:rPr>
                <w:rFonts w:asciiTheme="minorHAnsi" w:hAnsiTheme="minorHAnsi" w:cs="Arial"/>
                <w:sz w:val="20"/>
                <w:szCs w:val="20"/>
              </w:rPr>
              <w:t>% (w.a.*), floating interest rate at LIBOR + 0.026%</w:t>
            </w:r>
          </w:p>
        </w:tc>
        <w:tc>
          <w:tcPr>
            <w:tcW w:w="1800" w:type="dxa"/>
            <w:shd w:val="clear" w:color="auto" w:fill="B8CCE4" w:themeFill="accent1" w:themeFillTint="66"/>
          </w:tcPr>
          <w:p w:rsidR="00A7706C" w:rsidRPr="003E335B" w:rsidRDefault="003D0AFE" w:rsidP="000D70EC">
            <w:pPr>
              <w:spacing w:after="100" w:line="240" w:lineRule="auto"/>
              <w:jc w:val="right"/>
              <w:rPr>
                <w:rFonts w:asciiTheme="minorHAnsi" w:hAnsiTheme="minorHAnsi" w:cs="Arial"/>
                <w:sz w:val="20"/>
                <w:szCs w:val="20"/>
              </w:rPr>
            </w:pPr>
            <w:r>
              <w:rPr>
                <w:rFonts w:asciiTheme="minorHAnsi" w:hAnsiTheme="minorHAnsi" w:cs="Arial"/>
                <w:sz w:val="20"/>
                <w:szCs w:val="20"/>
              </w:rPr>
              <w:t>47</w:t>
            </w:r>
          </w:p>
        </w:tc>
        <w:tc>
          <w:tcPr>
            <w:tcW w:w="1800" w:type="dxa"/>
            <w:shd w:val="clear" w:color="auto" w:fill="B8CCE4" w:themeFill="accent1" w:themeFillTint="66"/>
            <w:hideMark/>
          </w:tcPr>
          <w:p w:rsidR="00A7706C" w:rsidRPr="003E335B" w:rsidRDefault="0001582F" w:rsidP="000D70EC">
            <w:pPr>
              <w:spacing w:after="100" w:line="240" w:lineRule="auto"/>
              <w:jc w:val="right"/>
              <w:rPr>
                <w:rFonts w:asciiTheme="minorHAnsi" w:hAnsiTheme="minorHAnsi" w:cs="Arial"/>
                <w:sz w:val="20"/>
                <w:szCs w:val="20"/>
              </w:rPr>
            </w:pPr>
            <w:r>
              <w:rPr>
                <w:rFonts w:asciiTheme="minorHAnsi" w:hAnsiTheme="minorHAnsi" w:cs="Arial"/>
                <w:sz w:val="20"/>
                <w:szCs w:val="20"/>
              </w:rPr>
              <w:t>47</w:t>
            </w:r>
          </w:p>
        </w:tc>
      </w:tr>
      <w:tr w:rsidR="00A7706C" w:rsidRPr="003E335B" w:rsidTr="00C52B12">
        <w:tc>
          <w:tcPr>
            <w:tcW w:w="6498" w:type="dxa"/>
            <w:shd w:val="clear" w:color="auto" w:fill="auto"/>
            <w:hideMark/>
          </w:tcPr>
          <w:p w:rsidR="00A7706C" w:rsidRPr="003E335B" w:rsidRDefault="00A7706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0.33% (w.a.*), floating interest rate at LIBOR + 0.052%</w:t>
            </w:r>
          </w:p>
        </w:tc>
        <w:tc>
          <w:tcPr>
            <w:tcW w:w="1800" w:type="dxa"/>
            <w:shd w:val="clear" w:color="auto" w:fill="auto"/>
          </w:tcPr>
          <w:p w:rsidR="00A7706C" w:rsidRPr="003E335B" w:rsidRDefault="003D0AFE" w:rsidP="000D70EC">
            <w:pPr>
              <w:spacing w:after="100" w:line="240" w:lineRule="auto"/>
              <w:jc w:val="right"/>
              <w:rPr>
                <w:rFonts w:asciiTheme="minorHAnsi" w:hAnsiTheme="minorHAnsi" w:cs="Arial"/>
                <w:sz w:val="20"/>
                <w:szCs w:val="20"/>
              </w:rPr>
            </w:pPr>
            <w:r>
              <w:rPr>
                <w:rFonts w:asciiTheme="minorHAnsi" w:hAnsiTheme="minorHAnsi" w:cs="Arial"/>
                <w:sz w:val="20"/>
                <w:szCs w:val="20"/>
              </w:rPr>
              <w:t>96</w:t>
            </w:r>
          </w:p>
        </w:tc>
        <w:tc>
          <w:tcPr>
            <w:tcW w:w="1800" w:type="dxa"/>
            <w:shd w:val="clear" w:color="auto" w:fill="auto"/>
            <w:hideMark/>
          </w:tcPr>
          <w:p w:rsidR="00A7706C" w:rsidRPr="003E335B" w:rsidRDefault="0001582F" w:rsidP="000D70EC">
            <w:pPr>
              <w:spacing w:after="100" w:line="240" w:lineRule="auto"/>
              <w:jc w:val="right"/>
              <w:rPr>
                <w:rFonts w:asciiTheme="minorHAnsi" w:hAnsiTheme="minorHAnsi" w:cs="Arial"/>
                <w:sz w:val="20"/>
                <w:szCs w:val="20"/>
              </w:rPr>
            </w:pPr>
            <w:r>
              <w:rPr>
                <w:rFonts w:asciiTheme="minorHAnsi" w:hAnsiTheme="minorHAnsi" w:cs="Arial"/>
                <w:sz w:val="20"/>
                <w:szCs w:val="20"/>
              </w:rPr>
              <w:t>116</w:t>
            </w:r>
          </w:p>
        </w:tc>
      </w:tr>
      <w:tr w:rsidR="00A7706C" w:rsidRPr="003E335B" w:rsidTr="00C52B12">
        <w:tc>
          <w:tcPr>
            <w:tcW w:w="6498" w:type="dxa"/>
            <w:shd w:val="clear" w:color="auto" w:fill="B8CCE4" w:themeFill="accent1" w:themeFillTint="66"/>
            <w:hideMark/>
          </w:tcPr>
          <w:p w:rsidR="00A7706C" w:rsidRPr="003E335B" w:rsidRDefault="00A7706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0.5</w:t>
            </w:r>
            <w:r w:rsidR="0001582F">
              <w:rPr>
                <w:rFonts w:asciiTheme="minorHAnsi" w:hAnsiTheme="minorHAnsi" w:cs="Arial"/>
                <w:sz w:val="20"/>
                <w:szCs w:val="20"/>
              </w:rPr>
              <w:t>6</w:t>
            </w:r>
            <w:r w:rsidRPr="003E335B">
              <w:rPr>
                <w:rFonts w:asciiTheme="minorHAnsi" w:hAnsiTheme="minorHAnsi" w:cs="Arial"/>
                <w:sz w:val="20"/>
                <w:szCs w:val="20"/>
              </w:rPr>
              <w:t>% (w.a.*), floating interest rate at LIBOR + 0.317%</w:t>
            </w:r>
          </w:p>
        </w:tc>
        <w:tc>
          <w:tcPr>
            <w:tcW w:w="1800" w:type="dxa"/>
            <w:shd w:val="clear" w:color="auto" w:fill="B8CCE4" w:themeFill="accent1" w:themeFillTint="66"/>
          </w:tcPr>
          <w:p w:rsidR="00A7706C" w:rsidRPr="003E335B" w:rsidRDefault="003D0AFE" w:rsidP="000D70EC">
            <w:pPr>
              <w:spacing w:after="100" w:line="240" w:lineRule="auto"/>
              <w:jc w:val="right"/>
              <w:rPr>
                <w:rFonts w:asciiTheme="minorHAnsi" w:hAnsiTheme="minorHAnsi" w:cs="Arial"/>
                <w:sz w:val="20"/>
                <w:szCs w:val="20"/>
              </w:rPr>
            </w:pPr>
            <w:r>
              <w:rPr>
                <w:rFonts w:asciiTheme="minorHAnsi" w:hAnsiTheme="minorHAnsi" w:cs="Arial"/>
                <w:sz w:val="20"/>
                <w:szCs w:val="20"/>
              </w:rPr>
              <w:t>155</w:t>
            </w:r>
          </w:p>
        </w:tc>
        <w:tc>
          <w:tcPr>
            <w:tcW w:w="1800" w:type="dxa"/>
            <w:shd w:val="clear" w:color="auto" w:fill="B8CCE4" w:themeFill="accent1" w:themeFillTint="66"/>
            <w:hideMark/>
          </w:tcPr>
          <w:p w:rsidR="00A7706C" w:rsidRPr="003E335B" w:rsidRDefault="0001582F" w:rsidP="000D70EC">
            <w:pPr>
              <w:spacing w:after="100" w:line="240" w:lineRule="auto"/>
              <w:jc w:val="right"/>
              <w:rPr>
                <w:rFonts w:asciiTheme="minorHAnsi" w:hAnsiTheme="minorHAnsi" w:cs="Arial"/>
                <w:sz w:val="20"/>
                <w:szCs w:val="20"/>
              </w:rPr>
            </w:pPr>
            <w:r>
              <w:rPr>
                <w:rFonts w:asciiTheme="minorHAnsi" w:hAnsiTheme="minorHAnsi" w:cs="Arial"/>
                <w:sz w:val="20"/>
                <w:szCs w:val="20"/>
              </w:rPr>
              <w:t>155</w:t>
            </w:r>
          </w:p>
        </w:tc>
      </w:tr>
      <w:tr w:rsidR="00A7706C" w:rsidRPr="003E335B" w:rsidTr="00C52B12">
        <w:tc>
          <w:tcPr>
            <w:tcW w:w="6498" w:type="dxa"/>
            <w:shd w:val="clear" w:color="auto" w:fill="auto"/>
            <w:hideMark/>
          </w:tcPr>
          <w:p w:rsidR="00A7706C" w:rsidRPr="003E335B" w:rsidRDefault="00A7706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0.49% (w.a.*), floating interest rate at LIBOR + 0.213%</w:t>
            </w:r>
          </w:p>
        </w:tc>
        <w:tc>
          <w:tcPr>
            <w:tcW w:w="1800" w:type="dxa"/>
            <w:shd w:val="clear" w:color="auto" w:fill="auto"/>
          </w:tcPr>
          <w:p w:rsidR="00A7706C" w:rsidRPr="003E335B" w:rsidRDefault="003D0AFE" w:rsidP="000D70EC">
            <w:pPr>
              <w:spacing w:after="100" w:line="240" w:lineRule="auto"/>
              <w:jc w:val="right"/>
              <w:rPr>
                <w:rFonts w:asciiTheme="minorHAnsi" w:hAnsiTheme="minorHAnsi" w:cs="Arial"/>
                <w:sz w:val="20"/>
                <w:szCs w:val="20"/>
              </w:rPr>
            </w:pPr>
            <w:r>
              <w:rPr>
                <w:rFonts w:asciiTheme="minorHAnsi" w:hAnsiTheme="minorHAnsi" w:cs="Arial"/>
                <w:sz w:val="20"/>
                <w:szCs w:val="20"/>
              </w:rPr>
              <w:t>171</w:t>
            </w:r>
          </w:p>
        </w:tc>
        <w:tc>
          <w:tcPr>
            <w:tcW w:w="1800" w:type="dxa"/>
            <w:shd w:val="clear" w:color="auto" w:fill="auto"/>
            <w:hideMark/>
          </w:tcPr>
          <w:p w:rsidR="00A7706C" w:rsidRPr="003E335B" w:rsidRDefault="0001582F" w:rsidP="000D70EC">
            <w:pPr>
              <w:spacing w:after="100" w:line="240" w:lineRule="auto"/>
              <w:jc w:val="right"/>
              <w:rPr>
                <w:rFonts w:asciiTheme="minorHAnsi" w:hAnsiTheme="minorHAnsi" w:cs="Arial"/>
                <w:sz w:val="20"/>
                <w:szCs w:val="20"/>
              </w:rPr>
            </w:pPr>
            <w:r>
              <w:rPr>
                <w:rFonts w:asciiTheme="minorHAnsi" w:hAnsiTheme="minorHAnsi" w:cs="Arial"/>
                <w:sz w:val="20"/>
                <w:szCs w:val="20"/>
              </w:rPr>
              <w:t>170</w:t>
            </w:r>
          </w:p>
        </w:tc>
      </w:tr>
      <w:tr w:rsidR="00847BCE" w:rsidRPr="003E335B" w:rsidTr="00C52B12">
        <w:tc>
          <w:tcPr>
            <w:tcW w:w="6498" w:type="dxa"/>
            <w:shd w:val="clear" w:color="auto" w:fill="B8CCE4" w:themeFill="accent1" w:themeFillTint="66"/>
            <w:hideMark/>
          </w:tcPr>
          <w:p w:rsidR="00847BCE" w:rsidRPr="003E335B" w:rsidRDefault="00A7706C"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 xml:space="preserve">Other </w:t>
            </w:r>
            <w:r w:rsidR="00847BCE" w:rsidRPr="003E335B">
              <w:rPr>
                <w:rFonts w:asciiTheme="minorHAnsi" w:hAnsiTheme="minorHAnsi" w:cs="Arial"/>
                <w:b/>
                <w:sz w:val="20"/>
                <w:szCs w:val="20"/>
              </w:rPr>
              <w:t>Funding program loans</w:t>
            </w:r>
          </w:p>
        </w:tc>
        <w:tc>
          <w:tcPr>
            <w:tcW w:w="1800" w:type="dxa"/>
            <w:shd w:val="clear" w:color="auto" w:fill="B8CCE4" w:themeFill="accent1" w:themeFillTint="66"/>
          </w:tcPr>
          <w:p w:rsidR="00847BCE" w:rsidRPr="003E335B" w:rsidRDefault="00847BCE" w:rsidP="000D70EC">
            <w:pPr>
              <w:spacing w:after="100" w:line="240" w:lineRule="auto"/>
              <w:jc w:val="right"/>
              <w:rPr>
                <w:rFonts w:asciiTheme="minorHAnsi" w:hAnsiTheme="minorHAnsi" w:cs="Arial"/>
                <w:b/>
                <w:sz w:val="20"/>
                <w:szCs w:val="20"/>
              </w:rPr>
            </w:pPr>
          </w:p>
        </w:tc>
        <w:tc>
          <w:tcPr>
            <w:tcW w:w="1800" w:type="dxa"/>
            <w:shd w:val="clear" w:color="auto" w:fill="B8CCE4" w:themeFill="accent1" w:themeFillTint="66"/>
          </w:tcPr>
          <w:p w:rsidR="00847BCE" w:rsidRPr="003E335B" w:rsidRDefault="00847BCE" w:rsidP="000D70EC">
            <w:pPr>
              <w:spacing w:after="100" w:line="240" w:lineRule="auto"/>
              <w:jc w:val="right"/>
              <w:rPr>
                <w:rFonts w:asciiTheme="minorHAnsi" w:hAnsiTheme="minorHAnsi" w:cs="Arial"/>
                <w:b/>
                <w:sz w:val="20"/>
                <w:szCs w:val="20"/>
              </w:rPr>
            </w:pPr>
          </w:p>
        </w:tc>
      </w:tr>
      <w:tr w:rsidR="00847BCE" w:rsidRPr="003E335B" w:rsidTr="00C52B12">
        <w:tc>
          <w:tcPr>
            <w:tcW w:w="6498" w:type="dxa"/>
            <w:shd w:val="clear" w:color="auto" w:fill="auto"/>
            <w:hideMark/>
          </w:tcPr>
          <w:p w:rsidR="00847BCE" w:rsidRPr="003E335B" w:rsidRDefault="0001582F" w:rsidP="000D70EC">
            <w:pPr>
              <w:spacing w:after="100" w:line="240" w:lineRule="auto"/>
              <w:rPr>
                <w:rFonts w:asciiTheme="minorHAnsi" w:hAnsiTheme="minorHAnsi" w:cs="Arial"/>
                <w:sz w:val="20"/>
                <w:szCs w:val="20"/>
              </w:rPr>
            </w:pPr>
            <w:r>
              <w:rPr>
                <w:rFonts w:asciiTheme="minorHAnsi" w:hAnsiTheme="minorHAnsi" w:cs="Arial"/>
                <w:sz w:val="20"/>
                <w:szCs w:val="20"/>
              </w:rPr>
              <w:t>0.45</w:t>
            </w:r>
            <w:r w:rsidR="00847BCE" w:rsidRPr="003E335B">
              <w:rPr>
                <w:rFonts w:asciiTheme="minorHAnsi" w:hAnsiTheme="minorHAnsi" w:cs="Arial"/>
                <w:sz w:val="20"/>
                <w:szCs w:val="20"/>
              </w:rPr>
              <w:t>% (w.a.*), due 2012, fixed interest rate</w:t>
            </w:r>
          </w:p>
        </w:tc>
        <w:tc>
          <w:tcPr>
            <w:tcW w:w="1800" w:type="dxa"/>
            <w:shd w:val="clear" w:color="auto" w:fill="auto"/>
          </w:tcPr>
          <w:p w:rsidR="00847BCE" w:rsidRPr="003E335B" w:rsidRDefault="003D0AFE" w:rsidP="000D70EC">
            <w:pPr>
              <w:spacing w:after="100" w:line="240" w:lineRule="auto"/>
              <w:jc w:val="right"/>
              <w:rPr>
                <w:rFonts w:asciiTheme="minorHAnsi" w:hAnsiTheme="minorHAnsi" w:cs="Arial"/>
                <w:sz w:val="20"/>
                <w:szCs w:val="20"/>
              </w:rPr>
            </w:pPr>
            <w:r>
              <w:rPr>
                <w:rFonts w:asciiTheme="minorHAnsi" w:hAnsiTheme="minorHAnsi" w:cs="Arial"/>
                <w:sz w:val="20"/>
                <w:szCs w:val="20"/>
              </w:rPr>
              <w:t>2</w:t>
            </w:r>
          </w:p>
        </w:tc>
        <w:tc>
          <w:tcPr>
            <w:tcW w:w="1800" w:type="dxa"/>
            <w:shd w:val="clear" w:color="auto" w:fill="auto"/>
            <w:hideMark/>
          </w:tcPr>
          <w:p w:rsidR="00847BCE" w:rsidRPr="003E335B" w:rsidRDefault="0001582F" w:rsidP="000D70EC">
            <w:pPr>
              <w:spacing w:after="100" w:line="240" w:lineRule="auto"/>
              <w:jc w:val="right"/>
              <w:rPr>
                <w:rFonts w:asciiTheme="minorHAnsi" w:hAnsiTheme="minorHAnsi" w:cs="Arial"/>
                <w:sz w:val="20"/>
                <w:szCs w:val="20"/>
              </w:rPr>
            </w:pPr>
            <w:r>
              <w:rPr>
                <w:rFonts w:asciiTheme="minorHAnsi" w:hAnsiTheme="minorHAnsi" w:cs="Arial"/>
                <w:sz w:val="20"/>
                <w:szCs w:val="20"/>
              </w:rPr>
              <w:t>2</w:t>
            </w:r>
          </w:p>
        </w:tc>
      </w:tr>
      <w:tr w:rsidR="00847BCE" w:rsidRPr="003E335B" w:rsidTr="00C52B12">
        <w:tc>
          <w:tcPr>
            <w:tcW w:w="649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0.</w:t>
            </w:r>
            <w:r w:rsidR="0001582F">
              <w:rPr>
                <w:rFonts w:asciiTheme="minorHAnsi" w:hAnsiTheme="minorHAnsi" w:cs="Arial"/>
                <w:sz w:val="20"/>
                <w:szCs w:val="20"/>
              </w:rPr>
              <w:t>50</w:t>
            </w:r>
            <w:r w:rsidRPr="003E335B">
              <w:rPr>
                <w:rFonts w:asciiTheme="minorHAnsi" w:hAnsiTheme="minorHAnsi" w:cs="Arial"/>
                <w:sz w:val="20"/>
                <w:szCs w:val="20"/>
              </w:rPr>
              <w:t>% (w.a.*), due 2013, fixed interest rate</w:t>
            </w:r>
          </w:p>
        </w:tc>
        <w:tc>
          <w:tcPr>
            <w:tcW w:w="1800" w:type="dxa"/>
            <w:shd w:val="clear" w:color="auto" w:fill="B8CCE4" w:themeFill="accent1" w:themeFillTint="66"/>
          </w:tcPr>
          <w:p w:rsidR="00847BCE" w:rsidRPr="003E335B" w:rsidRDefault="003D0AFE" w:rsidP="000D70EC">
            <w:pPr>
              <w:spacing w:after="100" w:line="240" w:lineRule="auto"/>
              <w:jc w:val="right"/>
              <w:rPr>
                <w:rFonts w:asciiTheme="minorHAnsi" w:hAnsiTheme="minorHAnsi" w:cs="Arial"/>
                <w:sz w:val="20"/>
                <w:szCs w:val="20"/>
              </w:rPr>
            </w:pPr>
            <w:r>
              <w:rPr>
                <w:rFonts w:asciiTheme="minorHAnsi" w:hAnsiTheme="minorHAnsi" w:cs="Arial"/>
                <w:sz w:val="20"/>
                <w:szCs w:val="20"/>
              </w:rPr>
              <w:t>4</w:t>
            </w:r>
          </w:p>
        </w:tc>
        <w:tc>
          <w:tcPr>
            <w:tcW w:w="1800" w:type="dxa"/>
            <w:shd w:val="clear" w:color="auto" w:fill="B8CCE4" w:themeFill="accent1" w:themeFillTint="66"/>
            <w:hideMark/>
          </w:tcPr>
          <w:p w:rsidR="00847BCE" w:rsidRPr="003E335B" w:rsidRDefault="0001582F" w:rsidP="000D70EC">
            <w:pPr>
              <w:spacing w:after="100" w:line="240" w:lineRule="auto"/>
              <w:jc w:val="right"/>
              <w:rPr>
                <w:rFonts w:asciiTheme="minorHAnsi" w:hAnsiTheme="minorHAnsi" w:cs="Arial"/>
                <w:sz w:val="20"/>
                <w:szCs w:val="20"/>
              </w:rPr>
            </w:pPr>
            <w:r>
              <w:rPr>
                <w:rFonts w:asciiTheme="minorHAnsi" w:hAnsiTheme="minorHAnsi" w:cs="Arial"/>
                <w:sz w:val="20"/>
                <w:szCs w:val="20"/>
              </w:rPr>
              <w:t>3</w:t>
            </w:r>
          </w:p>
        </w:tc>
      </w:tr>
      <w:tr w:rsidR="00847BCE" w:rsidRPr="003E335B" w:rsidTr="00C52B12">
        <w:tc>
          <w:tcPr>
            <w:tcW w:w="6498" w:type="dxa"/>
            <w:shd w:val="clear" w:color="auto" w:fill="auto"/>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0.</w:t>
            </w:r>
            <w:r w:rsidR="0001582F">
              <w:rPr>
                <w:rFonts w:asciiTheme="minorHAnsi" w:hAnsiTheme="minorHAnsi" w:cs="Arial"/>
                <w:sz w:val="20"/>
                <w:szCs w:val="20"/>
              </w:rPr>
              <w:t>49</w:t>
            </w:r>
            <w:r w:rsidRPr="003E335B">
              <w:rPr>
                <w:rFonts w:asciiTheme="minorHAnsi" w:hAnsiTheme="minorHAnsi" w:cs="Arial"/>
                <w:sz w:val="20"/>
                <w:szCs w:val="20"/>
              </w:rPr>
              <w:t>% (w.a.*), due 2014, fixed interest rate</w:t>
            </w:r>
          </w:p>
        </w:tc>
        <w:tc>
          <w:tcPr>
            <w:tcW w:w="1800" w:type="dxa"/>
            <w:shd w:val="clear" w:color="auto" w:fill="auto"/>
          </w:tcPr>
          <w:p w:rsidR="00847BCE" w:rsidRPr="003E335B" w:rsidRDefault="003D0AFE" w:rsidP="000D70EC">
            <w:pPr>
              <w:spacing w:after="100" w:line="240" w:lineRule="auto"/>
              <w:jc w:val="right"/>
              <w:rPr>
                <w:rFonts w:asciiTheme="minorHAnsi" w:hAnsiTheme="minorHAnsi" w:cs="Arial"/>
                <w:sz w:val="20"/>
                <w:szCs w:val="20"/>
              </w:rPr>
            </w:pPr>
            <w:r>
              <w:rPr>
                <w:rFonts w:asciiTheme="minorHAnsi" w:hAnsiTheme="minorHAnsi" w:cs="Arial"/>
                <w:sz w:val="20"/>
                <w:szCs w:val="20"/>
              </w:rPr>
              <w:t>3</w:t>
            </w:r>
          </w:p>
        </w:tc>
        <w:tc>
          <w:tcPr>
            <w:tcW w:w="1800" w:type="dxa"/>
            <w:shd w:val="clear" w:color="auto" w:fill="auto"/>
            <w:hideMark/>
          </w:tcPr>
          <w:p w:rsidR="00847BCE" w:rsidRPr="003E335B" w:rsidRDefault="0001582F" w:rsidP="000D70EC">
            <w:pPr>
              <w:spacing w:after="100" w:line="240" w:lineRule="auto"/>
              <w:jc w:val="right"/>
              <w:rPr>
                <w:rFonts w:asciiTheme="minorHAnsi" w:hAnsiTheme="minorHAnsi" w:cs="Arial"/>
                <w:sz w:val="20"/>
                <w:szCs w:val="20"/>
              </w:rPr>
            </w:pPr>
            <w:r>
              <w:rPr>
                <w:rFonts w:asciiTheme="minorHAnsi" w:hAnsiTheme="minorHAnsi" w:cs="Arial"/>
                <w:sz w:val="20"/>
                <w:szCs w:val="20"/>
              </w:rPr>
              <w:t>3</w:t>
            </w:r>
          </w:p>
        </w:tc>
      </w:tr>
      <w:tr w:rsidR="00847BCE" w:rsidRPr="003E335B" w:rsidTr="00C52B12">
        <w:tc>
          <w:tcPr>
            <w:tcW w:w="649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0.50% (w.a.*), due 2016, fixed interest rate</w:t>
            </w:r>
          </w:p>
        </w:tc>
        <w:tc>
          <w:tcPr>
            <w:tcW w:w="1800" w:type="dxa"/>
            <w:shd w:val="clear" w:color="auto" w:fill="B8CCE4" w:themeFill="accent1" w:themeFillTint="66"/>
          </w:tcPr>
          <w:p w:rsidR="00847BCE" w:rsidRPr="003E335B" w:rsidRDefault="003D0AFE" w:rsidP="000D70EC">
            <w:pPr>
              <w:spacing w:after="100" w:line="240" w:lineRule="auto"/>
              <w:jc w:val="right"/>
              <w:rPr>
                <w:rFonts w:asciiTheme="minorHAnsi" w:hAnsiTheme="minorHAnsi" w:cs="Arial"/>
                <w:sz w:val="20"/>
                <w:szCs w:val="20"/>
              </w:rPr>
            </w:pPr>
            <w:r>
              <w:rPr>
                <w:rFonts w:asciiTheme="minorHAnsi" w:hAnsiTheme="minorHAnsi" w:cs="Arial"/>
                <w:sz w:val="20"/>
                <w:szCs w:val="20"/>
              </w:rPr>
              <w:t>1</w:t>
            </w:r>
          </w:p>
        </w:tc>
        <w:tc>
          <w:tcPr>
            <w:tcW w:w="1800" w:type="dxa"/>
            <w:shd w:val="clear" w:color="auto" w:fill="B8CCE4" w:themeFill="accent1" w:themeFillTint="66"/>
            <w:hideMark/>
          </w:tcPr>
          <w:p w:rsidR="00847BCE" w:rsidRPr="003E335B" w:rsidRDefault="0001582F" w:rsidP="000D70EC">
            <w:pPr>
              <w:spacing w:after="100" w:line="240" w:lineRule="auto"/>
              <w:jc w:val="right"/>
              <w:rPr>
                <w:rFonts w:asciiTheme="minorHAnsi" w:hAnsiTheme="minorHAnsi" w:cs="Arial"/>
                <w:sz w:val="20"/>
                <w:szCs w:val="20"/>
              </w:rPr>
            </w:pPr>
            <w:r>
              <w:rPr>
                <w:rFonts w:asciiTheme="minorHAnsi" w:hAnsiTheme="minorHAnsi" w:cs="Arial"/>
                <w:sz w:val="20"/>
                <w:szCs w:val="20"/>
              </w:rPr>
              <w:t>1</w:t>
            </w:r>
          </w:p>
        </w:tc>
      </w:tr>
      <w:tr w:rsidR="00847BCE" w:rsidRPr="003E335B" w:rsidTr="00C52B12">
        <w:tc>
          <w:tcPr>
            <w:tcW w:w="6498" w:type="dxa"/>
            <w:shd w:val="clear" w:color="auto" w:fill="auto"/>
            <w:hideMark/>
          </w:tcPr>
          <w:p w:rsidR="00847BCE" w:rsidRPr="003E335B" w:rsidRDefault="0001582F" w:rsidP="000D70EC">
            <w:pPr>
              <w:spacing w:after="100" w:line="240" w:lineRule="auto"/>
              <w:rPr>
                <w:rFonts w:asciiTheme="minorHAnsi" w:hAnsiTheme="minorHAnsi" w:cs="Arial"/>
                <w:sz w:val="20"/>
                <w:szCs w:val="20"/>
              </w:rPr>
            </w:pPr>
            <w:r>
              <w:rPr>
                <w:rFonts w:asciiTheme="minorHAnsi" w:hAnsiTheme="minorHAnsi" w:cs="Arial"/>
                <w:sz w:val="20"/>
                <w:szCs w:val="20"/>
              </w:rPr>
              <w:t>0.50</w:t>
            </w:r>
            <w:r w:rsidR="00847BCE" w:rsidRPr="003E335B">
              <w:rPr>
                <w:rFonts w:asciiTheme="minorHAnsi" w:hAnsiTheme="minorHAnsi" w:cs="Arial"/>
                <w:sz w:val="20"/>
                <w:szCs w:val="20"/>
              </w:rPr>
              <w:t>% (w.a.*), due 2017, fixed interest rate</w:t>
            </w:r>
          </w:p>
        </w:tc>
        <w:tc>
          <w:tcPr>
            <w:tcW w:w="1800" w:type="dxa"/>
            <w:shd w:val="clear" w:color="auto" w:fill="auto"/>
          </w:tcPr>
          <w:p w:rsidR="00847BCE" w:rsidRPr="003E335B" w:rsidRDefault="003D0AFE" w:rsidP="000D70EC">
            <w:pPr>
              <w:spacing w:after="100" w:line="240" w:lineRule="auto"/>
              <w:jc w:val="right"/>
              <w:rPr>
                <w:rFonts w:asciiTheme="minorHAnsi" w:hAnsiTheme="minorHAnsi" w:cs="Arial"/>
                <w:sz w:val="20"/>
                <w:szCs w:val="20"/>
              </w:rPr>
            </w:pPr>
            <w:r>
              <w:rPr>
                <w:rFonts w:asciiTheme="minorHAnsi" w:hAnsiTheme="minorHAnsi" w:cs="Arial"/>
                <w:sz w:val="20"/>
                <w:szCs w:val="20"/>
              </w:rPr>
              <w:t>1</w:t>
            </w:r>
          </w:p>
        </w:tc>
        <w:tc>
          <w:tcPr>
            <w:tcW w:w="1800" w:type="dxa"/>
            <w:shd w:val="clear" w:color="auto" w:fill="auto"/>
            <w:hideMark/>
          </w:tcPr>
          <w:p w:rsidR="00847BCE" w:rsidRPr="003E335B" w:rsidRDefault="0001582F" w:rsidP="000D70EC">
            <w:pPr>
              <w:spacing w:after="100" w:line="240" w:lineRule="auto"/>
              <w:jc w:val="right"/>
              <w:rPr>
                <w:rFonts w:asciiTheme="minorHAnsi" w:hAnsiTheme="minorHAnsi" w:cs="Arial"/>
                <w:sz w:val="20"/>
                <w:szCs w:val="20"/>
              </w:rPr>
            </w:pPr>
            <w:r>
              <w:rPr>
                <w:rFonts w:asciiTheme="minorHAnsi" w:hAnsiTheme="minorHAnsi" w:cs="Arial"/>
                <w:sz w:val="20"/>
                <w:szCs w:val="20"/>
              </w:rPr>
              <w:t>1</w:t>
            </w:r>
          </w:p>
        </w:tc>
      </w:tr>
      <w:tr w:rsidR="0001582F" w:rsidRPr="003E335B" w:rsidTr="00C52B12">
        <w:tc>
          <w:tcPr>
            <w:tcW w:w="6498" w:type="dxa"/>
            <w:shd w:val="clear" w:color="auto" w:fill="B8CCE4" w:themeFill="accent1" w:themeFillTint="66"/>
            <w:hideMark/>
          </w:tcPr>
          <w:p w:rsidR="0001582F" w:rsidRPr="003E335B" w:rsidRDefault="0001582F" w:rsidP="000D70EC">
            <w:pPr>
              <w:spacing w:after="100" w:line="240" w:lineRule="auto"/>
              <w:rPr>
                <w:rFonts w:asciiTheme="minorHAnsi" w:hAnsiTheme="minorHAnsi" w:cs="Arial"/>
                <w:b/>
                <w:sz w:val="20"/>
                <w:szCs w:val="20"/>
              </w:rPr>
            </w:pPr>
            <w:r>
              <w:rPr>
                <w:rFonts w:asciiTheme="minorHAnsi" w:hAnsiTheme="minorHAnsi" w:cs="Arial"/>
                <w:sz w:val="20"/>
                <w:szCs w:val="20"/>
              </w:rPr>
              <w:t>0.74</w:t>
            </w:r>
            <w:r w:rsidRPr="003E335B">
              <w:rPr>
                <w:rFonts w:asciiTheme="minorHAnsi" w:hAnsiTheme="minorHAnsi" w:cs="Arial"/>
                <w:sz w:val="20"/>
                <w:szCs w:val="20"/>
              </w:rPr>
              <w:t>% (w.a.*), due 201</w:t>
            </w:r>
            <w:r>
              <w:rPr>
                <w:rFonts w:asciiTheme="minorHAnsi" w:hAnsiTheme="minorHAnsi" w:cs="Arial"/>
                <w:sz w:val="20"/>
                <w:szCs w:val="20"/>
              </w:rPr>
              <w:t>8</w:t>
            </w:r>
            <w:r w:rsidRPr="003E335B">
              <w:rPr>
                <w:rFonts w:asciiTheme="minorHAnsi" w:hAnsiTheme="minorHAnsi" w:cs="Arial"/>
                <w:sz w:val="20"/>
                <w:szCs w:val="20"/>
              </w:rPr>
              <w:t>, fixed interest rate</w:t>
            </w:r>
          </w:p>
        </w:tc>
        <w:tc>
          <w:tcPr>
            <w:tcW w:w="1800" w:type="dxa"/>
            <w:shd w:val="clear" w:color="auto" w:fill="B8CCE4" w:themeFill="accent1" w:themeFillTint="66"/>
          </w:tcPr>
          <w:p w:rsidR="0001582F" w:rsidRPr="003D0AFE" w:rsidRDefault="003D0AFE" w:rsidP="000D70EC">
            <w:pPr>
              <w:spacing w:after="100" w:line="240" w:lineRule="auto"/>
              <w:jc w:val="right"/>
              <w:rPr>
                <w:rFonts w:asciiTheme="minorHAnsi" w:hAnsiTheme="minorHAnsi" w:cs="Arial"/>
                <w:sz w:val="20"/>
                <w:szCs w:val="20"/>
              </w:rPr>
            </w:pPr>
            <w:r w:rsidRPr="003D0AFE">
              <w:rPr>
                <w:rFonts w:asciiTheme="minorHAnsi" w:hAnsiTheme="minorHAnsi" w:cs="Arial"/>
                <w:sz w:val="20"/>
                <w:szCs w:val="20"/>
              </w:rPr>
              <w:t>2</w:t>
            </w:r>
          </w:p>
        </w:tc>
        <w:tc>
          <w:tcPr>
            <w:tcW w:w="1800" w:type="dxa"/>
            <w:shd w:val="clear" w:color="auto" w:fill="B8CCE4" w:themeFill="accent1" w:themeFillTint="66"/>
          </w:tcPr>
          <w:p w:rsidR="0001582F" w:rsidRPr="003E335B" w:rsidRDefault="0001582F"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2</w:t>
            </w:r>
          </w:p>
        </w:tc>
      </w:tr>
      <w:tr w:rsidR="00847BCE" w:rsidRPr="003E335B" w:rsidTr="00C52B12">
        <w:tc>
          <w:tcPr>
            <w:tcW w:w="6498" w:type="dxa"/>
            <w:shd w:val="clear" w:color="auto" w:fill="auto"/>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Finance leases:</w:t>
            </w:r>
          </w:p>
        </w:tc>
        <w:tc>
          <w:tcPr>
            <w:tcW w:w="1800" w:type="dxa"/>
            <w:shd w:val="clear" w:color="auto" w:fill="auto"/>
          </w:tcPr>
          <w:p w:rsidR="00847BCE" w:rsidRPr="003E335B" w:rsidRDefault="00847BCE" w:rsidP="000D70EC">
            <w:pPr>
              <w:spacing w:after="100" w:line="240" w:lineRule="auto"/>
              <w:jc w:val="right"/>
              <w:rPr>
                <w:rFonts w:asciiTheme="minorHAnsi" w:hAnsiTheme="minorHAnsi" w:cs="Arial"/>
                <w:b/>
                <w:sz w:val="20"/>
                <w:szCs w:val="20"/>
              </w:rPr>
            </w:pPr>
          </w:p>
        </w:tc>
        <w:tc>
          <w:tcPr>
            <w:tcW w:w="1800" w:type="dxa"/>
            <w:shd w:val="clear" w:color="auto" w:fill="auto"/>
          </w:tcPr>
          <w:p w:rsidR="00847BCE" w:rsidRPr="003E335B" w:rsidRDefault="00847BCE" w:rsidP="000D70EC">
            <w:pPr>
              <w:spacing w:after="100" w:line="240" w:lineRule="auto"/>
              <w:jc w:val="right"/>
              <w:rPr>
                <w:rFonts w:asciiTheme="minorHAnsi" w:hAnsiTheme="minorHAnsi" w:cs="Arial"/>
                <w:b/>
                <w:sz w:val="20"/>
                <w:szCs w:val="20"/>
              </w:rPr>
            </w:pPr>
          </w:p>
        </w:tc>
      </w:tr>
      <w:tr w:rsidR="00847BCE" w:rsidRPr="003E335B" w:rsidTr="00C52B12">
        <w:tc>
          <w:tcPr>
            <w:tcW w:w="6498" w:type="dxa"/>
            <w:shd w:val="clear" w:color="auto" w:fill="B8CCE4" w:themeFill="accent1" w:themeFillTint="66"/>
            <w:hideMark/>
          </w:tcPr>
          <w:p w:rsidR="00847BCE" w:rsidRPr="003E335B" w:rsidRDefault="0001582F" w:rsidP="000D70EC">
            <w:pPr>
              <w:spacing w:after="100" w:line="240" w:lineRule="auto"/>
              <w:rPr>
                <w:rFonts w:asciiTheme="minorHAnsi" w:hAnsiTheme="minorHAnsi" w:cs="Arial"/>
                <w:sz w:val="20"/>
                <w:szCs w:val="20"/>
              </w:rPr>
            </w:pPr>
            <w:r>
              <w:rPr>
                <w:rFonts w:asciiTheme="minorHAnsi" w:hAnsiTheme="minorHAnsi" w:cs="Arial"/>
                <w:sz w:val="20"/>
                <w:szCs w:val="20"/>
              </w:rPr>
              <w:t>6.48</w:t>
            </w:r>
            <w:r w:rsidR="00847BCE" w:rsidRPr="003E335B">
              <w:rPr>
                <w:rFonts w:asciiTheme="minorHAnsi" w:hAnsiTheme="minorHAnsi" w:cs="Arial"/>
                <w:sz w:val="20"/>
                <w:szCs w:val="20"/>
              </w:rPr>
              <w:t>% (w.a.*), due 2011, fixed interest rate</w:t>
            </w:r>
          </w:p>
        </w:tc>
        <w:tc>
          <w:tcPr>
            <w:tcW w:w="1800" w:type="dxa"/>
            <w:shd w:val="clear" w:color="auto" w:fill="B8CCE4" w:themeFill="accent1" w:themeFillTint="66"/>
          </w:tcPr>
          <w:p w:rsidR="00847BCE" w:rsidRPr="003E335B" w:rsidRDefault="003D0AFE"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800" w:type="dxa"/>
            <w:shd w:val="clear" w:color="auto" w:fill="B8CCE4" w:themeFill="accent1" w:themeFillTint="66"/>
            <w:hideMark/>
          </w:tcPr>
          <w:p w:rsidR="00847BCE" w:rsidRPr="003E335B" w:rsidRDefault="0001582F" w:rsidP="000D70EC">
            <w:pPr>
              <w:spacing w:after="100" w:line="240" w:lineRule="auto"/>
              <w:jc w:val="right"/>
              <w:rPr>
                <w:rFonts w:asciiTheme="minorHAnsi" w:hAnsiTheme="minorHAnsi" w:cs="Arial"/>
                <w:sz w:val="20"/>
                <w:szCs w:val="20"/>
              </w:rPr>
            </w:pPr>
            <w:r>
              <w:rPr>
                <w:rFonts w:asciiTheme="minorHAnsi" w:hAnsiTheme="minorHAnsi" w:cs="Arial"/>
                <w:sz w:val="20"/>
                <w:szCs w:val="20"/>
              </w:rPr>
              <w:t>2</w:t>
            </w:r>
          </w:p>
        </w:tc>
      </w:tr>
      <w:tr w:rsidR="00847BCE" w:rsidRPr="003E335B" w:rsidTr="00C52B12">
        <w:tc>
          <w:tcPr>
            <w:tcW w:w="6498" w:type="dxa"/>
            <w:shd w:val="clear" w:color="auto" w:fill="auto"/>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5.00% (w.a.*), due 2013, fixed interest rate</w:t>
            </w:r>
          </w:p>
        </w:tc>
        <w:tc>
          <w:tcPr>
            <w:tcW w:w="1800" w:type="dxa"/>
            <w:shd w:val="clear" w:color="auto" w:fill="auto"/>
          </w:tcPr>
          <w:p w:rsidR="00847BCE" w:rsidRPr="003E335B" w:rsidRDefault="003D0AFE" w:rsidP="000D70EC">
            <w:pPr>
              <w:spacing w:after="100" w:line="240" w:lineRule="auto"/>
              <w:jc w:val="right"/>
              <w:rPr>
                <w:rFonts w:asciiTheme="minorHAnsi" w:hAnsiTheme="minorHAnsi" w:cs="Arial"/>
                <w:sz w:val="20"/>
                <w:szCs w:val="20"/>
              </w:rPr>
            </w:pPr>
            <w:r>
              <w:rPr>
                <w:rFonts w:asciiTheme="minorHAnsi" w:hAnsiTheme="minorHAnsi" w:cs="Arial"/>
                <w:sz w:val="20"/>
                <w:szCs w:val="20"/>
              </w:rPr>
              <w:t>54</w:t>
            </w:r>
          </w:p>
        </w:tc>
        <w:tc>
          <w:tcPr>
            <w:tcW w:w="1800" w:type="dxa"/>
            <w:shd w:val="clear" w:color="auto" w:fill="auto"/>
            <w:hideMark/>
          </w:tcPr>
          <w:p w:rsidR="00847BCE" w:rsidRPr="003E335B" w:rsidRDefault="0001582F" w:rsidP="000D70EC">
            <w:pPr>
              <w:spacing w:after="100" w:line="240" w:lineRule="auto"/>
              <w:jc w:val="right"/>
              <w:rPr>
                <w:rFonts w:asciiTheme="minorHAnsi" w:hAnsiTheme="minorHAnsi" w:cs="Arial"/>
                <w:sz w:val="20"/>
                <w:szCs w:val="20"/>
              </w:rPr>
            </w:pPr>
            <w:r>
              <w:rPr>
                <w:rFonts w:asciiTheme="minorHAnsi" w:hAnsiTheme="minorHAnsi" w:cs="Arial"/>
                <w:sz w:val="20"/>
                <w:szCs w:val="20"/>
              </w:rPr>
              <w:t>68</w:t>
            </w:r>
          </w:p>
        </w:tc>
      </w:tr>
      <w:tr w:rsidR="00847BCE" w:rsidRPr="003E335B" w:rsidTr="00C52B12">
        <w:tc>
          <w:tcPr>
            <w:tcW w:w="649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6.00% (w.a.*), due 2014, fixed interest rate</w:t>
            </w:r>
          </w:p>
        </w:tc>
        <w:tc>
          <w:tcPr>
            <w:tcW w:w="1800" w:type="dxa"/>
            <w:shd w:val="clear" w:color="auto" w:fill="B8CCE4" w:themeFill="accent1" w:themeFillTint="66"/>
          </w:tcPr>
          <w:p w:rsidR="00847BCE" w:rsidRPr="003E335B" w:rsidRDefault="003D0AFE" w:rsidP="000D70EC">
            <w:pPr>
              <w:spacing w:after="100" w:line="240" w:lineRule="auto"/>
              <w:jc w:val="right"/>
              <w:rPr>
                <w:rFonts w:asciiTheme="minorHAnsi" w:hAnsiTheme="minorHAnsi" w:cs="Arial"/>
                <w:sz w:val="20"/>
                <w:szCs w:val="20"/>
              </w:rPr>
            </w:pPr>
            <w:r>
              <w:rPr>
                <w:rFonts w:asciiTheme="minorHAnsi" w:hAnsiTheme="minorHAnsi" w:cs="Arial"/>
                <w:sz w:val="20"/>
                <w:szCs w:val="20"/>
              </w:rPr>
              <w:t>7</w:t>
            </w:r>
          </w:p>
        </w:tc>
        <w:tc>
          <w:tcPr>
            <w:tcW w:w="1800" w:type="dxa"/>
            <w:shd w:val="clear" w:color="auto" w:fill="B8CCE4" w:themeFill="accent1" w:themeFillTint="66"/>
            <w:hideMark/>
          </w:tcPr>
          <w:p w:rsidR="00847BCE" w:rsidRPr="003E335B" w:rsidRDefault="0001582F" w:rsidP="000D70EC">
            <w:pPr>
              <w:spacing w:after="100" w:line="240" w:lineRule="auto"/>
              <w:jc w:val="right"/>
              <w:rPr>
                <w:rFonts w:asciiTheme="minorHAnsi" w:hAnsiTheme="minorHAnsi" w:cs="Arial"/>
                <w:sz w:val="20"/>
                <w:szCs w:val="20"/>
              </w:rPr>
            </w:pPr>
            <w:r>
              <w:rPr>
                <w:rFonts w:asciiTheme="minorHAnsi" w:hAnsiTheme="minorHAnsi" w:cs="Arial"/>
                <w:sz w:val="20"/>
                <w:szCs w:val="20"/>
              </w:rPr>
              <w:t>7</w:t>
            </w:r>
          </w:p>
        </w:tc>
      </w:tr>
      <w:tr w:rsidR="00847BCE" w:rsidRPr="003E335B" w:rsidTr="00C52B12">
        <w:tc>
          <w:tcPr>
            <w:tcW w:w="6498" w:type="dxa"/>
            <w:shd w:val="clear" w:color="auto" w:fill="auto"/>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5.29% (w.a.*), due 2017, fixed interest rate</w:t>
            </w:r>
          </w:p>
        </w:tc>
        <w:tc>
          <w:tcPr>
            <w:tcW w:w="1800" w:type="dxa"/>
            <w:shd w:val="clear" w:color="auto" w:fill="auto"/>
          </w:tcPr>
          <w:p w:rsidR="00847BCE" w:rsidRPr="003E335B" w:rsidRDefault="003D0AFE" w:rsidP="000D70EC">
            <w:pPr>
              <w:spacing w:after="100" w:line="240" w:lineRule="auto"/>
              <w:jc w:val="right"/>
              <w:rPr>
                <w:rFonts w:asciiTheme="minorHAnsi" w:hAnsiTheme="minorHAnsi" w:cs="Arial"/>
                <w:sz w:val="20"/>
                <w:szCs w:val="20"/>
              </w:rPr>
            </w:pPr>
            <w:r>
              <w:rPr>
                <w:rFonts w:asciiTheme="minorHAnsi" w:hAnsiTheme="minorHAnsi" w:cs="Arial"/>
                <w:sz w:val="20"/>
                <w:szCs w:val="20"/>
              </w:rPr>
              <w:t>2</w:t>
            </w:r>
          </w:p>
        </w:tc>
        <w:tc>
          <w:tcPr>
            <w:tcW w:w="1800" w:type="dxa"/>
            <w:shd w:val="clear" w:color="auto" w:fill="auto"/>
            <w:hideMark/>
          </w:tcPr>
          <w:p w:rsidR="00847BCE" w:rsidRPr="003E335B" w:rsidRDefault="0001582F" w:rsidP="000D70EC">
            <w:pPr>
              <w:spacing w:after="100" w:line="240" w:lineRule="auto"/>
              <w:jc w:val="right"/>
              <w:rPr>
                <w:rFonts w:asciiTheme="minorHAnsi" w:hAnsiTheme="minorHAnsi" w:cs="Arial"/>
                <w:sz w:val="20"/>
                <w:szCs w:val="20"/>
              </w:rPr>
            </w:pPr>
            <w:r>
              <w:rPr>
                <w:rFonts w:asciiTheme="minorHAnsi" w:hAnsiTheme="minorHAnsi" w:cs="Arial"/>
                <w:sz w:val="20"/>
                <w:szCs w:val="20"/>
              </w:rPr>
              <w:t>2</w:t>
            </w:r>
          </w:p>
        </w:tc>
      </w:tr>
      <w:tr w:rsidR="00847BCE" w:rsidRPr="003E335B" w:rsidTr="00C52B12">
        <w:tc>
          <w:tcPr>
            <w:tcW w:w="649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Senior Bonds</w:t>
            </w:r>
          </w:p>
        </w:tc>
        <w:tc>
          <w:tcPr>
            <w:tcW w:w="1800" w:type="dxa"/>
            <w:shd w:val="clear" w:color="auto" w:fill="B8CCE4" w:themeFill="accent1" w:themeFillTint="66"/>
          </w:tcPr>
          <w:p w:rsidR="00847BCE" w:rsidRPr="003E335B" w:rsidRDefault="00847BCE" w:rsidP="000D70EC">
            <w:pPr>
              <w:spacing w:after="100" w:line="240" w:lineRule="auto"/>
              <w:jc w:val="right"/>
              <w:rPr>
                <w:rFonts w:asciiTheme="minorHAnsi" w:hAnsiTheme="minorHAnsi" w:cs="Arial"/>
                <w:b/>
                <w:sz w:val="20"/>
                <w:szCs w:val="20"/>
              </w:rPr>
            </w:pPr>
          </w:p>
        </w:tc>
        <w:tc>
          <w:tcPr>
            <w:tcW w:w="1800" w:type="dxa"/>
            <w:shd w:val="clear" w:color="auto" w:fill="B8CCE4" w:themeFill="accent1" w:themeFillTint="66"/>
          </w:tcPr>
          <w:p w:rsidR="00847BCE" w:rsidRPr="003E335B" w:rsidRDefault="00847BCE" w:rsidP="000D70EC">
            <w:pPr>
              <w:spacing w:after="100" w:line="240" w:lineRule="auto"/>
              <w:jc w:val="right"/>
              <w:rPr>
                <w:rFonts w:asciiTheme="minorHAnsi" w:hAnsiTheme="minorHAnsi" w:cs="Arial"/>
                <w:b/>
                <w:sz w:val="20"/>
                <w:szCs w:val="20"/>
              </w:rPr>
            </w:pPr>
          </w:p>
        </w:tc>
      </w:tr>
      <w:tr w:rsidR="00847BCE" w:rsidRPr="003E335B" w:rsidTr="00C52B12">
        <w:tc>
          <w:tcPr>
            <w:tcW w:w="6498" w:type="dxa"/>
            <w:shd w:val="clear" w:color="auto" w:fill="auto"/>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1.</w:t>
            </w:r>
            <w:r w:rsidR="0001582F">
              <w:rPr>
                <w:rFonts w:asciiTheme="minorHAnsi" w:hAnsiTheme="minorHAnsi" w:cs="Arial"/>
                <w:sz w:val="20"/>
                <w:szCs w:val="20"/>
              </w:rPr>
              <w:t>89</w:t>
            </w:r>
            <w:r w:rsidRPr="003E335B">
              <w:rPr>
                <w:rFonts w:asciiTheme="minorHAnsi" w:hAnsiTheme="minorHAnsi" w:cs="Arial"/>
                <w:sz w:val="20"/>
                <w:szCs w:val="20"/>
              </w:rPr>
              <w:t>%, due 2013, floating interest rate Euribor + 0.40%</w:t>
            </w:r>
          </w:p>
        </w:tc>
        <w:tc>
          <w:tcPr>
            <w:tcW w:w="1800" w:type="dxa"/>
            <w:shd w:val="clear" w:color="auto" w:fill="auto"/>
          </w:tcPr>
          <w:p w:rsidR="00847BCE" w:rsidRPr="003E335B" w:rsidRDefault="003D0AFE" w:rsidP="000D70EC">
            <w:pPr>
              <w:spacing w:after="100" w:line="240" w:lineRule="auto"/>
              <w:jc w:val="right"/>
              <w:rPr>
                <w:rFonts w:asciiTheme="minorHAnsi" w:hAnsiTheme="minorHAnsi" w:cs="Arial"/>
                <w:sz w:val="20"/>
                <w:szCs w:val="20"/>
              </w:rPr>
            </w:pPr>
            <w:r>
              <w:rPr>
                <w:rFonts w:asciiTheme="minorHAnsi" w:hAnsiTheme="minorHAnsi" w:cs="Arial"/>
                <w:sz w:val="20"/>
                <w:szCs w:val="20"/>
              </w:rPr>
              <w:t>585</w:t>
            </w:r>
          </w:p>
        </w:tc>
        <w:tc>
          <w:tcPr>
            <w:tcW w:w="1800" w:type="dxa"/>
            <w:shd w:val="clear" w:color="auto" w:fill="auto"/>
            <w:hideMark/>
          </w:tcPr>
          <w:p w:rsidR="00847BCE" w:rsidRPr="003E335B" w:rsidRDefault="0001582F" w:rsidP="000D70EC">
            <w:pPr>
              <w:spacing w:after="100" w:line="240" w:lineRule="auto"/>
              <w:jc w:val="right"/>
              <w:rPr>
                <w:rFonts w:asciiTheme="minorHAnsi" w:hAnsiTheme="minorHAnsi" w:cs="Arial"/>
                <w:sz w:val="20"/>
                <w:szCs w:val="20"/>
              </w:rPr>
            </w:pPr>
            <w:r>
              <w:rPr>
                <w:rFonts w:asciiTheme="minorHAnsi" w:hAnsiTheme="minorHAnsi" w:cs="Arial"/>
                <w:sz w:val="20"/>
                <w:szCs w:val="20"/>
              </w:rPr>
              <w:t>569</w:t>
            </w:r>
          </w:p>
        </w:tc>
      </w:tr>
      <w:tr w:rsidR="00847BCE" w:rsidRPr="003E335B" w:rsidTr="00C52B12">
        <w:tc>
          <w:tcPr>
            <w:tcW w:w="649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Convertible Bonds</w:t>
            </w:r>
          </w:p>
        </w:tc>
        <w:tc>
          <w:tcPr>
            <w:tcW w:w="1800" w:type="dxa"/>
            <w:shd w:val="clear" w:color="auto" w:fill="B8CCE4" w:themeFill="accent1" w:themeFillTint="66"/>
          </w:tcPr>
          <w:p w:rsidR="00847BCE" w:rsidRPr="003E335B" w:rsidRDefault="00847BCE" w:rsidP="000D70EC">
            <w:pPr>
              <w:spacing w:after="100" w:line="240" w:lineRule="auto"/>
              <w:jc w:val="right"/>
              <w:rPr>
                <w:rFonts w:asciiTheme="minorHAnsi" w:hAnsiTheme="minorHAnsi" w:cs="Arial"/>
                <w:b/>
                <w:sz w:val="20"/>
                <w:szCs w:val="20"/>
              </w:rPr>
            </w:pPr>
          </w:p>
        </w:tc>
        <w:tc>
          <w:tcPr>
            <w:tcW w:w="1800" w:type="dxa"/>
            <w:shd w:val="clear" w:color="auto" w:fill="B8CCE4" w:themeFill="accent1" w:themeFillTint="66"/>
          </w:tcPr>
          <w:p w:rsidR="00847BCE" w:rsidRPr="003E335B" w:rsidRDefault="00847BCE" w:rsidP="000D70EC">
            <w:pPr>
              <w:spacing w:after="100" w:line="240" w:lineRule="auto"/>
              <w:jc w:val="right"/>
              <w:rPr>
                <w:rFonts w:asciiTheme="minorHAnsi" w:hAnsiTheme="minorHAnsi" w:cs="Arial"/>
                <w:b/>
                <w:sz w:val="20"/>
                <w:szCs w:val="20"/>
              </w:rPr>
            </w:pPr>
          </w:p>
        </w:tc>
      </w:tr>
      <w:tr w:rsidR="00847BCE" w:rsidRPr="003E335B" w:rsidTr="00C52B12">
        <w:tc>
          <w:tcPr>
            <w:tcW w:w="6498" w:type="dxa"/>
            <w:shd w:val="clear" w:color="auto" w:fill="auto"/>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4.92% convertible bonds due 2016</w:t>
            </w:r>
          </w:p>
        </w:tc>
        <w:tc>
          <w:tcPr>
            <w:tcW w:w="1800" w:type="dxa"/>
            <w:tcBorders>
              <w:bottom w:val="single" w:sz="18" w:space="0" w:color="auto"/>
            </w:tcBorders>
            <w:shd w:val="clear" w:color="auto" w:fill="auto"/>
          </w:tcPr>
          <w:p w:rsidR="00847BCE" w:rsidRPr="003E335B" w:rsidRDefault="003D0AFE" w:rsidP="000D70EC">
            <w:pPr>
              <w:spacing w:after="100" w:line="240" w:lineRule="auto"/>
              <w:jc w:val="right"/>
              <w:rPr>
                <w:rFonts w:asciiTheme="minorHAnsi" w:hAnsiTheme="minorHAnsi" w:cs="Arial"/>
                <w:sz w:val="20"/>
                <w:szCs w:val="20"/>
              </w:rPr>
            </w:pPr>
            <w:r>
              <w:rPr>
                <w:rFonts w:asciiTheme="minorHAnsi" w:hAnsiTheme="minorHAnsi" w:cs="Arial"/>
                <w:sz w:val="20"/>
                <w:szCs w:val="20"/>
              </w:rPr>
              <w:t>41</w:t>
            </w:r>
            <w:r w:rsidR="00132ABA">
              <w:rPr>
                <w:rFonts w:asciiTheme="minorHAnsi" w:hAnsiTheme="minorHAnsi" w:cs="Arial"/>
                <w:sz w:val="20"/>
                <w:szCs w:val="20"/>
              </w:rPr>
              <w:t>5</w:t>
            </w:r>
          </w:p>
        </w:tc>
        <w:tc>
          <w:tcPr>
            <w:tcW w:w="1800" w:type="dxa"/>
            <w:tcBorders>
              <w:bottom w:val="single" w:sz="18" w:space="0" w:color="auto"/>
            </w:tcBorders>
            <w:shd w:val="clear" w:color="auto" w:fill="auto"/>
            <w:hideMark/>
          </w:tcPr>
          <w:p w:rsidR="00847BCE" w:rsidRPr="003E335B" w:rsidRDefault="0001582F" w:rsidP="000D70EC">
            <w:pPr>
              <w:spacing w:after="100" w:line="240" w:lineRule="auto"/>
              <w:jc w:val="right"/>
              <w:rPr>
                <w:rFonts w:asciiTheme="minorHAnsi" w:hAnsiTheme="minorHAnsi" w:cs="Arial"/>
                <w:sz w:val="20"/>
                <w:szCs w:val="20"/>
              </w:rPr>
            </w:pPr>
            <w:r>
              <w:rPr>
                <w:rFonts w:asciiTheme="minorHAnsi" w:hAnsiTheme="minorHAnsi" w:cs="Arial"/>
                <w:sz w:val="20"/>
                <w:szCs w:val="20"/>
              </w:rPr>
              <w:t>443</w:t>
            </w:r>
          </w:p>
        </w:tc>
      </w:tr>
      <w:tr w:rsidR="00847BCE" w:rsidRPr="003E335B" w:rsidTr="00C52B12">
        <w:tc>
          <w:tcPr>
            <w:tcW w:w="649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Total interest-bearing loans and borrowings</w:t>
            </w:r>
          </w:p>
        </w:tc>
        <w:tc>
          <w:tcPr>
            <w:tcW w:w="1800" w:type="dxa"/>
            <w:tcBorders>
              <w:top w:val="single" w:sz="18" w:space="0" w:color="auto"/>
            </w:tcBorders>
            <w:shd w:val="clear" w:color="auto" w:fill="B8CCE4" w:themeFill="accent1" w:themeFillTint="66"/>
          </w:tcPr>
          <w:p w:rsidR="00847BCE" w:rsidRPr="003E335B" w:rsidRDefault="003D0AFE"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1,8</w:t>
            </w:r>
            <w:r w:rsidR="00132ABA">
              <w:rPr>
                <w:rFonts w:asciiTheme="minorHAnsi" w:hAnsiTheme="minorHAnsi" w:cs="Arial"/>
                <w:b/>
                <w:sz w:val="20"/>
                <w:szCs w:val="20"/>
              </w:rPr>
              <w:t>48</w:t>
            </w:r>
          </w:p>
        </w:tc>
        <w:tc>
          <w:tcPr>
            <w:tcW w:w="1800" w:type="dxa"/>
            <w:tcBorders>
              <w:top w:val="single" w:sz="18" w:space="0" w:color="auto"/>
            </w:tcBorders>
            <w:shd w:val="clear" w:color="auto" w:fill="B8CCE4" w:themeFill="accent1" w:themeFillTint="66"/>
            <w:hideMark/>
          </w:tcPr>
          <w:p w:rsidR="00847BCE" w:rsidRPr="003E335B" w:rsidRDefault="0001582F"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1</w:t>
            </w:r>
            <w:r w:rsidR="00A127F8">
              <w:rPr>
                <w:rFonts w:asciiTheme="minorHAnsi" w:hAnsiTheme="minorHAnsi" w:cs="Arial"/>
                <w:b/>
                <w:sz w:val="20"/>
                <w:szCs w:val="20"/>
              </w:rPr>
              <w:t>,</w:t>
            </w:r>
            <w:r>
              <w:rPr>
                <w:rFonts w:asciiTheme="minorHAnsi" w:hAnsiTheme="minorHAnsi" w:cs="Arial"/>
                <w:b/>
                <w:sz w:val="20"/>
                <w:szCs w:val="20"/>
              </w:rPr>
              <w:t>746</w:t>
            </w:r>
          </w:p>
        </w:tc>
      </w:tr>
      <w:tr w:rsidR="00847BCE" w:rsidRPr="003E335B" w:rsidTr="00C52B12">
        <w:tc>
          <w:tcPr>
            <w:tcW w:w="6498" w:type="dxa"/>
            <w:shd w:val="clear" w:color="auto" w:fill="auto"/>
            <w:hideMark/>
          </w:tcPr>
          <w:p w:rsidR="00847BCE" w:rsidRPr="003E335B" w:rsidRDefault="00847BCE" w:rsidP="000D70EC">
            <w:pPr>
              <w:spacing w:after="100" w:line="240" w:lineRule="auto"/>
              <w:rPr>
                <w:rFonts w:asciiTheme="minorHAnsi" w:hAnsiTheme="minorHAnsi" w:cs="Arial"/>
                <w:i/>
                <w:sz w:val="20"/>
                <w:szCs w:val="20"/>
              </w:rPr>
            </w:pPr>
            <w:r w:rsidRPr="003E335B">
              <w:rPr>
                <w:rFonts w:asciiTheme="minorHAnsi" w:hAnsiTheme="minorHAnsi" w:cs="Arial"/>
                <w:i/>
                <w:sz w:val="20"/>
                <w:szCs w:val="20"/>
              </w:rPr>
              <w:t>Total current</w:t>
            </w:r>
          </w:p>
        </w:tc>
        <w:tc>
          <w:tcPr>
            <w:tcW w:w="1800" w:type="dxa"/>
            <w:shd w:val="clear" w:color="auto" w:fill="auto"/>
          </w:tcPr>
          <w:p w:rsidR="00847BCE" w:rsidRPr="003E335B" w:rsidRDefault="003D0AFE"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77</w:t>
            </w:r>
            <w:r w:rsidR="00132ABA">
              <w:rPr>
                <w:rFonts w:asciiTheme="minorHAnsi" w:hAnsiTheme="minorHAnsi" w:cs="Arial"/>
                <w:i/>
                <w:sz w:val="20"/>
                <w:szCs w:val="20"/>
              </w:rPr>
              <w:t>5</w:t>
            </w:r>
          </w:p>
        </w:tc>
        <w:tc>
          <w:tcPr>
            <w:tcW w:w="1800" w:type="dxa"/>
            <w:shd w:val="clear" w:color="auto" w:fill="auto"/>
            <w:hideMark/>
          </w:tcPr>
          <w:p w:rsidR="00847BCE" w:rsidRPr="003E335B" w:rsidRDefault="0001582F"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655</w:t>
            </w:r>
          </w:p>
        </w:tc>
      </w:tr>
      <w:tr w:rsidR="00847BCE" w:rsidRPr="003E335B" w:rsidTr="00C52B12">
        <w:tc>
          <w:tcPr>
            <w:tcW w:w="6498" w:type="dxa"/>
            <w:tcBorders>
              <w:bottom w:val="single" w:sz="18" w:space="0" w:color="auto"/>
            </w:tcBorders>
            <w:shd w:val="clear" w:color="auto" w:fill="B8CCE4" w:themeFill="accent1" w:themeFillTint="66"/>
            <w:hideMark/>
          </w:tcPr>
          <w:p w:rsidR="00847BCE" w:rsidRPr="003E335B" w:rsidRDefault="00847BCE" w:rsidP="000D70EC">
            <w:pPr>
              <w:spacing w:after="100" w:line="240" w:lineRule="auto"/>
              <w:rPr>
                <w:rFonts w:asciiTheme="minorHAnsi" w:hAnsiTheme="minorHAnsi" w:cs="Arial"/>
                <w:i/>
                <w:sz w:val="20"/>
                <w:szCs w:val="20"/>
              </w:rPr>
            </w:pPr>
            <w:r w:rsidRPr="003E335B">
              <w:rPr>
                <w:rFonts w:asciiTheme="minorHAnsi" w:hAnsiTheme="minorHAnsi" w:cs="Arial"/>
                <w:i/>
                <w:sz w:val="20"/>
                <w:szCs w:val="20"/>
              </w:rPr>
              <w:t>Total non-current</w:t>
            </w:r>
          </w:p>
        </w:tc>
        <w:tc>
          <w:tcPr>
            <w:tcW w:w="1800" w:type="dxa"/>
            <w:tcBorders>
              <w:bottom w:val="single" w:sz="18" w:space="0" w:color="auto"/>
            </w:tcBorders>
            <w:shd w:val="clear" w:color="auto" w:fill="B8CCE4" w:themeFill="accent1" w:themeFillTint="66"/>
          </w:tcPr>
          <w:p w:rsidR="00847BCE" w:rsidRPr="003E335B" w:rsidRDefault="003D0AFE"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1,073</w:t>
            </w:r>
          </w:p>
        </w:tc>
        <w:tc>
          <w:tcPr>
            <w:tcW w:w="1800" w:type="dxa"/>
            <w:tcBorders>
              <w:bottom w:val="single" w:sz="18" w:space="0" w:color="auto"/>
            </w:tcBorders>
            <w:shd w:val="clear" w:color="auto" w:fill="B8CCE4" w:themeFill="accent1" w:themeFillTint="66"/>
            <w:hideMark/>
          </w:tcPr>
          <w:p w:rsidR="00847BCE" w:rsidRPr="003E335B" w:rsidRDefault="0001582F" w:rsidP="000D70EC">
            <w:pPr>
              <w:spacing w:after="100" w:line="240" w:lineRule="auto"/>
              <w:jc w:val="right"/>
              <w:rPr>
                <w:rFonts w:asciiTheme="minorHAnsi" w:hAnsiTheme="minorHAnsi" w:cs="Arial"/>
                <w:i/>
                <w:sz w:val="20"/>
                <w:szCs w:val="20"/>
              </w:rPr>
            </w:pPr>
            <w:r>
              <w:rPr>
                <w:rFonts w:asciiTheme="minorHAnsi" w:hAnsiTheme="minorHAnsi" w:cs="Arial"/>
                <w:i/>
                <w:sz w:val="20"/>
                <w:szCs w:val="20"/>
              </w:rPr>
              <w:t>1,091</w:t>
            </w:r>
          </w:p>
        </w:tc>
      </w:tr>
    </w:tbl>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 Weighted averag</w:t>
      </w:r>
      <w:bookmarkEnd w:id="117"/>
      <w:r w:rsidRPr="003E335B">
        <w:rPr>
          <w:rFonts w:asciiTheme="minorHAnsi" w:hAnsiTheme="minorHAnsi" w:cs="Arial"/>
          <w:sz w:val="20"/>
          <w:szCs w:val="20"/>
        </w:rPr>
        <w:t>e</w:t>
      </w:r>
    </w:p>
    <w:p w:rsidR="00CE7E8B" w:rsidRPr="003E335B" w:rsidRDefault="00CE7E8B" w:rsidP="000D70EC">
      <w:pPr>
        <w:spacing w:after="100" w:line="240" w:lineRule="auto"/>
        <w:rPr>
          <w:rFonts w:asciiTheme="minorHAnsi" w:hAnsiTheme="minorHAnsi" w:cs="Arial"/>
          <w:b/>
          <w:i/>
          <w:sz w:val="20"/>
          <w:szCs w:val="20"/>
        </w:rPr>
      </w:pPr>
      <w:r w:rsidRPr="003E335B">
        <w:rPr>
          <w:rFonts w:asciiTheme="minorHAnsi" w:hAnsiTheme="minorHAnsi" w:cs="Arial"/>
          <w:b/>
          <w:i/>
          <w:sz w:val="20"/>
          <w:szCs w:val="20"/>
        </w:rPr>
        <w:br w:type="page"/>
      </w:r>
    </w:p>
    <w:p w:rsidR="008733F0" w:rsidRDefault="00847BCE">
      <w:pPr>
        <w:spacing w:after="100" w:line="240" w:lineRule="auto"/>
        <w:jc w:val="both"/>
        <w:rPr>
          <w:rFonts w:asciiTheme="minorHAnsi" w:hAnsiTheme="minorHAnsi" w:cs="Arial"/>
          <w:b/>
          <w:i/>
          <w:sz w:val="20"/>
          <w:szCs w:val="20"/>
        </w:rPr>
      </w:pPr>
      <w:r w:rsidRPr="003E335B">
        <w:rPr>
          <w:rFonts w:asciiTheme="minorHAnsi" w:hAnsiTheme="minorHAnsi" w:cs="Arial"/>
          <w:b/>
          <w:i/>
          <w:sz w:val="20"/>
          <w:szCs w:val="20"/>
        </w:rPr>
        <w:lastRenderedPageBreak/>
        <w:t>Convertible debt</w:t>
      </w:r>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In February 2006, the Group issued $1,131 million principal amount at maturity of zero coupon senior convertible bonds due in February 2016. The bonds were issued at 100% of principal with a yield to maturity of 1.5% and resulted in net proceeds to the Group of $974 million less transaction fees. The bonds are convertible by the holder at any time prior to maturity at the adjusted conversion rate of 43.</w:t>
      </w:r>
      <w:r w:rsidR="005B3ECC">
        <w:rPr>
          <w:rFonts w:asciiTheme="minorHAnsi" w:hAnsiTheme="minorHAnsi" w:cs="Arial"/>
          <w:sz w:val="20"/>
          <w:szCs w:val="20"/>
        </w:rPr>
        <w:t>833898</w:t>
      </w:r>
      <w:r w:rsidRPr="003E335B">
        <w:rPr>
          <w:rFonts w:asciiTheme="minorHAnsi" w:hAnsiTheme="minorHAnsi" w:cs="Arial"/>
          <w:sz w:val="20"/>
          <w:szCs w:val="20"/>
        </w:rPr>
        <w:t xml:space="preserve"> shares per one thousand dollar face value of the bonds corresponding to 42,</w:t>
      </w:r>
      <w:r w:rsidR="005B3ECC">
        <w:rPr>
          <w:rFonts w:asciiTheme="minorHAnsi" w:hAnsiTheme="minorHAnsi" w:cs="Arial"/>
          <w:sz w:val="20"/>
          <w:szCs w:val="20"/>
        </w:rPr>
        <w:t>694,216</w:t>
      </w:r>
      <w:r w:rsidRPr="003E335B">
        <w:rPr>
          <w:rFonts w:asciiTheme="minorHAnsi" w:hAnsiTheme="minorHAnsi" w:cs="Arial"/>
          <w:sz w:val="20"/>
          <w:szCs w:val="20"/>
        </w:rPr>
        <w:t xml:space="preserve"> equivalent shares. The holders c</w:t>
      </w:r>
      <w:r w:rsidR="00894A4A">
        <w:rPr>
          <w:rFonts w:asciiTheme="minorHAnsi" w:hAnsiTheme="minorHAnsi" w:cs="Arial"/>
          <w:sz w:val="20"/>
          <w:szCs w:val="20"/>
        </w:rPr>
        <w:t>ould</w:t>
      </w:r>
      <w:r w:rsidRPr="003E335B">
        <w:rPr>
          <w:rFonts w:asciiTheme="minorHAnsi" w:hAnsiTheme="minorHAnsi" w:cs="Arial"/>
          <w:sz w:val="20"/>
          <w:szCs w:val="20"/>
        </w:rPr>
        <w:t xml:space="preserve"> redeem the convertible bonds on February 23, 2011 at a price of $1,077.58</w:t>
      </w:r>
      <w:r w:rsidR="00894A4A">
        <w:rPr>
          <w:rFonts w:asciiTheme="minorHAnsi" w:hAnsiTheme="minorHAnsi" w:cs="Arial"/>
          <w:sz w:val="20"/>
          <w:szCs w:val="20"/>
        </w:rPr>
        <w:t xml:space="preserve"> and for those who did not exercise the option, they will be able to redeem the convertible bonds </w:t>
      </w:r>
      <w:r w:rsidRPr="003E335B">
        <w:rPr>
          <w:rFonts w:asciiTheme="minorHAnsi" w:hAnsiTheme="minorHAnsi" w:cs="Arial"/>
          <w:sz w:val="20"/>
          <w:szCs w:val="20"/>
        </w:rPr>
        <w:t xml:space="preserve">on February 23, 2012 at a price of $1,093.81 and on February 24, 2014 at a price of $1,126.99 per one thousand dollar face value of the bonds. </w:t>
      </w:r>
    </w:p>
    <w:p w:rsidR="008733F0" w:rsidRDefault="00894A4A">
      <w:pPr>
        <w:spacing w:after="100" w:line="240" w:lineRule="auto"/>
        <w:jc w:val="both"/>
        <w:rPr>
          <w:rFonts w:asciiTheme="minorHAnsi" w:hAnsiTheme="minorHAnsi" w:cs="Arial"/>
          <w:sz w:val="20"/>
          <w:szCs w:val="20"/>
        </w:rPr>
      </w:pPr>
      <w:r>
        <w:rPr>
          <w:rFonts w:asciiTheme="minorHAnsi" w:hAnsiTheme="minorHAnsi" w:cs="Arial"/>
          <w:sz w:val="20"/>
          <w:szCs w:val="20"/>
        </w:rPr>
        <w:t>In February 2011, certain bond holders exercised their option to put the convertible bonds to the Group. The result of this transaction is summarized in the table below:</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8"/>
        <w:gridCol w:w="1620"/>
      </w:tblGrid>
      <w:tr w:rsidR="00894A4A" w:rsidRPr="003E335B" w:rsidTr="00C52B12">
        <w:tc>
          <w:tcPr>
            <w:tcW w:w="8478" w:type="dxa"/>
            <w:tcBorders>
              <w:bottom w:val="single" w:sz="18" w:space="0" w:color="auto"/>
            </w:tcBorders>
            <w:vAlign w:val="bottom"/>
          </w:tcPr>
          <w:p w:rsidR="00894A4A" w:rsidRPr="003E335B" w:rsidRDefault="00894A4A" w:rsidP="000D70EC">
            <w:pPr>
              <w:spacing w:after="100" w:line="240" w:lineRule="auto"/>
              <w:jc w:val="left"/>
              <w:rPr>
                <w:rFonts w:asciiTheme="minorHAnsi" w:hAnsiTheme="minorHAnsi" w:cs="Arial"/>
                <w:sz w:val="20"/>
                <w:szCs w:val="20"/>
              </w:rPr>
            </w:pPr>
            <w:r w:rsidRPr="003E335B">
              <w:rPr>
                <w:rFonts w:asciiTheme="minorHAnsi" w:hAnsiTheme="minorHAnsi" w:cs="Arial"/>
                <w:sz w:val="20"/>
                <w:szCs w:val="20"/>
              </w:rPr>
              <w:t>In millions of USD</w:t>
            </w:r>
          </w:p>
        </w:tc>
        <w:tc>
          <w:tcPr>
            <w:tcW w:w="1620" w:type="dxa"/>
            <w:tcBorders>
              <w:bottom w:val="single" w:sz="18" w:space="0" w:color="auto"/>
            </w:tcBorders>
            <w:vAlign w:val="bottom"/>
          </w:tcPr>
          <w:p w:rsidR="00894A4A" w:rsidRPr="003E335B" w:rsidRDefault="00894A4A" w:rsidP="000D70EC">
            <w:pPr>
              <w:spacing w:after="100" w:line="240" w:lineRule="auto"/>
              <w:jc w:val="center"/>
              <w:rPr>
                <w:rFonts w:asciiTheme="minorHAnsi" w:hAnsiTheme="minorHAnsi" w:cs="Arial"/>
                <w:sz w:val="20"/>
                <w:szCs w:val="20"/>
              </w:rPr>
            </w:pPr>
            <w:r>
              <w:rPr>
                <w:rFonts w:asciiTheme="minorHAnsi" w:hAnsiTheme="minorHAnsi" w:cs="Arial"/>
                <w:sz w:val="20"/>
                <w:szCs w:val="20"/>
              </w:rPr>
              <w:t>February 2011</w:t>
            </w:r>
          </w:p>
        </w:tc>
      </w:tr>
      <w:tr w:rsidR="00894A4A" w:rsidRPr="003E335B" w:rsidTr="00C52B12">
        <w:tc>
          <w:tcPr>
            <w:tcW w:w="8478" w:type="dxa"/>
            <w:tcBorders>
              <w:top w:val="single" w:sz="18" w:space="0" w:color="auto"/>
            </w:tcBorders>
          </w:tcPr>
          <w:p w:rsidR="00894A4A" w:rsidRPr="003E335B" w:rsidRDefault="00894A4A"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Principal amount re</w:t>
            </w:r>
            <w:r w:rsidR="006D777B">
              <w:rPr>
                <w:rFonts w:asciiTheme="minorHAnsi" w:hAnsiTheme="minorHAnsi" w:cs="Arial"/>
                <w:sz w:val="20"/>
                <w:szCs w:val="20"/>
              </w:rPr>
              <w:t>deemed</w:t>
            </w:r>
          </w:p>
        </w:tc>
        <w:tc>
          <w:tcPr>
            <w:tcW w:w="1620" w:type="dxa"/>
            <w:tcBorders>
              <w:top w:val="single" w:sz="18" w:space="0" w:color="auto"/>
            </w:tcBorders>
            <w:vAlign w:val="center"/>
          </w:tcPr>
          <w:p w:rsidR="00894A4A" w:rsidRPr="003E335B" w:rsidRDefault="00894A4A" w:rsidP="000D70EC">
            <w:pPr>
              <w:spacing w:after="100" w:line="240" w:lineRule="auto"/>
              <w:jc w:val="right"/>
              <w:rPr>
                <w:rFonts w:asciiTheme="minorHAnsi" w:hAnsiTheme="minorHAnsi" w:cs="Arial"/>
                <w:sz w:val="20"/>
                <w:szCs w:val="20"/>
              </w:rPr>
            </w:pPr>
            <w:r>
              <w:rPr>
                <w:rFonts w:asciiTheme="minorHAnsi" w:hAnsiTheme="minorHAnsi" w:cs="Arial"/>
                <w:sz w:val="20"/>
                <w:szCs w:val="20"/>
              </w:rPr>
              <w:t>41</w:t>
            </w:r>
          </w:p>
        </w:tc>
      </w:tr>
      <w:tr w:rsidR="00894A4A" w:rsidRPr="003E335B" w:rsidTr="00C52B12">
        <w:tc>
          <w:tcPr>
            <w:tcW w:w="8478" w:type="dxa"/>
            <w:shd w:val="clear" w:color="auto" w:fill="B8CCE4" w:themeFill="accent1" w:themeFillTint="66"/>
          </w:tcPr>
          <w:p w:rsidR="00894A4A" w:rsidRPr="003E335B" w:rsidRDefault="00894A4A"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Decrease in value of liability component of 2016 convertible bonds</w:t>
            </w:r>
          </w:p>
        </w:tc>
        <w:tc>
          <w:tcPr>
            <w:tcW w:w="1620" w:type="dxa"/>
            <w:shd w:val="clear" w:color="auto" w:fill="B8CCE4" w:themeFill="accent1" w:themeFillTint="66"/>
            <w:vAlign w:val="center"/>
          </w:tcPr>
          <w:p w:rsidR="00894A4A" w:rsidRPr="003E335B" w:rsidRDefault="00894A4A" w:rsidP="000D70EC">
            <w:pPr>
              <w:spacing w:after="100" w:line="240" w:lineRule="auto"/>
              <w:jc w:val="right"/>
              <w:rPr>
                <w:rFonts w:asciiTheme="minorHAnsi" w:hAnsiTheme="minorHAnsi" w:cs="Arial"/>
                <w:sz w:val="20"/>
                <w:szCs w:val="20"/>
              </w:rPr>
            </w:pPr>
            <w:r>
              <w:rPr>
                <w:rFonts w:asciiTheme="minorHAnsi" w:hAnsiTheme="minorHAnsi" w:cs="Arial"/>
                <w:sz w:val="20"/>
                <w:szCs w:val="20"/>
              </w:rPr>
              <w:t>3</w:t>
            </w:r>
            <w:r w:rsidR="006D777B">
              <w:rPr>
                <w:rFonts w:asciiTheme="minorHAnsi" w:hAnsiTheme="minorHAnsi" w:cs="Arial"/>
                <w:sz w:val="20"/>
                <w:szCs w:val="20"/>
              </w:rPr>
              <w:t>7</w:t>
            </w:r>
          </w:p>
        </w:tc>
      </w:tr>
      <w:tr w:rsidR="00894A4A" w:rsidRPr="003E335B" w:rsidTr="00C52B12">
        <w:tc>
          <w:tcPr>
            <w:tcW w:w="8478" w:type="dxa"/>
          </w:tcPr>
          <w:p w:rsidR="00894A4A" w:rsidRPr="003E335B" w:rsidRDefault="00894A4A"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Decrease in value of equity component of 2016 convertible bonds</w:t>
            </w:r>
          </w:p>
        </w:tc>
        <w:tc>
          <w:tcPr>
            <w:tcW w:w="1620" w:type="dxa"/>
            <w:vAlign w:val="center"/>
          </w:tcPr>
          <w:p w:rsidR="00894A4A" w:rsidRPr="003E335B" w:rsidRDefault="00894A4A" w:rsidP="000D70EC">
            <w:pPr>
              <w:spacing w:after="100" w:line="240" w:lineRule="auto"/>
              <w:jc w:val="right"/>
              <w:rPr>
                <w:rFonts w:asciiTheme="minorHAnsi" w:hAnsiTheme="minorHAnsi" w:cs="Arial"/>
                <w:sz w:val="20"/>
                <w:szCs w:val="20"/>
              </w:rPr>
            </w:pPr>
            <w:r>
              <w:rPr>
                <w:rFonts w:asciiTheme="minorHAnsi" w:hAnsiTheme="minorHAnsi" w:cs="Arial"/>
                <w:sz w:val="20"/>
                <w:szCs w:val="20"/>
              </w:rPr>
              <w:t>3</w:t>
            </w:r>
          </w:p>
        </w:tc>
      </w:tr>
      <w:tr w:rsidR="00894A4A" w:rsidRPr="003E335B" w:rsidTr="00C52B12">
        <w:tc>
          <w:tcPr>
            <w:tcW w:w="8478" w:type="dxa"/>
            <w:shd w:val="clear" w:color="auto" w:fill="B8CCE4" w:themeFill="accent1" w:themeFillTint="66"/>
          </w:tcPr>
          <w:p w:rsidR="00894A4A" w:rsidRPr="003E335B" w:rsidRDefault="00894A4A" w:rsidP="006D777B">
            <w:pPr>
              <w:spacing w:after="100" w:line="240" w:lineRule="auto"/>
              <w:rPr>
                <w:rFonts w:asciiTheme="minorHAnsi" w:hAnsiTheme="minorHAnsi" w:cs="Arial"/>
                <w:sz w:val="20"/>
                <w:szCs w:val="20"/>
              </w:rPr>
            </w:pPr>
            <w:r w:rsidRPr="003E335B">
              <w:rPr>
                <w:rFonts w:asciiTheme="minorHAnsi" w:hAnsiTheme="minorHAnsi" w:cs="Arial"/>
                <w:sz w:val="20"/>
                <w:szCs w:val="20"/>
              </w:rPr>
              <w:t xml:space="preserve">Loss on </w:t>
            </w:r>
            <w:r w:rsidR="006D777B">
              <w:rPr>
                <w:rFonts w:asciiTheme="minorHAnsi" w:hAnsiTheme="minorHAnsi" w:cs="Arial"/>
                <w:sz w:val="20"/>
                <w:szCs w:val="20"/>
              </w:rPr>
              <w:t>extinguishment</w:t>
            </w:r>
            <w:r w:rsidRPr="003E335B">
              <w:rPr>
                <w:rFonts w:asciiTheme="minorHAnsi" w:hAnsiTheme="minorHAnsi" w:cs="Arial"/>
                <w:sz w:val="20"/>
                <w:szCs w:val="20"/>
              </w:rPr>
              <w:t xml:space="preserve"> of 2016 convertible bonds</w:t>
            </w:r>
          </w:p>
        </w:tc>
        <w:tc>
          <w:tcPr>
            <w:tcW w:w="1620" w:type="dxa"/>
            <w:shd w:val="clear" w:color="auto" w:fill="B8CCE4" w:themeFill="accent1" w:themeFillTint="66"/>
            <w:vAlign w:val="center"/>
          </w:tcPr>
          <w:p w:rsidR="00894A4A" w:rsidRPr="003E335B" w:rsidRDefault="006D777B" w:rsidP="000D70EC">
            <w:pPr>
              <w:spacing w:after="100" w:line="240" w:lineRule="auto"/>
              <w:jc w:val="right"/>
              <w:rPr>
                <w:rFonts w:asciiTheme="minorHAnsi" w:hAnsiTheme="minorHAnsi" w:cs="Arial"/>
                <w:sz w:val="20"/>
                <w:szCs w:val="20"/>
              </w:rPr>
            </w:pPr>
            <w:r>
              <w:rPr>
                <w:rFonts w:asciiTheme="minorHAnsi" w:hAnsiTheme="minorHAnsi" w:cs="Arial"/>
                <w:sz w:val="20"/>
                <w:szCs w:val="20"/>
              </w:rPr>
              <w:t>4</w:t>
            </w:r>
          </w:p>
        </w:tc>
      </w:tr>
      <w:tr w:rsidR="00894A4A" w:rsidRPr="003E335B" w:rsidTr="00C52B12">
        <w:tc>
          <w:tcPr>
            <w:tcW w:w="8478" w:type="dxa"/>
            <w:tcBorders>
              <w:bottom w:val="single" w:sz="18" w:space="0" w:color="auto"/>
            </w:tcBorders>
          </w:tcPr>
          <w:p w:rsidR="00894A4A" w:rsidRPr="003E335B" w:rsidRDefault="00894A4A"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 xml:space="preserve">Cash consideration </w:t>
            </w:r>
          </w:p>
        </w:tc>
        <w:tc>
          <w:tcPr>
            <w:tcW w:w="1620" w:type="dxa"/>
            <w:tcBorders>
              <w:bottom w:val="single" w:sz="18" w:space="0" w:color="auto"/>
            </w:tcBorders>
            <w:vAlign w:val="center"/>
          </w:tcPr>
          <w:p w:rsidR="00894A4A" w:rsidRPr="003E335B" w:rsidRDefault="00894A4A" w:rsidP="000D70EC">
            <w:pPr>
              <w:spacing w:after="100" w:line="240" w:lineRule="auto"/>
              <w:jc w:val="right"/>
              <w:rPr>
                <w:rFonts w:asciiTheme="minorHAnsi" w:hAnsiTheme="minorHAnsi" w:cs="Arial"/>
                <w:sz w:val="20"/>
                <w:szCs w:val="20"/>
              </w:rPr>
            </w:pPr>
            <w:r>
              <w:rPr>
                <w:rFonts w:asciiTheme="minorHAnsi" w:hAnsiTheme="minorHAnsi" w:cs="Arial"/>
                <w:sz w:val="20"/>
                <w:szCs w:val="20"/>
              </w:rPr>
              <w:t>44</w:t>
            </w:r>
          </w:p>
        </w:tc>
      </w:tr>
    </w:tbl>
    <w:p w:rsidR="00034E48" w:rsidRPr="003E335B" w:rsidRDefault="00034E48" w:rsidP="000D70EC">
      <w:pPr>
        <w:spacing w:after="100" w:line="240" w:lineRule="auto"/>
        <w:rPr>
          <w:rFonts w:asciiTheme="minorHAnsi" w:hAnsiTheme="minorHAnsi" w:cs="Arial"/>
          <w:sz w:val="20"/>
          <w:szCs w:val="20"/>
        </w:rPr>
      </w:pPr>
    </w:p>
    <w:p w:rsidR="00847BCE" w:rsidRPr="003E335B" w:rsidRDefault="00847BCE" w:rsidP="000D70EC">
      <w:pPr>
        <w:pStyle w:val="Title4"/>
        <w:spacing w:before="0" w:after="100" w:line="240" w:lineRule="auto"/>
        <w:rPr>
          <w:rFonts w:asciiTheme="minorHAnsi" w:hAnsiTheme="minorHAnsi"/>
          <w:sz w:val="20"/>
          <w:szCs w:val="20"/>
        </w:rPr>
      </w:pPr>
      <w:bookmarkStart w:id="173" w:name="_Toc265058928"/>
      <w:r w:rsidRPr="003E335B">
        <w:rPr>
          <w:rFonts w:asciiTheme="minorHAnsi" w:hAnsiTheme="minorHAnsi"/>
          <w:sz w:val="20"/>
          <w:szCs w:val="20"/>
        </w:rPr>
        <w:t>Hedging activities and derivatives</w:t>
      </w:r>
      <w:bookmarkEnd w:id="173"/>
    </w:p>
    <w:p w:rsidR="000D70EC" w:rsidRPr="000D70EC" w:rsidRDefault="000D70EC" w:rsidP="000A1B34">
      <w:pPr>
        <w:spacing w:line="240" w:lineRule="auto"/>
        <w:jc w:val="both"/>
        <w:rPr>
          <w:rFonts w:asciiTheme="minorHAnsi" w:hAnsiTheme="minorHAnsi" w:cs="Arial"/>
          <w:b/>
          <w:sz w:val="20"/>
          <w:szCs w:val="20"/>
        </w:rPr>
      </w:pPr>
      <w:bookmarkStart w:id="174" w:name="_Ref255314820"/>
      <w:r w:rsidRPr="000D70EC">
        <w:rPr>
          <w:rFonts w:asciiTheme="minorHAnsi" w:hAnsiTheme="minorHAnsi" w:cs="Arial"/>
          <w:b/>
          <w:sz w:val="20"/>
          <w:szCs w:val="20"/>
        </w:rPr>
        <w:t xml:space="preserve">Derivative instruments not designated as hedges </w:t>
      </w:r>
    </w:p>
    <w:p w:rsidR="000D70EC" w:rsidRDefault="000D70EC" w:rsidP="000A1B34">
      <w:pPr>
        <w:spacing w:line="240" w:lineRule="auto"/>
        <w:jc w:val="both"/>
        <w:rPr>
          <w:rFonts w:asciiTheme="minorHAnsi" w:hAnsiTheme="minorHAnsi" w:cs="Arial"/>
          <w:sz w:val="20"/>
          <w:szCs w:val="20"/>
        </w:rPr>
      </w:pPr>
      <w:r w:rsidRPr="000D70EC">
        <w:rPr>
          <w:rFonts w:asciiTheme="minorHAnsi" w:hAnsiTheme="minorHAnsi" w:cs="Arial"/>
          <w:sz w:val="20"/>
          <w:szCs w:val="20"/>
        </w:rPr>
        <w:t>The Group conducts its business on a global basis in various major international currencies. As a result, the Group is exposed to adverse movements in foreign currency exchange rates, primarily with respect to the Euro. Foreign exchange risk mainly arises from future commercial transactions and recognized assets and liabilities at the Group’s subsidiaries. The Group enters into currency forward contracts and currency options to reduce its exposure to changes in exchange rates and the associated risk arising from the denomination of certain assets and liabilities in foreign currencies at the Group’s subsidiaries. These instruments do not qualify as hedging instruments and are marked-to-market at each period-end with the associated changes in fair value recognized in “Other income” or “Other expenses” in the consolidated income statement.</w:t>
      </w:r>
    </w:p>
    <w:p w:rsidR="000D70EC" w:rsidRDefault="000D70EC" w:rsidP="000A1B34">
      <w:pPr>
        <w:spacing w:line="240" w:lineRule="auto"/>
        <w:jc w:val="both"/>
        <w:rPr>
          <w:sz w:val="20"/>
          <w:szCs w:val="20"/>
        </w:rPr>
      </w:pPr>
      <w:r>
        <w:rPr>
          <w:sz w:val="20"/>
          <w:szCs w:val="20"/>
        </w:rPr>
        <w:t xml:space="preserve">To reduce its exposure to U.S. dollar exchange rate fluctuations, the Group hedges certain Euro-denominated forecasted transactions that cover at reporting date a large part of its research and development, selling, general and administrative expenses through the use of currency forward contracts and currency options, including collars. The Group also hedges certain Swedish </w:t>
      </w:r>
      <w:r w:rsidR="008733F0">
        <w:rPr>
          <w:sz w:val="20"/>
          <w:szCs w:val="20"/>
        </w:rPr>
        <w:t>Krona</w:t>
      </w:r>
      <w:r>
        <w:rPr>
          <w:sz w:val="20"/>
          <w:szCs w:val="20"/>
        </w:rPr>
        <w:t>-denominated forecasted transactions that cover at reporting date a large part of its future research and development expenses through the use of currency forward contracts. These instruments do not qualify as hedging instruments and are marked-to-market at each period-end with the associated changes in fair value recognized in “Other income” or “Other expenses” in the consolidated income statement.</w:t>
      </w:r>
    </w:p>
    <w:p w:rsidR="008733F0" w:rsidRDefault="008733F0">
      <w:pPr>
        <w:spacing w:line="240" w:lineRule="auto"/>
        <w:jc w:val="both"/>
        <w:rPr>
          <w:sz w:val="20"/>
          <w:szCs w:val="20"/>
        </w:rPr>
      </w:pPr>
    </w:p>
    <w:p w:rsidR="00C52B12" w:rsidRDefault="00C52B12">
      <w:pPr>
        <w:spacing w:after="100" w:line="240" w:lineRule="auto"/>
        <w:rPr>
          <w:sz w:val="20"/>
          <w:szCs w:val="20"/>
        </w:rPr>
      </w:pPr>
      <w:r>
        <w:rPr>
          <w:sz w:val="20"/>
          <w:szCs w:val="20"/>
        </w:rPr>
        <w:br w:type="page"/>
      </w:r>
    </w:p>
    <w:p w:rsidR="000D70EC" w:rsidRDefault="000D70EC" w:rsidP="000A1B34">
      <w:pPr>
        <w:spacing w:line="240" w:lineRule="auto"/>
        <w:jc w:val="both"/>
        <w:rPr>
          <w:sz w:val="20"/>
          <w:szCs w:val="20"/>
        </w:rPr>
      </w:pPr>
      <w:r>
        <w:rPr>
          <w:sz w:val="20"/>
          <w:szCs w:val="20"/>
        </w:rPr>
        <w:lastRenderedPageBreak/>
        <w:t xml:space="preserve">The main currencies covered are the Euro, </w:t>
      </w:r>
      <w:r w:rsidR="00A127F8">
        <w:rPr>
          <w:sz w:val="20"/>
          <w:szCs w:val="20"/>
        </w:rPr>
        <w:t xml:space="preserve">the Swedish Krona  and to a lesser extent, </w:t>
      </w:r>
      <w:r>
        <w:rPr>
          <w:sz w:val="20"/>
          <w:szCs w:val="20"/>
        </w:rPr>
        <w:t>the Singapore Dollar, the Japanese Yen, the Swiss Franc, the British Pound and the Malaysian Ringgit.</w:t>
      </w:r>
    </w:p>
    <w:p w:rsidR="000D70EC" w:rsidRPr="00813658" w:rsidRDefault="000D70EC" w:rsidP="000A1B34">
      <w:pPr>
        <w:spacing w:line="240" w:lineRule="auto"/>
        <w:jc w:val="both"/>
        <w:rPr>
          <w:b/>
          <w:sz w:val="20"/>
          <w:szCs w:val="20"/>
        </w:rPr>
      </w:pPr>
      <w:r w:rsidRPr="00813658">
        <w:rPr>
          <w:b/>
          <w:sz w:val="20"/>
          <w:szCs w:val="20"/>
        </w:rPr>
        <w:t xml:space="preserve">Derivative instruments designated as cash flow hedges </w:t>
      </w:r>
    </w:p>
    <w:p w:rsidR="000D70EC" w:rsidRDefault="000D70EC" w:rsidP="000A1B34">
      <w:pPr>
        <w:spacing w:line="240" w:lineRule="auto"/>
        <w:jc w:val="both"/>
        <w:rPr>
          <w:sz w:val="20"/>
          <w:szCs w:val="20"/>
        </w:rPr>
      </w:pPr>
      <w:r>
        <w:rPr>
          <w:sz w:val="20"/>
          <w:szCs w:val="20"/>
        </w:rPr>
        <w:t>To reduce its exposure to U.S. dollar exchange rate fluctuations, the Group hedges certain Euro-denominated forecasted transactions that cover at reporting date a portion of its front-end manufacturing costs of semi-finished goods through the use of currency forward contracts and currency options, including collars.</w:t>
      </w:r>
    </w:p>
    <w:p w:rsidR="00254A1E" w:rsidRDefault="000D70EC">
      <w:pPr>
        <w:spacing w:line="240" w:lineRule="auto"/>
        <w:jc w:val="both"/>
        <w:rPr>
          <w:sz w:val="20"/>
          <w:szCs w:val="20"/>
        </w:rPr>
      </w:pPr>
      <w:r>
        <w:rPr>
          <w:sz w:val="20"/>
          <w:szCs w:val="20"/>
        </w:rPr>
        <w:t xml:space="preserve">The principles regulating the hedging strategy for derivatives designated as cash flow hedge is to hedge </w:t>
      </w:r>
      <w:r w:rsidR="00C500D7">
        <w:rPr>
          <w:sz w:val="20"/>
          <w:szCs w:val="20"/>
        </w:rPr>
        <w:t>up to</w:t>
      </w:r>
      <w:r>
        <w:rPr>
          <w:sz w:val="20"/>
          <w:szCs w:val="20"/>
        </w:rPr>
        <w:t xml:space="preserve"> 70% of the total forecasted transactions for manufacturing costs. The maximum length of time over which the Group hedges its exposure to the variability of cash flows for forecasted transactions is 24 months.</w:t>
      </w:r>
    </w:p>
    <w:p w:rsidR="00254A1E" w:rsidRDefault="000D70EC">
      <w:pPr>
        <w:spacing w:line="240" w:lineRule="auto"/>
        <w:jc w:val="both"/>
        <w:rPr>
          <w:sz w:val="20"/>
          <w:szCs w:val="20"/>
        </w:rPr>
      </w:pPr>
      <w:r>
        <w:rPr>
          <w:sz w:val="20"/>
          <w:szCs w:val="20"/>
        </w:rPr>
        <w:t>These derivative instruments are designated and qualified as cash flow hedges. They are reflected at their fair value in the consolidated statement of position. The gain or loss from the effective portion of the hedge is reported in the statement of comprehensive income and is reclassified into earnings in the same period in which the hedged transaction affects earnings, and within the same consolidated income statement line item as the impact of the hedged transaction.</w:t>
      </w:r>
    </w:p>
    <w:p w:rsidR="00254A1E" w:rsidRDefault="000D70EC">
      <w:pPr>
        <w:spacing w:line="240" w:lineRule="auto"/>
        <w:jc w:val="both"/>
        <w:rPr>
          <w:sz w:val="20"/>
          <w:szCs w:val="20"/>
        </w:rPr>
      </w:pPr>
      <w:r>
        <w:rPr>
          <w:sz w:val="20"/>
          <w:szCs w:val="20"/>
        </w:rPr>
        <w:t xml:space="preserve">As at </w:t>
      </w:r>
      <w:r w:rsidR="00813658">
        <w:rPr>
          <w:sz w:val="20"/>
          <w:szCs w:val="20"/>
        </w:rPr>
        <w:t>July 2</w:t>
      </w:r>
      <w:r>
        <w:rPr>
          <w:sz w:val="20"/>
          <w:szCs w:val="20"/>
        </w:rPr>
        <w:t>, 201</w:t>
      </w:r>
      <w:r w:rsidR="00813658">
        <w:rPr>
          <w:sz w:val="20"/>
          <w:szCs w:val="20"/>
        </w:rPr>
        <w:t>1</w:t>
      </w:r>
      <w:r>
        <w:rPr>
          <w:sz w:val="20"/>
          <w:szCs w:val="20"/>
        </w:rPr>
        <w:t>, the Group had the following outstanding derivative instruments that were entered into to hedge Euro-denominated forecasted transactions:</w:t>
      </w:r>
    </w:p>
    <w:p w:rsidR="000D70EC" w:rsidRDefault="000D70EC" w:rsidP="000D70EC">
      <w:pPr>
        <w:spacing w:line="240" w:lineRule="auto"/>
        <w:rPr>
          <w:sz w:val="20"/>
          <w:szCs w:val="20"/>
        </w:rPr>
      </w:pPr>
    </w:p>
    <w:tbl>
      <w:tblPr>
        <w:tblW w:w="10037" w:type="dxa"/>
        <w:tblLayout w:type="fixed"/>
        <w:tblCellMar>
          <w:left w:w="47" w:type="dxa"/>
          <w:right w:w="47" w:type="dxa"/>
        </w:tblCellMar>
        <w:tblLook w:val="0000"/>
      </w:tblPr>
      <w:tblGrid>
        <w:gridCol w:w="6977"/>
        <w:gridCol w:w="3060"/>
      </w:tblGrid>
      <w:tr w:rsidR="000D70EC" w:rsidRPr="00083735" w:rsidTr="00C52B12">
        <w:tc>
          <w:tcPr>
            <w:tcW w:w="6977" w:type="dxa"/>
            <w:tcBorders>
              <w:bottom w:val="single" w:sz="18" w:space="0" w:color="auto"/>
            </w:tcBorders>
            <w:vAlign w:val="bottom"/>
          </w:tcPr>
          <w:p w:rsidR="000D70EC" w:rsidRPr="00083735" w:rsidRDefault="00083735" w:rsidP="00083735">
            <w:pPr>
              <w:tabs>
                <w:tab w:val="left" w:leader="dot" w:pos="8356"/>
              </w:tabs>
              <w:spacing w:line="240" w:lineRule="auto"/>
              <w:rPr>
                <w:bCs/>
                <w:sz w:val="20"/>
                <w:szCs w:val="20"/>
              </w:rPr>
            </w:pPr>
            <w:r w:rsidRPr="00083735">
              <w:rPr>
                <w:bCs/>
                <w:sz w:val="20"/>
                <w:szCs w:val="20"/>
              </w:rPr>
              <w:t>In millions of Euros</w:t>
            </w:r>
          </w:p>
        </w:tc>
        <w:tc>
          <w:tcPr>
            <w:tcW w:w="3060" w:type="dxa"/>
            <w:tcBorders>
              <w:bottom w:val="single" w:sz="18" w:space="0" w:color="auto"/>
            </w:tcBorders>
          </w:tcPr>
          <w:p w:rsidR="000D70EC" w:rsidRPr="00083735" w:rsidRDefault="000D70EC" w:rsidP="00083735">
            <w:pPr>
              <w:tabs>
                <w:tab w:val="center" w:pos="1128"/>
                <w:tab w:val="left" w:pos="2257"/>
              </w:tabs>
              <w:spacing w:line="240" w:lineRule="auto"/>
              <w:jc w:val="center"/>
              <w:rPr>
                <w:bCs/>
                <w:sz w:val="20"/>
                <w:szCs w:val="20"/>
              </w:rPr>
            </w:pPr>
            <w:r w:rsidRPr="00083735">
              <w:rPr>
                <w:bCs/>
                <w:sz w:val="20"/>
                <w:szCs w:val="20"/>
              </w:rPr>
              <w:t>Notional amount for hedge on</w:t>
            </w:r>
            <w:r w:rsidR="00083735">
              <w:rPr>
                <w:bCs/>
                <w:sz w:val="20"/>
                <w:szCs w:val="20"/>
              </w:rPr>
              <w:t xml:space="preserve"> </w:t>
            </w:r>
            <w:r w:rsidR="00083735" w:rsidRPr="00083735">
              <w:rPr>
                <w:bCs/>
                <w:sz w:val="20"/>
                <w:szCs w:val="20"/>
              </w:rPr>
              <w:t>forecasted manufacturing costs</w:t>
            </w:r>
            <w:r w:rsidR="00083735">
              <w:rPr>
                <w:bCs/>
                <w:sz w:val="20"/>
                <w:szCs w:val="20"/>
              </w:rPr>
              <w:t xml:space="preserve"> </w:t>
            </w:r>
            <w:r w:rsidR="00083735" w:rsidRPr="00083735">
              <w:rPr>
                <w:bCs/>
                <w:sz w:val="20"/>
                <w:szCs w:val="20"/>
              </w:rPr>
              <w:t>transactions</w:t>
            </w:r>
          </w:p>
        </w:tc>
      </w:tr>
      <w:tr w:rsidR="000D70EC" w:rsidRPr="00083735" w:rsidTr="00C52B12">
        <w:tc>
          <w:tcPr>
            <w:tcW w:w="6977" w:type="dxa"/>
            <w:tcBorders>
              <w:top w:val="single" w:sz="18" w:space="0" w:color="auto"/>
            </w:tcBorders>
          </w:tcPr>
          <w:p w:rsidR="000D70EC" w:rsidRPr="00083735" w:rsidRDefault="000D70EC" w:rsidP="000D70EC">
            <w:pPr>
              <w:tabs>
                <w:tab w:val="left" w:leader="dot" w:pos="8356"/>
              </w:tabs>
              <w:spacing w:line="240" w:lineRule="auto"/>
              <w:rPr>
                <w:sz w:val="20"/>
                <w:szCs w:val="20"/>
              </w:rPr>
            </w:pPr>
            <w:r w:rsidRPr="00083735">
              <w:rPr>
                <w:sz w:val="20"/>
                <w:szCs w:val="20"/>
              </w:rPr>
              <w:t>Forward contracts</w:t>
            </w:r>
          </w:p>
        </w:tc>
        <w:tc>
          <w:tcPr>
            <w:tcW w:w="3060" w:type="dxa"/>
            <w:tcBorders>
              <w:top w:val="single" w:sz="18" w:space="0" w:color="auto"/>
            </w:tcBorders>
          </w:tcPr>
          <w:p w:rsidR="000D70EC" w:rsidRPr="00083735" w:rsidRDefault="000D70EC" w:rsidP="008B3E13">
            <w:pPr>
              <w:tabs>
                <w:tab w:val="left" w:pos="0"/>
                <w:tab w:val="decimal" w:pos="1283"/>
              </w:tabs>
              <w:spacing w:line="240" w:lineRule="auto"/>
              <w:jc w:val="right"/>
              <w:rPr>
                <w:sz w:val="20"/>
                <w:szCs w:val="20"/>
              </w:rPr>
            </w:pPr>
            <w:r w:rsidRPr="00083735">
              <w:rPr>
                <w:sz w:val="20"/>
                <w:szCs w:val="20"/>
              </w:rPr>
              <w:tab/>
            </w:r>
            <w:r w:rsidR="008B3E13">
              <w:rPr>
                <w:sz w:val="20"/>
                <w:szCs w:val="20"/>
              </w:rPr>
              <w:t>236</w:t>
            </w:r>
          </w:p>
        </w:tc>
      </w:tr>
      <w:tr w:rsidR="000D70EC" w:rsidRPr="00083735" w:rsidTr="00C52B12">
        <w:tc>
          <w:tcPr>
            <w:tcW w:w="6977" w:type="dxa"/>
            <w:shd w:val="clear" w:color="auto" w:fill="B8CCE4" w:themeFill="accent1" w:themeFillTint="66"/>
          </w:tcPr>
          <w:p w:rsidR="000D70EC" w:rsidRPr="00083735" w:rsidRDefault="000D70EC" w:rsidP="000D70EC">
            <w:pPr>
              <w:tabs>
                <w:tab w:val="left" w:leader="dot" w:pos="8356"/>
              </w:tabs>
              <w:spacing w:line="240" w:lineRule="auto"/>
              <w:rPr>
                <w:sz w:val="20"/>
                <w:szCs w:val="20"/>
              </w:rPr>
            </w:pPr>
            <w:r w:rsidRPr="00083735">
              <w:rPr>
                <w:sz w:val="20"/>
                <w:szCs w:val="20"/>
              </w:rPr>
              <w:t>Currency options</w:t>
            </w:r>
          </w:p>
        </w:tc>
        <w:tc>
          <w:tcPr>
            <w:tcW w:w="3060" w:type="dxa"/>
            <w:shd w:val="clear" w:color="auto" w:fill="B8CCE4" w:themeFill="accent1" w:themeFillTint="66"/>
          </w:tcPr>
          <w:p w:rsidR="000D70EC" w:rsidRPr="00083735" w:rsidRDefault="000D70EC" w:rsidP="008B3E13">
            <w:pPr>
              <w:tabs>
                <w:tab w:val="left" w:pos="0"/>
                <w:tab w:val="decimal" w:pos="1283"/>
              </w:tabs>
              <w:spacing w:line="240" w:lineRule="auto"/>
              <w:jc w:val="right"/>
              <w:rPr>
                <w:sz w:val="20"/>
                <w:szCs w:val="20"/>
              </w:rPr>
            </w:pPr>
            <w:r w:rsidRPr="00083735">
              <w:rPr>
                <w:sz w:val="20"/>
                <w:szCs w:val="20"/>
              </w:rPr>
              <w:tab/>
            </w:r>
            <w:r w:rsidR="008B3E13">
              <w:rPr>
                <w:sz w:val="20"/>
                <w:szCs w:val="20"/>
              </w:rPr>
              <w:t>101</w:t>
            </w:r>
          </w:p>
        </w:tc>
      </w:tr>
      <w:tr w:rsidR="000D70EC" w:rsidRPr="00083735" w:rsidTr="00C52B12">
        <w:tc>
          <w:tcPr>
            <w:tcW w:w="6977" w:type="dxa"/>
            <w:tcBorders>
              <w:bottom w:val="single" w:sz="18" w:space="0" w:color="auto"/>
            </w:tcBorders>
          </w:tcPr>
          <w:p w:rsidR="000D70EC" w:rsidRPr="00083735" w:rsidRDefault="008B3E13" w:rsidP="008B3E13">
            <w:pPr>
              <w:tabs>
                <w:tab w:val="left" w:leader="dot" w:pos="8356"/>
              </w:tabs>
              <w:spacing w:line="240" w:lineRule="auto"/>
              <w:rPr>
                <w:sz w:val="20"/>
                <w:szCs w:val="20"/>
              </w:rPr>
            </w:pPr>
            <w:r>
              <w:rPr>
                <w:sz w:val="20"/>
                <w:szCs w:val="20"/>
              </w:rPr>
              <w:t>Currency c</w:t>
            </w:r>
            <w:r w:rsidR="000D70EC" w:rsidRPr="00083735">
              <w:rPr>
                <w:sz w:val="20"/>
                <w:szCs w:val="20"/>
              </w:rPr>
              <w:t>ollars</w:t>
            </w:r>
          </w:p>
        </w:tc>
        <w:tc>
          <w:tcPr>
            <w:tcW w:w="3060" w:type="dxa"/>
            <w:tcBorders>
              <w:bottom w:val="single" w:sz="18" w:space="0" w:color="auto"/>
            </w:tcBorders>
          </w:tcPr>
          <w:p w:rsidR="000D70EC" w:rsidRPr="00083735" w:rsidRDefault="000D70EC" w:rsidP="008B3E13">
            <w:pPr>
              <w:tabs>
                <w:tab w:val="left" w:pos="0"/>
                <w:tab w:val="decimal" w:pos="1283"/>
              </w:tabs>
              <w:spacing w:line="240" w:lineRule="auto"/>
              <w:jc w:val="right"/>
              <w:rPr>
                <w:sz w:val="20"/>
                <w:szCs w:val="20"/>
              </w:rPr>
            </w:pPr>
            <w:r w:rsidRPr="00083735">
              <w:rPr>
                <w:sz w:val="20"/>
                <w:szCs w:val="20"/>
              </w:rPr>
              <w:tab/>
            </w:r>
            <w:r w:rsidR="008B3E13">
              <w:rPr>
                <w:sz w:val="20"/>
                <w:szCs w:val="20"/>
              </w:rPr>
              <w:t>389</w:t>
            </w:r>
          </w:p>
        </w:tc>
      </w:tr>
    </w:tbl>
    <w:p w:rsidR="00105F94" w:rsidRDefault="00105F94" w:rsidP="000D70EC">
      <w:pPr>
        <w:spacing w:line="240" w:lineRule="auto"/>
        <w:rPr>
          <w:b/>
          <w:sz w:val="20"/>
          <w:szCs w:val="20"/>
        </w:rPr>
      </w:pPr>
    </w:p>
    <w:p w:rsidR="008733F0" w:rsidRDefault="000D70EC">
      <w:pPr>
        <w:spacing w:line="240" w:lineRule="auto"/>
        <w:jc w:val="both"/>
        <w:rPr>
          <w:b/>
          <w:sz w:val="20"/>
          <w:szCs w:val="20"/>
        </w:rPr>
      </w:pPr>
      <w:r w:rsidRPr="00083735">
        <w:rPr>
          <w:b/>
          <w:sz w:val="20"/>
          <w:szCs w:val="20"/>
        </w:rPr>
        <w:t>Interest rate risk</w:t>
      </w:r>
    </w:p>
    <w:p w:rsidR="00691A31" w:rsidRPr="003E335B" w:rsidRDefault="000D70EC" w:rsidP="000A1B34">
      <w:pPr>
        <w:spacing w:line="240" w:lineRule="auto"/>
        <w:jc w:val="both"/>
        <w:rPr>
          <w:rFonts w:asciiTheme="minorHAnsi" w:eastAsia="Times New Roman" w:hAnsiTheme="minorHAnsi" w:cs="Arial"/>
          <w:b/>
          <w:smallCaps/>
          <w:color w:val="009CDD"/>
          <w:spacing w:val="10"/>
          <w:sz w:val="20"/>
          <w:szCs w:val="20"/>
          <w:lang w:bidi="en-US"/>
        </w:rPr>
      </w:pPr>
      <w:r>
        <w:rPr>
          <w:sz w:val="20"/>
          <w:szCs w:val="20"/>
        </w:rPr>
        <w:t>Borrowings issued at variable rates expose the Group to cash flow interest rate risk. Borrowings issued at fixed rates expose the Group to fair value interest rate risk. The Group’s interest rate risk arises mainly from long-term borrowings at fixed rates. The Group analyzes its interest rate exposure on a dynamic basis. Various scenarios are simulated taking into consideration refinancing, renewal of existing positions, alternative financing and hedging. Since almost all the liquidity of the Group is invested in floating rate instruments, the Group’s interest rate risk arises from the mismatch of fixed rate liabilities and floating rate assets.</w:t>
      </w:r>
      <w:bookmarkStart w:id="175" w:name="_Toc265058929"/>
      <w:r w:rsidR="00691A31" w:rsidRPr="003E335B">
        <w:rPr>
          <w:rFonts w:asciiTheme="minorHAnsi" w:hAnsiTheme="minorHAnsi"/>
          <w:sz w:val="20"/>
          <w:szCs w:val="20"/>
        </w:rPr>
        <w:br w:type="page"/>
      </w:r>
    </w:p>
    <w:p w:rsidR="00847BCE" w:rsidRPr="003E335B" w:rsidRDefault="00847BCE" w:rsidP="000D70EC">
      <w:pPr>
        <w:pStyle w:val="Title4"/>
        <w:spacing w:before="0" w:after="100" w:line="240" w:lineRule="auto"/>
        <w:rPr>
          <w:rFonts w:asciiTheme="minorHAnsi" w:hAnsiTheme="minorHAnsi"/>
          <w:sz w:val="20"/>
          <w:szCs w:val="20"/>
        </w:rPr>
      </w:pPr>
      <w:r w:rsidRPr="003E335B">
        <w:rPr>
          <w:rFonts w:asciiTheme="minorHAnsi" w:hAnsiTheme="minorHAnsi"/>
          <w:sz w:val="20"/>
          <w:szCs w:val="20"/>
        </w:rPr>
        <w:lastRenderedPageBreak/>
        <w:t>Fair values</w:t>
      </w:r>
      <w:bookmarkEnd w:id="174"/>
      <w:bookmarkEnd w:id="175"/>
    </w:p>
    <w:p w:rsidR="00847BCE" w:rsidRPr="003E335B" w:rsidRDefault="00847BCE" w:rsidP="000D70EC">
      <w:pPr>
        <w:spacing w:after="100" w:line="240" w:lineRule="auto"/>
        <w:rPr>
          <w:rFonts w:asciiTheme="minorHAnsi" w:hAnsiTheme="minorHAnsi" w:cs="Arial"/>
          <w:sz w:val="20"/>
          <w:szCs w:val="20"/>
        </w:rPr>
      </w:pPr>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Set out below is a comparison by class of the carrying amounts and fair value of the Group’s financial instruments that are carried in the financial statements.</w:t>
      </w:r>
    </w:p>
    <w:tbl>
      <w:tblPr>
        <w:tblW w:w="0" w:type="auto"/>
        <w:tblLook w:val="04A0"/>
      </w:tblPr>
      <w:tblGrid>
        <w:gridCol w:w="3680"/>
        <w:gridCol w:w="1601"/>
        <w:gridCol w:w="1602"/>
        <w:gridCol w:w="1601"/>
        <w:gridCol w:w="1602"/>
      </w:tblGrid>
      <w:tr w:rsidR="00847BCE" w:rsidRPr="003E335B" w:rsidTr="00767A3D">
        <w:trPr>
          <w:trHeight w:val="558"/>
        </w:trPr>
        <w:tc>
          <w:tcPr>
            <w:tcW w:w="0" w:type="auto"/>
            <w:hideMark/>
          </w:tcPr>
          <w:p w:rsidR="00847BCE" w:rsidRPr="003E335B" w:rsidRDefault="00847BCE" w:rsidP="000D70EC">
            <w:pPr>
              <w:spacing w:after="100" w:line="240" w:lineRule="auto"/>
              <w:rPr>
                <w:rFonts w:asciiTheme="minorHAnsi" w:hAnsiTheme="minorHAnsi" w:cs="Arial"/>
                <w:sz w:val="20"/>
                <w:szCs w:val="20"/>
              </w:rPr>
            </w:pPr>
          </w:p>
        </w:tc>
        <w:tc>
          <w:tcPr>
            <w:tcW w:w="3203" w:type="dxa"/>
            <w:gridSpan w:val="2"/>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Carrying amount</w:t>
            </w:r>
          </w:p>
        </w:tc>
        <w:tc>
          <w:tcPr>
            <w:tcW w:w="3203" w:type="dxa"/>
            <w:gridSpan w:val="2"/>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Fair value</w:t>
            </w:r>
          </w:p>
        </w:tc>
      </w:tr>
      <w:tr w:rsidR="00847BCE" w:rsidRPr="003E335B" w:rsidTr="00E30003">
        <w:tc>
          <w:tcPr>
            <w:tcW w:w="0" w:type="auto"/>
            <w:tcBorders>
              <w:bottom w:val="single" w:sz="18" w:space="0" w:color="auto"/>
            </w:tcBorders>
            <w:vAlign w:val="bottom"/>
          </w:tcPr>
          <w:p w:rsidR="00847BCE" w:rsidRPr="003E335B" w:rsidRDefault="00767A3D"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1601" w:type="dxa"/>
            <w:tcBorders>
              <w:top w:val="single" w:sz="18" w:space="0" w:color="auto"/>
              <w:bottom w:val="single" w:sz="18" w:space="0" w:color="auto"/>
            </w:tcBorders>
            <w:vAlign w:val="bottom"/>
            <w:hideMark/>
          </w:tcPr>
          <w:p w:rsidR="00847BCE" w:rsidRPr="003E335B" w:rsidRDefault="005E4436" w:rsidP="00083735">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 xml:space="preserve">(unaudited) </w:t>
            </w:r>
            <w:r w:rsidR="00083735">
              <w:rPr>
                <w:rFonts w:asciiTheme="minorHAnsi" w:hAnsiTheme="minorHAnsi" w:cs="Arial"/>
                <w:sz w:val="20"/>
                <w:szCs w:val="20"/>
              </w:rPr>
              <w:t xml:space="preserve">  </w:t>
            </w:r>
            <w:r w:rsidR="00847BCE" w:rsidRPr="003E335B">
              <w:rPr>
                <w:rFonts w:asciiTheme="minorHAnsi" w:hAnsiTheme="minorHAnsi" w:cs="Arial"/>
                <w:sz w:val="20"/>
                <w:szCs w:val="20"/>
              </w:rPr>
              <w:t>Ju</w:t>
            </w:r>
            <w:r w:rsidR="00BE357C" w:rsidRPr="003E335B">
              <w:rPr>
                <w:rFonts w:asciiTheme="minorHAnsi" w:hAnsiTheme="minorHAnsi" w:cs="Arial"/>
                <w:sz w:val="20"/>
                <w:szCs w:val="20"/>
              </w:rPr>
              <w:t>ly</w:t>
            </w:r>
            <w:r w:rsidR="00847BCE" w:rsidRPr="003E335B">
              <w:rPr>
                <w:rFonts w:asciiTheme="minorHAnsi" w:hAnsiTheme="minorHAnsi" w:cs="Arial"/>
                <w:sz w:val="20"/>
                <w:szCs w:val="20"/>
              </w:rPr>
              <w:t xml:space="preserve"> 2, 201</w:t>
            </w:r>
            <w:r w:rsidR="00BE357C" w:rsidRPr="003E335B">
              <w:rPr>
                <w:rFonts w:asciiTheme="minorHAnsi" w:hAnsiTheme="minorHAnsi" w:cs="Arial"/>
                <w:sz w:val="20"/>
                <w:szCs w:val="20"/>
              </w:rPr>
              <w:t>1</w:t>
            </w:r>
          </w:p>
        </w:tc>
        <w:tc>
          <w:tcPr>
            <w:tcW w:w="1602" w:type="dxa"/>
            <w:tcBorders>
              <w:top w:val="single" w:sz="18" w:space="0" w:color="auto"/>
              <w:bottom w:val="single" w:sz="18" w:space="0" w:color="auto"/>
            </w:tcBorders>
            <w:vAlign w:val="bottom"/>
            <w:hideMark/>
          </w:tcPr>
          <w:p w:rsidR="00847BCE" w:rsidRPr="003E335B" w:rsidRDefault="00DC4940"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 xml:space="preserve">(audited) </w:t>
            </w:r>
            <w:r w:rsidR="00847BCE" w:rsidRPr="003E335B">
              <w:rPr>
                <w:rFonts w:asciiTheme="minorHAnsi" w:hAnsiTheme="minorHAnsi" w:cs="Arial"/>
                <w:sz w:val="20"/>
                <w:szCs w:val="20"/>
              </w:rPr>
              <w:t>Dec</w:t>
            </w:r>
            <w:r w:rsidRPr="003E335B">
              <w:rPr>
                <w:rFonts w:asciiTheme="minorHAnsi" w:hAnsiTheme="minorHAnsi" w:cs="Arial"/>
                <w:sz w:val="20"/>
                <w:szCs w:val="20"/>
              </w:rPr>
              <w:t>ember</w:t>
            </w:r>
            <w:r w:rsidR="00847BCE" w:rsidRPr="003E335B">
              <w:rPr>
                <w:rFonts w:asciiTheme="minorHAnsi" w:hAnsiTheme="minorHAnsi" w:cs="Arial"/>
                <w:sz w:val="20"/>
                <w:szCs w:val="20"/>
              </w:rPr>
              <w:t xml:space="preserve"> 31, 20</w:t>
            </w:r>
            <w:r w:rsidR="00BE357C" w:rsidRPr="003E335B">
              <w:rPr>
                <w:rFonts w:asciiTheme="minorHAnsi" w:hAnsiTheme="minorHAnsi" w:cs="Arial"/>
                <w:sz w:val="20"/>
                <w:szCs w:val="20"/>
              </w:rPr>
              <w:t>10</w:t>
            </w:r>
          </w:p>
        </w:tc>
        <w:tc>
          <w:tcPr>
            <w:tcW w:w="1601" w:type="dxa"/>
            <w:tcBorders>
              <w:top w:val="single" w:sz="18" w:space="0" w:color="auto"/>
              <w:bottom w:val="single" w:sz="18" w:space="0" w:color="auto"/>
            </w:tcBorders>
            <w:vAlign w:val="bottom"/>
            <w:hideMark/>
          </w:tcPr>
          <w:p w:rsidR="00847BCE" w:rsidRPr="003E335B" w:rsidRDefault="00C0010D"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w:t>
            </w:r>
            <w:r w:rsidR="005E4436" w:rsidRPr="003E335B">
              <w:rPr>
                <w:rFonts w:asciiTheme="minorHAnsi" w:hAnsiTheme="minorHAnsi" w:cs="Arial"/>
                <w:sz w:val="20"/>
                <w:szCs w:val="20"/>
              </w:rPr>
              <w:t xml:space="preserve">unaudited) </w:t>
            </w:r>
            <w:r w:rsidR="00083735">
              <w:rPr>
                <w:rFonts w:asciiTheme="minorHAnsi" w:hAnsiTheme="minorHAnsi" w:cs="Arial"/>
                <w:sz w:val="20"/>
                <w:szCs w:val="20"/>
              </w:rPr>
              <w:t xml:space="preserve">  </w:t>
            </w:r>
            <w:r w:rsidR="005E4436" w:rsidRPr="003E335B">
              <w:rPr>
                <w:rFonts w:asciiTheme="minorHAnsi" w:hAnsiTheme="minorHAnsi" w:cs="Arial"/>
                <w:sz w:val="20"/>
                <w:szCs w:val="20"/>
              </w:rPr>
              <w:t>Ju</w:t>
            </w:r>
            <w:r w:rsidR="00BE357C" w:rsidRPr="003E335B">
              <w:rPr>
                <w:rFonts w:asciiTheme="minorHAnsi" w:hAnsiTheme="minorHAnsi" w:cs="Arial"/>
                <w:sz w:val="20"/>
                <w:szCs w:val="20"/>
              </w:rPr>
              <w:t>ly</w:t>
            </w:r>
            <w:r w:rsidR="005E4436" w:rsidRPr="003E335B">
              <w:rPr>
                <w:rFonts w:asciiTheme="minorHAnsi" w:hAnsiTheme="minorHAnsi" w:cs="Arial"/>
                <w:sz w:val="20"/>
                <w:szCs w:val="20"/>
              </w:rPr>
              <w:t xml:space="preserve"> 2, 201</w:t>
            </w:r>
            <w:r w:rsidR="00BE357C" w:rsidRPr="003E335B">
              <w:rPr>
                <w:rFonts w:asciiTheme="minorHAnsi" w:hAnsiTheme="minorHAnsi" w:cs="Arial"/>
                <w:sz w:val="20"/>
                <w:szCs w:val="20"/>
              </w:rPr>
              <w:t>1</w:t>
            </w:r>
          </w:p>
        </w:tc>
        <w:tc>
          <w:tcPr>
            <w:tcW w:w="1602" w:type="dxa"/>
            <w:tcBorders>
              <w:top w:val="single" w:sz="18" w:space="0" w:color="auto"/>
              <w:bottom w:val="single" w:sz="18" w:space="0" w:color="auto"/>
            </w:tcBorders>
            <w:vAlign w:val="bottom"/>
            <w:hideMark/>
          </w:tcPr>
          <w:p w:rsidR="00847BCE" w:rsidRPr="003E335B" w:rsidRDefault="00DC4940"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 xml:space="preserve">(audited) </w:t>
            </w:r>
            <w:r w:rsidR="00847BCE" w:rsidRPr="003E335B">
              <w:rPr>
                <w:rFonts w:asciiTheme="minorHAnsi" w:hAnsiTheme="minorHAnsi" w:cs="Arial"/>
                <w:sz w:val="20"/>
                <w:szCs w:val="20"/>
              </w:rPr>
              <w:t>Dec</w:t>
            </w:r>
            <w:r w:rsidRPr="003E335B">
              <w:rPr>
                <w:rFonts w:asciiTheme="minorHAnsi" w:hAnsiTheme="minorHAnsi" w:cs="Arial"/>
                <w:sz w:val="20"/>
                <w:szCs w:val="20"/>
              </w:rPr>
              <w:t>ember</w:t>
            </w:r>
            <w:r w:rsidR="00847BCE" w:rsidRPr="003E335B">
              <w:rPr>
                <w:rFonts w:asciiTheme="minorHAnsi" w:hAnsiTheme="minorHAnsi" w:cs="Arial"/>
                <w:sz w:val="20"/>
                <w:szCs w:val="20"/>
              </w:rPr>
              <w:t xml:space="preserve"> 31, 20</w:t>
            </w:r>
            <w:r w:rsidR="00BE357C" w:rsidRPr="003E335B">
              <w:rPr>
                <w:rFonts w:asciiTheme="minorHAnsi" w:hAnsiTheme="minorHAnsi" w:cs="Arial"/>
                <w:sz w:val="20"/>
                <w:szCs w:val="20"/>
              </w:rPr>
              <w:t>10</w:t>
            </w:r>
          </w:p>
        </w:tc>
      </w:tr>
      <w:tr w:rsidR="00847BCE" w:rsidRPr="003E335B" w:rsidTr="009C024D">
        <w:tc>
          <w:tcPr>
            <w:tcW w:w="0" w:type="auto"/>
            <w:tcBorders>
              <w:top w:val="single" w:sz="18" w:space="0" w:color="auto"/>
            </w:tcBorders>
            <w:shd w:val="clear" w:color="auto" w:fill="auto"/>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Financial assets</w:t>
            </w:r>
          </w:p>
        </w:tc>
        <w:tc>
          <w:tcPr>
            <w:tcW w:w="1601" w:type="dxa"/>
            <w:tcBorders>
              <w:top w:val="single" w:sz="18" w:space="0" w:color="auto"/>
            </w:tcBorders>
            <w:shd w:val="clear" w:color="auto" w:fill="auto"/>
            <w:vAlign w:val="center"/>
          </w:tcPr>
          <w:p w:rsidR="00847BCE" w:rsidRPr="003E335B" w:rsidRDefault="00847BCE" w:rsidP="000D70EC">
            <w:pPr>
              <w:spacing w:after="100" w:line="240" w:lineRule="auto"/>
              <w:rPr>
                <w:rFonts w:asciiTheme="minorHAnsi" w:hAnsiTheme="minorHAnsi" w:cs="Arial"/>
                <w:b/>
                <w:sz w:val="20"/>
                <w:szCs w:val="20"/>
              </w:rPr>
            </w:pPr>
          </w:p>
        </w:tc>
        <w:tc>
          <w:tcPr>
            <w:tcW w:w="1602" w:type="dxa"/>
            <w:tcBorders>
              <w:top w:val="single" w:sz="18" w:space="0" w:color="auto"/>
            </w:tcBorders>
            <w:shd w:val="clear" w:color="auto" w:fill="auto"/>
            <w:vAlign w:val="center"/>
          </w:tcPr>
          <w:p w:rsidR="00847BCE" w:rsidRPr="003E335B" w:rsidRDefault="00847BCE" w:rsidP="000D70EC">
            <w:pPr>
              <w:spacing w:after="100" w:line="240" w:lineRule="auto"/>
              <w:rPr>
                <w:rFonts w:asciiTheme="minorHAnsi" w:hAnsiTheme="minorHAnsi" w:cs="Arial"/>
                <w:b/>
                <w:sz w:val="20"/>
                <w:szCs w:val="20"/>
              </w:rPr>
            </w:pPr>
          </w:p>
        </w:tc>
        <w:tc>
          <w:tcPr>
            <w:tcW w:w="1601" w:type="dxa"/>
            <w:tcBorders>
              <w:top w:val="single" w:sz="18" w:space="0" w:color="auto"/>
            </w:tcBorders>
            <w:shd w:val="clear" w:color="auto" w:fill="auto"/>
            <w:vAlign w:val="center"/>
          </w:tcPr>
          <w:p w:rsidR="00847BCE" w:rsidRPr="003E335B" w:rsidRDefault="00847BCE" w:rsidP="000D70EC">
            <w:pPr>
              <w:spacing w:after="100" w:line="240" w:lineRule="auto"/>
              <w:rPr>
                <w:rFonts w:asciiTheme="minorHAnsi" w:hAnsiTheme="minorHAnsi" w:cs="Arial"/>
                <w:b/>
                <w:sz w:val="20"/>
                <w:szCs w:val="20"/>
              </w:rPr>
            </w:pPr>
          </w:p>
        </w:tc>
        <w:tc>
          <w:tcPr>
            <w:tcW w:w="1602" w:type="dxa"/>
            <w:tcBorders>
              <w:top w:val="single" w:sz="18" w:space="0" w:color="auto"/>
            </w:tcBorders>
            <w:shd w:val="clear" w:color="auto" w:fill="auto"/>
            <w:vAlign w:val="center"/>
          </w:tcPr>
          <w:p w:rsidR="00847BCE" w:rsidRPr="003E335B" w:rsidRDefault="00847BCE" w:rsidP="000D70EC">
            <w:pPr>
              <w:spacing w:after="100" w:line="240" w:lineRule="auto"/>
              <w:rPr>
                <w:rFonts w:asciiTheme="minorHAnsi" w:hAnsiTheme="minorHAnsi" w:cs="Arial"/>
                <w:b/>
                <w:sz w:val="20"/>
                <w:szCs w:val="20"/>
              </w:rPr>
            </w:pPr>
          </w:p>
        </w:tc>
      </w:tr>
      <w:tr w:rsidR="00847BCE" w:rsidRPr="003E335B" w:rsidTr="009C024D">
        <w:tc>
          <w:tcPr>
            <w:tcW w:w="0" w:type="auto"/>
            <w:shd w:val="clear" w:color="auto" w:fill="B8CCE4" w:themeFill="accent1" w:themeFillTint="66"/>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Trade receivables</w:t>
            </w:r>
          </w:p>
        </w:tc>
        <w:tc>
          <w:tcPr>
            <w:tcW w:w="1601" w:type="dxa"/>
            <w:shd w:val="clear" w:color="auto" w:fill="B8CCE4" w:themeFill="accent1" w:themeFillTint="66"/>
            <w:vAlign w:val="center"/>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1,302</w:t>
            </w:r>
          </w:p>
        </w:tc>
        <w:tc>
          <w:tcPr>
            <w:tcW w:w="1602" w:type="dxa"/>
            <w:shd w:val="clear" w:color="auto" w:fill="B8CCE4" w:themeFill="accent1" w:themeFillTint="66"/>
            <w:vAlign w:val="center"/>
            <w:hideMark/>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1,230</w:t>
            </w:r>
          </w:p>
        </w:tc>
        <w:tc>
          <w:tcPr>
            <w:tcW w:w="1601" w:type="dxa"/>
            <w:shd w:val="clear" w:color="auto" w:fill="B8CCE4" w:themeFill="accent1" w:themeFillTint="66"/>
            <w:vAlign w:val="center"/>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1,302</w:t>
            </w:r>
          </w:p>
        </w:tc>
        <w:tc>
          <w:tcPr>
            <w:tcW w:w="1602" w:type="dxa"/>
            <w:shd w:val="clear" w:color="auto" w:fill="B8CCE4" w:themeFill="accent1" w:themeFillTint="66"/>
            <w:vAlign w:val="center"/>
            <w:hideMark/>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1,230</w:t>
            </w:r>
          </w:p>
        </w:tc>
      </w:tr>
      <w:tr w:rsidR="00847BCE" w:rsidRPr="003E335B" w:rsidTr="009C024D">
        <w:tc>
          <w:tcPr>
            <w:tcW w:w="0" w:type="auto"/>
            <w:shd w:val="clear" w:color="auto" w:fill="auto"/>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Other receivables and assets</w:t>
            </w:r>
          </w:p>
        </w:tc>
        <w:tc>
          <w:tcPr>
            <w:tcW w:w="1601" w:type="dxa"/>
            <w:shd w:val="clear" w:color="auto" w:fill="auto"/>
            <w:vAlign w:val="center"/>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6</w:t>
            </w:r>
            <w:r w:rsidR="008B3E13">
              <w:rPr>
                <w:rFonts w:asciiTheme="minorHAnsi" w:hAnsiTheme="minorHAnsi" w:cs="Arial"/>
                <w:sz w:val="20"/>
                <w:szCs w:val="20"/>
              </w:rPr>
              <w:t>62</w:t>
            </w:r>
          </w:p>
        </w:tc>
        <w:tc>
          <w:tcPr>
            <w:tcW w:w="1602" w:type="dxa"/>
            <w:shd w:val="clear" w:color="auto" w:fill="auto"/>
            <w:vAlign w:val="center"/>
            <w:hideMark/>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524</w:t>
            </w:r>
          </w:p>
        </w:tc>
        <w:tc>
          <w:tcPr>
            <w:tcW w:w="1601" w:type="dxa"/>
            <w:shd w:val="clear" w:color="auto" w:fill="auto"/>
            <w:vAlign w:val="center"/>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6</w:t>
            </w:r>
            <w:r w:rsidR="008B3E13">
              <w:rPr>
                <w:rFonts w:asciiTheme="minorHAnsi" w:hAnsiTheme="minorHAnsi" w:cs="Arial"/>
                <w:sz w:val="20"/>
                <w:szCs w:val="20"/>
              </w:rPr>
              <w:t>62</w:t>
            </w:r>
          </w:p>
        </w:tc>
        <w:tc>
          <w:tcPr>
            <w:tcW w:w="1602" w:type="dxa"/>
            <w:shd w:val="clear" w:color="auto" w:fill="auto"/>
            <w:vAlign w:val="center"/>
            <w:hideMark/>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524</w:t>
            </w:r>
          </w:p>
        </w:tc>
      </w:tr>
      <w:tr w:rsidR="00847BCE" w:rsidRPr="003E335B" w:rsidTr="009C024D">
        <w:tc>
          <w:tcPr>
            <w:tcW w:w="0" w:type="auto"/>
            <w:shd w:val="clear" w:color="auto" w:fill="B8CCE4" w:themeFill="accent1" w:themeFillTint="66"/>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Available for sale financial investments</w:t>
            </w:r>
          </w:p>
        </w:tc>
        <w:tc>
          <w:tcPr>
            <w:tcW w:w="1601" w:type="dxa"/>
            <w:shd w:val="clear" w:color="auto" w:fill="B8CCE4" w:themeFill="accent1" w:themeFillTint="66"/>
            <w:vAlign w:val="center"/>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467</w:t>
            </w:r>
          </w:p>
        </w:tc>
        <w:tc>
          <w:tcPr>
            <w:tcW w:w="1602" w:type="dxa"/>
            <w:shd w:val="clear" w:color="auto" w:fill="B8CCE4" w:themeFill="accent1" w:themeFillTint="66"/>
            <w:vAlign w:val="center"/>
            <w:hideMark/>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1,163</w:t>
            </w:r>
          </w:p>
        </w:tc>
        <w:tc>
          <w:tcPr>
            <w:tcW w:w="1601" w:type="dxa"/>
            <w:shd w:val="clear" w:color="auto" w:fill="B8CCE4" w:themeFill="accent1" w:themeFillTint="66"/>
            <w:vAlign w:val="center"/>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467</w:t>
            </w:r>
          </w:p>
        </w:tc>
        <w:tc>
          <w:tcPr>
            <w:tcW w:w="1602" w:type="dxa"/>
            <w:shd w:val="clear" w:color="auto" w:fill="B8CCE4" w:themeFill="accent1" w:themeFillTint="66"/>
            <w:vAlign w:val="center"/>
            <w:hideMark/>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1,163</w:t>
            </w:r>
          </w:p>
        </w:tc>
      </w:tr>
      <w:tr w:rsidR="00847BCE" w:rsidRPr="003E335B" w:rsidTr="009C024D">
        <w:tc>
          <w:tcPr>
            <w:tcW w:w="0" w:type="auto"/>
            <w:shd w:val="clear" w:color="auto" w:fill="auto"/>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Restricted cash</w:t>
            </w:r>
          </w:p>
        </w:tc>
        <w:tc>
          <w:tcPr>
            <w:tcW w:w="1601" w:type="dxa"/>
            <w:shd w:val="clear" w:color="auto" w:fill="auto"/>
            <w:vAlign w:val="center"/>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8</w:t>
            </w:r>
          </w:p>
        </w:tc>
        <w:tc>
          <w:tcPr>
            <w:tcW w:w="1602" w:type="dxa"/>
            <w:shd w:val="clear" w:color="auto" w:fill="auto"/>
            <w:vAlign w:val="center"/>
            <w:hideMark/>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7</w:t>
            </w:r>
          </w:p>
        </w:tc>
        <w:tc>
          <w:tcPr>
            <w:tcW w:w="1601" w:type="dxa"/>
            <w:shd w:val="clear" w:color="auto" w:fill="auto"/>
            <w:vAlign w:val="center"/>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8</w:t>
            </w:r>
          </w:p>
        </w:tc>
        <w:tc>
          <w:tcPr>
            <w:tcW w:w="1602" w:type="dxa"/>
            <w:shd w:val="clear" w:color="auto" w:fill="auto"/>
            <w:vAlign w:val="center"/>
            <w:hideMark/>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7</w:t>
            </w:r>
          </w:p>
        </w:tc>
      </w:tr>
      <w:tr w:rsidR="00847BCE" w:rsidRPr="003E335B" w:rsidTr="009C024D">
        <w:tc>
          <w:tcPr>
            <w:tcW w:w="0" w:type="auto"/>
            <w:shd w:val="clear" w:color="auto" w:fill="B8CCE4" w:themeFill="accent1" w:themeFillTint="66"/>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Other financial assets</w:t>
            </w:r>
          </w:p>
        </w:tc>
        <w:tc>
          <w:tcPr>
            <w:tcW w:w="1601" w:type="dxa"/>
            <w:shd w:val="clear" w:color="auto" w:fill="B8CCE4" w:themeFill="accent1" w:themeFillTint="66"/>
            <w:vAlign w:val="center"/>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603</w:t>
            </w:r>
          </w:p>
        </w:tc>
        <w:tc>
          <w:tcPr>
            <w:tcW w:w="1602" w:type="dxa"/>
            <w:shd w:val="clear" w:color="auto" w:fill="B8CCE4" w:themeFill="accent1" w:themeFillTint="66"/>
            <w:vAlign w:val="center"/>
            <w:hideMark/>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452</w:t>
            </w:r>
          </w:p>
        </w:tc>
        <w:tc>
          <w:tcPr>
            <w:tcW w:w="1601" w:type="dxa"/>
            <w:shd w:val="clear" w:color="auto" w:fill="B8CCE4" w:themeFill="accent1" w:themeFillTint="66"/>
            <w:vAlign w:val="center"/>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603</w:t>
            </w:r>
          </w:p>
        </w:tc>
        <w:tc>
          <w:tcPr>
            <w:tcW w:w="1602" w:type="dxa"/>
            <w:shd w:val="clear" w:color="auto" w:fill="B8CCE4" w:themeFill="accent1" w:themeFillTint="66"/>
            <w:vAlign w:val="center"/>
            <w:hideMark/>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452</w:t>
            </w:r>
          </w:p>
        </w:tc>
      </w:tr>
      <w:tr w:rsidR="00847BCE" w:rsidRPr="003E335B" w:rsidTr="009C024D">
        <w:tc>
          <w:tcPr>
            <w:tcW w:w="0" w:type="auto"/>
            <w:shd w:val="clear" w:color="auto" w:fill="auto"/>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Cash and cash equivalents</w:t>
            </w:r>
          </w:p>
        </w:tc>
        <w:tc>
          <w:tcPr>
            <w:tcW w:w="1601" w:type="dxa"/>
            <w:shd w:val="clear" w:color="auto" w:fill="auto"/>
            <w:vAlign w:val="center"/>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2,355</w:t>
            </w:r>
          </w:p>
        </w:tc>
        <w:tc>
          <w:tcPr>
            <w:tcW w:w="1602" w:type="dxa"/>
            <w:shd w:val="clear" w:color="auto" w:fill="auto"/>
            <w:vAlign w:val="center"/>
            <w:hideMark/>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1,892</w:t>
            </w:r>
          </w:p>
        </w:tc>
        <w:tc>
          <w:tcPr>
            <w:tcW w:w="1601" w:type="dxa"/>
            <w:shd w:val="clear" w:color="auto" w:fill="auto"/>
            <w:vAlign w:val="center"/>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2,355</w:t>
            </w:r>
          </w:p>
        </w:tc>
        <w:tc>
          <w:tcPr>
            <w:tcW w:w="1602" w:type="dxa"/>
            <w:shd w:val="clear" w:color="auto" w:fill="auto"/>
            <w:vAlign w:val="center"/>
            <w:hideMark/>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1,892</w:t>
            </w:r>
          </w:p>
        </w:tc>
      </w:tr>
      <w:tr w:rsidR="00847BCE" w:rsidRPr="003E335B" w:rsidTr="009C024D">
        <w:tc>
          <w:tcPr>
            <w:tcW w:w="0" w:type="auto"/>
            <w:shd w:val="clear" w:color="auto" w:fill="B8CCE4" w:themeFill="accent1" w:themeFillTint="66"/>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Financial liabilities</w:t>
            </w:r>
          </w:p>
        </w:tc>
        <w:tc>
          <w:tcPr>
            <w:tcW w:w="1601" w:type="dxa"/>
            <w:shd w:val="clear" w:color="auto" w:fill="B8CCE4" w:themeFill="accent1" w:themeFillTint="66"/>
            <w:vAlign w:val="center"/>
          </w:tcPr>
          <w:p w:rsidR="00847BCE" w:rsidRPr="003E335B" w:rsidRDefault="00847BCE" w:rsidP="000D70EC">
            <w:pPr>
              <w:spacing w:after="100" w:line="240" w:lineRule="auto"/>
              <w:jc w:val="right"/>
              <w:rPr>
                <w:rFonts w:asciiTheme="minorHAnsi" w:hAnsiTheme="minorHAnsi" w:cs="Arial"/>
                <w:b/>
                <w:sz w:val="20"/>
                <w:szCs w:val="20"/>
              </w:rPr>
            </w:pPr>
          </w:p>
        </w:tc>
        <w:tc>
          <w:tcPr>
            <w:tcW w:w="1602" w:type="dxa"/>
            <w:shd w:val="clear" w:color="auto" w:fill="B8CCE4" w:themeFill="accent1" w:themeFillTint="66"/>
            <w:vAlign w:val="center"/>
          </w:tcPr>
          <w:p w:rsidR="00847BCE" w:rsidRPr="003E335B" w:rsidRDefault="00847BCE" w:rsidP="000D70EC">
            <w:pPr>
              <w:spacing w:after="100" w:line="240" w:lineRule="auto"/>
              <w:jc w:val="right"/>
              <w:rPr>
                <w:rFonts w:asciiTheme="minorHAnsi" w:hAnsiTheme="minorHAnsi" w:cs="Arial"/>
                <w:b/>
                <w:sz w:val="20"/>
                <w:szCs w:val="20"/>
              </w:rPr>
            </w:pPr>
          </w:p>
        </w:tc>
        <w:tc>
          <w:tcPr>
            <w:tcW w:w="1601" w:type="dxa"/>
            <w:shd w:val="clear" w:color="auto" w:fill="B8CCE4" w:themeFill="accent1" w:themeFillTint="66"/>
            <w:vAlign w:val="center"/>
          </w:tcPr>
          <w:p w:rsidR="00847BCE" w:rsidRPr="003E335B" w:rsidRDefault="00847BCE" w:rsidP="000D70EC">
            <w:pPr>
              <w:spacing w:after="100" w:line="240" w:lineRule="auto"/>
              <w:jc w:val="right"/>
              <w:rPr>
                <w:rFonts w:asciiTheme="minorHAnsi" w:hAnsiTheme="minorHAnsi" w:cs="Arial"/>
                <w:b/>
                <w:sz w:val="20"/>
                <w:szCs w:val="20"/>
              </w:rPr>
            </w:pPr>
          </w:p>
        </w:tc>
        <w:tc>
          <w:tcPr>
            <w:tcW w:w="1602" w:type="dxa"/>
            <w:shd w:val="clear" w:color="auto" w:fill="B8CCE4" w:themeFill="accent1" w:themeFillTint="66"/>
            <w:vAlign w:val="center"/>
          </w:tcPr>
          <w:p w:rsidR="00847BCE" w:rsidRPr="003E335B" w:rsidRDefault="00847BCE" w:rsidP="000D70EC">
            <w:pPr>
              <w:spacing w:after="100" w:line="240" w:lineRule="auto"/>
              <w:jc w:val="right"/>
              <w:rPr>
                <w:rFonts w:asciiTheme="minorHAnsi" w:hAnsiTheme="minorHAnsi" w:cs="Arial"/>
                <w:b/>
                <w:sz w:val="20"/>
                <w:szCs w:val="20"/>
              </w:rPr>
            </w:pPr>
          </w:p>
        </w:tc>
      </w:tr>
      <w:tr w:rsidR="00847BCE" w:rsidRPr="003E335B" w:rsidTr="009C024D">
        <w:tc>
          <w:tcPr>
            <w:tcW w:w="0" w:type="auto"/>
            <w:shd w:val="clear" w:color="auto" w:fill="auto"/>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Interest-bearing loans and borrowings (including current portion)</w:t>
            </w:r>
          </w:p>
        </w:tc>
        <w:tc>
          <w:tcPr>
            <w:tcW w:w="1601" w:type="dxa"/>
            <w:shd w:val="clear" w:color="auto" w:fill="auto"/>
            <w:vAlign w:val="center"/>
          </w:tcPr>
          <w:p w:rsidR="00847BCE" w:rsidRPr="003E335B" w:rsidRDefault="00E30003" w:rsidP="008B3E13">
            <w:pPr>
              <w:spacing w:after="100" w:line="240" w:lineRule="auto"/>
              <w:jc w:val="right"/>
              <w:rPr>
                <w:rFonts w:asciiTheme="minorHAnsi" w:hAnsiTheme="minorHAnsi" w:cs="Arial"/>
                <w:sz w:val="20"/>
                <w:szCs w:val="20"/>
              </w:rPr>
            </w:pPr>
            <w:r>
              <w:rPr>
                <w:rFonts w:asciiTheme="minorHAnsi" w:hAnsiTheme="minorHAnsi" w:cs="Arial"/>
                <w:sz w:val="20"/>
                <w:szCs w:val="20"/>
              </w:rPr>
              <w:t>1,8</w:t>
            </w:r>
            <w:r w:rsidR="008B3E13">
              <w:rPr>
                <w:rFonts w:asciiTheme="minorHAnsi" w:hAnsiTheme="minorHAnsi" w:cs="Arial"/>
                <w:sz w:val="20"/>
                <w:szCs w:val="20"/>
              </w:rPr>
              <w:t>48</w:t>
            </w:r>
          </w:p>
        </w:tc>
        <w:tc>
          <w:tcPr>
            <w:tcW w:w="1602" w:type="dxa"/>
            <w:shd w:val="clear" w:color="auto" w:fill="auto"/>
            <w:vAlign w:val="center"/>
            <w:hideMark/>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1,751</w:t>
            </w:r>
          </w:p>
        </w:tc>
        <w:tc>
          <w:tcPr>
            <w:tcW w:w="1601" w:type="dxa"/>
            <w:shd w:val="clear" w:color="auto" w:fill="auto"/>
            <w:vAlign w:val="center"/>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1,</w:t>
            </w:r>
            <w:r w:rsidR="002E15B7">
              <w:rPr>
                <w:rFonts w:asciiTheme="minorHAnsi" w:hAnsiTheme="minorHAnsi" w:cs="Arial"/>
                <w:sz w:val="20"/>
                <w:szCs w:val="20"/>
              </w:rPr>
              <w:t>886</w:t>
            </w:r>
          </w:p>
        </w:tc>
        <w:tc>
          <w:tcPr>
            <w:tcW w:w="1602" w:type="dxa"/>
            <w:shd w:val="clear" w:color="auto" w:fill="auto"/>
            <w:vAlign w:val="center"/>
            <w:hideMark/>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1,802</w:t>
            </w:r>
          </w:p>
        </w:tc>
      </w:tr>
      <w:tr w:rsidR="00847BCE" w:rsidRPr="003E335B" w:rsidTr="009C024D">
        <w:tc>
          <w:tcPr>
            <w:tcW w:w="0" w:type="auto"/>
            <w:shd w:val="clear" w:color="auto" w:fill="B8CCE4" w:themeFill="accent1" w:themeFillTint="66"/>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Trade accounts payable</w:t>
            </w:r>
          </w:p>
        </w:tc>
        <w:tc>
          <w:tcPr>
            <w:tcW w:w="1601" w:type="dxa"/>
            <w:shd w:val="clear" w:color="auto" w:fill="B8CCE4" w:themeFill="accent1" w:themeFillTint="66"/>
            <w:vAlign w:val="center"/>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1,310</w:t>
            </w:r>
          </w:p>
        </w:tc>
        <w:tc>
          <w:tcPr>
            <w:tcW w:w="1602" w:type="dxa"/>
            <w:shd w:val="clear" w:color="auto" w:fill="B8CCE4" w:themeFill="accent1" w:themeFillTint="66"/>
            <w:vAlign w:val="center"/>
            <w:hideMark/>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1,233</w:t>
            </w:r>
          </w:p>
        </w:tc>
        <w:tc>
          <w:tcPr>
            <w:tcW w:w="1601" w:type="dxa"/>
            <w:shd w:val="clear" w:color="auto" w:fill="B8CCE4" w:themeFill="accent1" w:themeFillTint="66"/>
            <w:vAlign w:val="center"/>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1,310</w:t>
            </w:r>
          </w:p>
        </w:tc>
        <w:tc>
          <w:tcPr>
            <w:tcW w:w="1602" w:type="dxa"/>
            <w:shd w:val="clear" w:color="auto" w:fill="B8CCE4" w:themeFill="accent1" w:themeFillTint="66"/>
            <w:vAlign w:val="center"/>
            <w:hideMark/>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1,233</w:t>
            </w:r>
          </w:p>
        </w:tc>
      </w:tr>
      <w:tr w:rsidR="00847BCE" w:rsidRPr="003E335B" w:rsidTr="009C024D">
        <w:tc>
          <w:tcPr>
            <w:tcW w:w="0" w:type="auto"/>
            <w:shd w:val="clear" w:color="auto" w:fill="auto"/>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Other payables and accrued liabilities</w:t>
            </w:r>
          </w:p>
        </w:tc>
        <w:tc>
          <w:tcPr>
            <w:tcW w:w="1601" w:type="dxa"/>
            <w:shd w:val="clear" w:color="auto" w:fill="auto"/>
            <w:vAlign w:val="center"/>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663</w:t>
            </w:r>
          </w:p>
        </w:tc>
        <w:tc>
          <w:tcPr>
            <w:tcW w:w="1602" w:type="dxa"/>
            <w:shd w:val="clear" w:color="auto" w:fill="auto"/>
            <w:vAlign w:val="center"/>
            <w:hideMark/>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359</w:t>
            </w:r>
          </w:p>
        </w:tc>
        <w:tc>
          <w:tcPr>
            <w:tcW w:w="1601" w:type="dxa"/>
            <w:shd w:val="clear" w:color="auto" w:fill="auto"/>
            <w:vAlign w:val="center"/>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663</w:t>
            </w:r>
          </w:p>
        </w:tc>
        <w:tc>
          <w:tcPr>
            <w:tcW w:w="1602" w:type="dxa"/>
            <w:shd w:val="clear" w:color="auto" w:fill="auto"/>
            <w:vAlign w:val="center"/>
            <w:hideMark/>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359</w:t>
            </w:r>
          </w:p>
        </w:tc>
      </w:tr>
      <w:tr w:rsidR="00847BCE" w:rsidRPr="003E335B" w:rsidTr="009C024D">
        <w:tc>
          <w:tcPr>
            <w:tcW w:w="0" w:type="auto"/>
            <w:tcBorders>
              <w:bottom w:val="single" w:sz="18" w:space="0" w:color="auto"/>
            </w:tcBorders>
            <w:shd w:val="clear" w:color="auto" w:fill="B8CCE4" w:themeFill="accent1" w:themeFillTint="66"/>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Other current financial liabilities</w:t>
            </w:r>
          </w:p>
        </w:tc>
        <w:tc>
          <w:tcPr>
            <w:tcW w:w="1601" w:type="dxa"/>
            <w:tcBorders>
              <w:bottom w:val="single" w:sz="18" w:space="0" w:color="auto"/>
            </w:tcBorders>
            <w:shd w:val="clear" w:color="auto" w:fill="B8CCE4" w:themeFill="accent1" w:themeFillTint="66"/>
            <w:vAlign w:val="center"/>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2</w:t>
            </w:r>
          </w:p>
        </w:tc>
        <w:tc>
          <w:tcPr>
            <w:tcW w:w="1602" w:type="dxa"/>
            <w:tcBorders>
              <w:bottom w:val="single" w:sz="18" w:space="0" w:color="auto"/>
            </w:tcBorders>
            <w:shd w:val="clear" w:color="auto" w:fill="B8CCE4" w:themeFill="accent1" w:themeFillTint="66"/>
            <w:vAlign w:val="center"/>
            <w:hideMark/>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11</w:t>
            </w:r>
          </w:p>
        </w:tc>
        <w:tc>
          <w:tcPr>
            <w:tcW w:w="1601" w:type="dxa"/>
            <w:tcBorders>
              <w:bottom w:val="single" w:sz="18" w:space="0" w:color="auto"/>
            </w:tcBorders>
            <w:shd w:val="clear" w:color="auto" w:fill="B8CCE4" w:themeFill="accent1" w:themeFillTint="66"/>
            <w:vAlign w:val="center"/>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2</w:t>
            </w:r>
          </w:p>
        </w:tc>
        <w:tc>
          <w:tcPr>
            <w:tcW w:w="1602" w:type="dxa"/>
            <w:tcBorders>
              <w:bottom w:val="single" w:sz="18" w:space="0" w:color="auto"/>
            </w:tcBorders>
            <w:shd w:val="clear" w:color="auto" w:fill="B8CCE4" w:themeFill="accent1" w:themeFillTint="66"/>
            <w:vAlign w:val="center"/>
            <w:hideMark/>
          </w:tcPr>
          <w:p w:rsidR="00847BCE" w:rsidRPr="003E335B" w:rsidRDefault="00E30003" w:rsidP="000D70EC">
            <w:pPr>
              <w:spacing w:after="100" w:line="240" w:lineRule="auto"/>
              <w:jc w:val="right"/>
              <w:rPr>
                <w:rFonts w:asciiTheme="minorHAnsi" w:hAnsiTheme="minorHAnsi" w:cs="Arial"/>
                <w:sz w:val="20"/>
                <w:szCs w:val="20"/>
              </w:rPr>
            </w:pPr>
            <w:r>
              <w:rPr>
                <w:rFonts w:asciiTheme="minorHAnsi" w:hAnsiTheme="minorHAnsi" w:cs="Arial"/>
                <w:sz w:val="20"/>
                <w:szCs w:val="20"/>
              </w:rPr>
              <w:t>11</w:t>
            </w:r>
          </w:p>
        </w:tc>
      </w:tr>
    </w:tbl>
    <w:p w:rsidR="00847BCE" w:rsidRPr="003E335B" w:rsidRDefault="00847BCE" w:rsidP="000D70EC">
      <w:pPr>
        <w:spacing w:after="100" w:line="240" w:lineRule="auto"/>
        <w:rPr>
          <w:rFonts w:asciiTheme="minorHAnsi" w:hAnsiTheme="minorHAnsi" w:cs="Arial"/>
          <w:sz w:val="20"/>
          <w:szCs w:val="20"/>
        </w:rPr>
      </w:pPr>
    </w:p>
    <w:p w:rsidR="005E689B" w:rsidRPr="003E335B" w:rsidRDefault="005E689B" w:rsidP="000D70EC">
      <w:pPr>
        <w:spacing w:after="100" w:line="240" w:lineRule="auto"/>
        <w:rPr>
          <w:rFonts w:asciiTheme="minorHAnsi" w:hAnsiTheme="minorHAnsi" w:cs="Arial"/>
          <w:sz w:val="20"/>
          <w:szCs w:val="20"/>
        </w:rPr>
      </w:pPr>
      <w:r w:rsidRPr="003E335B">
        <w:rPr>
          <w:rFonts w:asciiTheme="minorHAnsi" w:hAnsiTheme="minorHAnsi" w:cs="Arial"/>
          <w:sz w:val="20"/>
          <w:szCs w:val="20"/>
        </w:rPr>
        <w:br w:type="page"/>
      </w:r>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lastRenderedPageBreak/>
        <w:t>The fair value of the financial assets and liabilities are included at the amount at which the instrument could be exchanged in a current transaction between willing parties, other than in a forced or liquidation sale. The following methods and assumptions were used to estimate the fair values:</w:t>
      </w:r>
    </w:p>
    <w:p w:rsidR="00847BCE" w:rsidRPr="003E335B" w:rsidRDefault="00847BCE" w:rsidP="000A1B34">
      <w:pPr>
        <w:pStyle w:val="ListParagraph"/>
        <w:numPr>
          <w:ilvl w:val="0"/>
          <w:numId w:val="36"/>
        </w:numPr>
        <w:spacing w:after="100" w:line="240" w:lineRule="auto"/>
        <w:rPr>
          <w:rFonts w:cs="Arial"/>
        </w:rPr>
      </w:pPr>
      <w:r w:rsidRPr="003E335B">
        <w:rPr>
          <w:rFonts w:cs="Arial"/>
        </w:rPr>
        <w:t>Trade receivables, cash and cash equivalents, trade accounts payable, other payables and accrued liabilities approximate their carrying amounts largely due to the short-term maturities of these instruments.</w:t>
      </w:r>
    </w:p>
    <w:p w:rsidR="00847BCE" w:rsidRPr="003E335B" w:rsidRDefault="00847BCE" w:rsidP="000A1B34">
      <w:pPr>
        <w:pStyle w:val="ListParagraph"/>
        <w:numPr>
          <w:ilvl w:val="0"/>
          <w:numId w:val="36"/>
        </w:numPr>
        <w:spacing w:after="100" w:line="240" w:lineRule="auto"/>
        <w:rPr>
          <w:rFonts w:cs="Arial"/>
        </w:rPr>
      </w:pPr>
      <w:r w:rsidRPr="003E335B">
        <w:rPr>
          <w:rFonts w:cs="Arial"/>
        </w:rPr>
        <w:t>Other receivable and assets approximate their carrying amounts due either to their short-term maturities or to the fact that they are recorded at their net discounted present value.</w:t>
      </w:r>
    </w:p>
    <w:p w:rsidR="00847BCE" w:rsidRPr="003E335B" w:rsidRDefault="00847BCE" w:rsidP="000A1B34">
      <w:pPr>
        <w:pStyle w:val="ListParagraph"/>
        <w:numPr>
          <w:ilvl w:val="0"/>
          <w:numId w:val="36"/>
        </w:numPr>
        <w:spacing w:after="100" w:line="240" w:lineRule="auto"/>
        <w:rPr>
          <w:rFonts w:cs="Arial"/>
        </w:rPr>
      </w:pPr>
      <w:r w:rsidRPr="003E335B">
        <w:rPr>
          <w:rFonts w:cs="Arial"/>
        </w:rPr>
        <w:t>Available for sale financial investments:</w:t>
      </w:r>
    </w:p>
    <w:p w:rsidR="00254A1E" w:rsidRDefault="00847BCE">
      <w:pPr>
        <w:pStyle w:val="ListParagraph"/>
        <w:numPr>
          <w:ilvl w:val="1"/>
          <w:numId w:val="36"/>
        </w:numPr>
        <w:spacing w:after="100" w:line="240" w:lineRule="auto"/>
        <w:rPr>
          <w:rFonts w:cs="Arial"/>
        </w:rPr>
      </w:pPr>
      <w:r w:rsidRPr="003E335B">
        <w:rPr>
          <w:rFonts w:cs="Arial"/>
        </w:rPr>
        <w:t>The fair value of government bonds, quoted equity securities and floating rate notes, with the exception of the floating rate notes issued by Lehman Brothers, is determined based upon quoted market prices for the identical instruments. Since 2008, the fair value of the floating rate notes issued by Lehman Brothers relies on information received from a major credit rating entity bas</w:t>
      </w:r>
      <w:r w:rsidR="00C62C15">
        <w:rPr>
          <w:rFonts w:cs="Arial"/>
        </w:rPr>
        <w:t xml:space="preserve">ed on historical recovery rates. During the first half of 2011, the Group was able to assess fair value of the Lehman </w:t>
      </w:r>
      <w:r w:rsidR="008733F0">
        <w:rPr>
          <w:rFonts w:cs="Arial"/>
        </w:rPr>
        <w:t>Brothers</w:t>
      </w:r>
      <w:r w:rsidR="00C62C15">
        <w:rPr>
          <w:rFonts w:cs="Arial"/>
        </w:rPr>
        <w:t xml:space="preserve"> notes based on values observed on the open market and direct unbinding quotation.</w:t>
      </w:r>
    </w:p>
    <w:p w:rsidR="00254A1E" w:rsidRPr="00A127F8" w:rsidRDefault="00847BCE" w:rsidP="00A127F8">
      <w:pPr>
        <w:pStyle w:val="ListParagraph"/>
        <w:numPr>
          <w:ilvl w:val="1"/>
          <w:numId w:val="36"/>
        </w:numPr>
        <w:spacing w:after="100" w:line="240" w:lineRule="auto"/>
        <w:rPr>
          <w:rFonts w:cs="Arial"/>
        </w:rPr>
      </w:pPr>
      <w:r w:rsidRPr="003E335B">
        <w:rPr>
          <w:rFonts w:cs="Arial"/>
        </w:rPr>
        <w:t xml:space="preserve">Since 2008, the fair value of auction-rate securities </w:t>
      </w:r>
      <w:r w:rsidR="008B3E13">
        <w:rPr>
          <w:rFonts w:cs="Arial"/>
        </w:rPr>
        <w:t>was</w:t>
      </w:r>
      <w:r w:rsidRPr="003E335B">
        <w:rPr>
          <w:rFonts w:cs="Arial"/>
        </w:rPr>
        <w:t xml:space="preserve"> based on a theoretical model using yields obtainable for comparable assets. The value inputs for the evaluation of these securities were publicly available indexes of securities with the same rating, similar duration and comparable/similar underlying collaterals or industries exposure (such as ABX for the collateralized debt obligation, ITraxx and IBoxx for the credit-linked notes), which the Group believe</w:t>
      </w:r>
      <w:r w:rsidR="008B3E13">
        <w:rPr>
          <w:rFonts w:cs="Arial"/>
        </w:rPr>
        <w:t>d</w:t>
      </w:r>
      <w:r w:rsidRPr="003E335B">
        <w:rPr>
          <w:rFonts w:cs="Arial"/>
        </w:rPr>
        <w:t xml:space="preserve"> approximate</w:t>
      </w:r>
      <w:r w:rsidR="008B3E13">
        <w:rPr>
          <w:rFonts w:cs="Arial"/>
        </w:rPr>
        <w:t>d</w:t>
      </w:r>
      <w:r w:rsidRPr="003E335B">
        <w:rPr>
          <w:rFonts w:cs="Arial"/>
        </w:rPr>
        <w:t xml:space="preserve"> the orderly exit value in the current market. </w:t>
      </w:r>
    </w:p>
    <w:p w:rsidR="00254A1E" w:rsidRDefault="00847BCE">
      <w:pPr>
        <w:pStyle w:val="ListParagraph"/>
        <w:numPr>
          <w:ilvl w:val="1"/>
          <w:numId w:val="36"/>
        </w:numPr>
        <w:spacing w:after="100" w:line="240" w:lineRule="auto"/>
        <w:rPr>
          <w:rFonts w:cs="Arial"/>
        </w:rPr>
      </w:pPr>
      <w:r w:rsidRPr="003E335B">
        <w:rPr>
          <w:rFonts w:cs="Arial"/>
        </w:rPr>
        <w:t>The fair value of unquoted equity securities is estimated based on the valuation of the underlying investments on a new round of third party financing or upon liquidation.</w:t>
      </w:r>
    </w:p>
    <w:p w:rsidR="00254A1E" w:rsidRDefault="00B5776B">
      <w:pPr>
        <w:pStyle w:val="ListParagraph"/>
        <w:numPr>
          <w:ilvl w:val="1"/>
          <w:numId w:val="36"/>
        </w:numPr>
        <w:spacing w:after="100" w:line="240" w:lineRule="auto"/>
        <w:rPr>
          <w:rFonts w:cs="Arial"/>
        </w:rPr>
      </w:pPr>
      <w:r w:rsidRPr="003E335B">
        <w:rPr>
          <w:rFonts w:cs="Arial"/>
        </w:rPr>
        <w:t>The fair value of quoted equity securities is based on the quoted price per share adjusted to reflect any applicable restrictions.</w:t>
      </w:r>
    </w:p>
    <w:p w:rsidR="00254A1E" w:rsidRDefault="00847BCE">
      <w:pPr>
        <w:pStyle w:val="ListParagraph"/>
        <w:numPr>
          <w:ilvl w:val="0"/>
          <w:numId w:val="36"/>
        </w:numPr>
        <w:spacing w:after="100" w:line="240" w:lineRule="auto"/>
        <w:rPr>
          <w:rFonts w:cs="Arial"/>
        </w:rPr>
      </w:pPr>
      <w:r w:rsidRPr="003E335B">
        <w:rPr>
          <w:rFonts w:cs="Arial"/>
        </w:rPr>
        <w:t>The fair value of restricted cash is its carrying amount</w:t>
      </w:r>
    </w:p>
    <w:p w:rsidR="00254A1E" w:rsidRDefault="00847BCE">
      <w:pPr>
        <w:pStyle w:val="ListParagraph"/>
        <w:numPr>
          <w:ilvl w:val="0"/>
          <w:numId w:val="36"/>
        </w:numPr>
        <w:spacing w:after="100" w:line="240" w:lineRule="auto"/>
        <w:rPr>
          <w:rFonts w:cs="Arial"/>
        </w:rPr>
      </w:pPr>
      <w:r w:rsidRPr="003E335B">
        <w:rPr>
          <w:rFonts w:cs="Arial"/>
        </w:rPr>
        <w:t>The fair value of interest-bearing loans and borrowings is determined based on quoted market prices, and by estimating future cash flows on a borrowing-by-borrowing basis and discounting these future cash flows using the Group’s borrowing rates for similar types of borrowing arrangements.</w:t>
      </w:r>
    </w:p>
    <w:p w:rsidR="00254A1E" w:rsidRDefault="00847BCE">
      <w:pPr>
        <w:pStyle w:val="ListParagraph"/>
        <w:numPr>
          <w:ilvl w:val="0"/>
          <w:numId w:val="36"/>
        </w:numPr>
        <w:spacing w:after="100" w:line="240" w:lineRule="auto"/>
        <w:rPr>
          <w:rFonts w:cs="Arial"/>
        </w:rPr>
      </w:pPr>
      <w:r w:rsidRPr="003E335B">
        <w:rPr>
          <w:rFonts w:cs="Arial"/>
        </w:rPr>
        <w:t xml:space="preserve">The fair value of </w:t>
      </w:r>
      <w:r w:rsidR="00B5776B" w:rsidRPr="003E335B">
        <w:rPr>
          <w:rFonts w:cs="Arial"/>
        </w:rPr>
        <w:t>derivatives instruments</w:t>
      </w:r>
      <w:r w:rsidRPr="003E335B">
        <w:rPr>
          <w:rFonts w:cs="Arial"/>
        </w:rPr>
        <w:t xml:space="preserve"> is determined based upon quoted market prices for identical instruments.</w:t>
      </w:r>
    </w:p>
    <w:p w:rsidR="00254A1E" w:rsidRDefault="00254A1E">
      <w:pPr>
        <w:pStyle w:val="ListParagraph"/>
        <w:spacing w:after="100" w:line="240" w:lineRule="auto"/>
        <w:rPr>
          <w:rFonts w:cs="Arial"/>
        </w:rPr>
      </w:pPr>
    </w:p>
    <w:p w:rsidR="00366509" w:rsidRPr="003E335B" w:rsidRDefault="00366509" w:rsidP="000D70EC">
      <w:pPr>
        <w:spacing w:after="100" w:line="240" w:lineRule="auto"/>
        <w:rPr>
          <w:rFonts w:asciiTheme="minorHAnsi" w:hAnsiTheme="minorHAnsi" w:cs="Arial"/>
          <w:sz w:val="20"/>
          <w:szCs w:val="20"/>
        </w:rPr>
      </w:pPr>
      <w:r w:rsidRPr="003E335B">
        <w:rPr>
          <w:rFonts w:asciiTheme="minorHAnsi" w:hAnsiTheme="minorHAnsi" w:cs="Arial"/>
          <w:sz w:val="20"/>
          <w:szCs w:val="20"/>
        </w:rPr>
        <w:br w:type="page"/>
      </w:r>
    </w:p>
    <w:p w:rsidR="008733F0" w:rsidRDefault="00847BCE">
      <w:pPr>
        <w:spacing w:after="100" w:line="240" w:lineRule="auto"/>
        <w:jc w:val="both"/>
        <w:rPr>
          <w:rFonts w:asciiTheme="minorHAnsi" w:hAnsiTheme="minorHAnsi" w:cs="Arial"/>
          <w:b/>
          <w:i/>
          <w:sz w:val="20"/>
          <w:szCs w:val="20"/>
        </w:rPr>
      </w:pPr>
      <w:r w:rsidRPr="003E335B">
        <w:rPr>
          <w:rFonts w:asciiTheme="minorHAnsi" w:hAnsiTheme="minorHAnsi" w:cs="Arial"/>
          <w:b/>
          <w:i/>
          <w:sz w:val="20"/>
          <w:szCs w:val="20"/>
        </w:rPr>
        <w:lastRenderedPageBreak/>
        <w:t>Fair value hierarchy</w:t>
      </w:r>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The Group uses the following hierarchy for determining and disclosing the fair value of financial instruments by valuation technique:</w:t>
      </w:r>
    </w:p>
    <w:p w:rsidR="00847BCE" w:rsidRPr="003E335B" w:rsidRDefault="00847BCE" w:rsidP="000A1B34">
      <w:pPr>
        <w:pStyle w:val="ListParagraph"/>
        <w:numPr>
          <w:ilvl w:val="0"/>
          <w:numId w:val="37"/>
        </w:numPr>
        <w:spacing w:after="100" w:line="240" w:lineRule="auto"/>
        <w:rPr>
          <w:rFonts w:cs="Arial"/>
        </w:rPr>
      </w:pPr>
      <w:r w:rsidRPr="003E335B">
        <w:rPr>
          <w:rFonts w:cs="Arial"/>
        </w:rPr>
        <w:t>Level 1: quoted (unadjusted) prices in active markets for identical assets or liabilities.</w:t>
      </w:r>
    </w:p>
    <w:p w:rsidR="00847BCE" w:rsidRPr="003E335B" w:rsidRDefault="00847BCE" w:rsidP="000A1B34">
      <w:pPr>
        <w:pStyle w:val="ListParagraph"/>
        <w:numPr>
          <w:ilvl w:val="0"/>
          <w:numId w:val="37"/>
        </w:numPr>
        <w:spacing w:after="100" w:line="240" w:lineRule="auto"/>
        <w:rPr>
          <w:rFonts w:cs="Arial"/>
        </w:rPr>
      </w:pPr>
      <w:r w:rsidRPr="003E335B">
        <w:rPr>
          <w:rFonts w:cs="Arial"/>
        </w:rPr>
        <w:t>Level 2: other techniques for which all inputs which have a significant effect on the recorded fair value are observable, either directly or indirectly.</w:t>
      </w:r>
    </w:p>
    <w:p w:rsidR="00847BCE" w:rsidRPr="003E335B" w:rsidRDefault="00847BCE" w:rsidP="000A1B34">
      <w:pPr>
        <w:pStyle w:val="ListParagraph"/>
        <w:numPr>
          <w:ilvl w:val="0"/>
          <w:numId w:val="37"/>
        </w:numPr>
        <w:spacing w:after="100" w:line="240" w:lineRule="auto"/>
        <w:rPr>
          <w:rFonts w:cs="Arial"/>
        </w:rPr>
      </w:pPr>
      <w:r w:rsidRPr="003E335B">
        <w:rPr>
          <w:rFonts w:cs="Arial"/>
        </w:rPr>
        <w:t>Level 3: techniques which use inputs which have a significant effect on the recorded fair value that are not based on observable market data.</w:t>
      </w:r>
    </w:p>
    <w:p w:rsidR="008733F0" w:rsidRDefault="008733F0">
      <w:pPr>
        <w:spacing w:after="100" w:line="240" w:lineRule="auto"/>
        <w:jc w:val="both"/>
        <w:rPr>
          <w:rFonts w:asciiTheme="minorHAnsi" w:hAnsiTheme="minorHAnsi" w:cs="Arial"/>
          <w:sz w:val="20"/>
          <w:szCs w:val="20"/>
        </w:rPr>
      </w:pPr>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 xml:space="preserve">As at </w:t>
      </w:r>
      <w:r w:rsidR="005326A6">
        <w:rPr>
          <w:rFonts w:asciiTheme="minorHAnsi" w:hAnsiTheme="minorHAnsi" w:cs="Arial"/>
          <w:sz w:val="20"/>
          <w:szCs w:val="20"/>
        </w:rPr>
        <w:t>July 2</w:t>
      </w:r>
      <w:r w:rsidRPr="003E335B">
        <w:rPr>
          <w:rFonts w:asciiTheme="minorHAnsi" w:hAnsiTheme="minorHAnsi" w:cs="Arial"/>
          <w:sz w:val="20"/>
          <w:szCs w:val="20"/>
        </w:rPr>
        <w:t>,</w:t>
      </w:r>
      <w:r w:rsidR="005326A6">
        <w:rPr>
          <w:rFonts w:asciiTheme="minorHAnsi" w:hAnsiTheme="minorHAnsi" w:cs="Arial"/>
          <w:sz w:val="20"/>
          <w:szCs w:val="20"/>
        </w:rPr>
        <w:t xml:space="preserve"> 2011</w:t>
      </w:r>
      <w:r w:rsidRPr="003E335B">
        <w:rPr>
          <w:rFonts w:asciiTheme="minorHAnsi" w:hAnsiTheme="minorHAnsi" w:cs="Arial"/>
          <w:sz w:val="20"/>
          <w:szCs w:val="20"/>
        </w:rPr>
        <w:t xml:space="preserve"> the Group held the following financial instruments measured at fair value:</w:t>
      </w:r>
    </w:p>
    <w:tbl>
      <w:tblPr>
        <w:tblW w:w="10098" w:type="dxa"/>
        <w:tblLayout w:type="fixed"/>
        <w:tblLook w:val="04A0"/>
      </w:tblPr>
      <w:tblGrid>
        <w:gridCol w:w="5778"/>
        <w:gridCol w:w="1410"/>
        <w:gridCol w:w="970"/>
        <w:gridCol w:w="970"/>
        <w:gridCol w:w="970"/>
      </w:tblGrid>
      <w:tr w:rsidR="00847BCE" w:rsidRPr="003E335B" w:rsidTr="00C52B12">
        <w:tc>
          <w:tcPr>
            <w:tcW w:w="5778" w:type="dxa"/>
            <w:tcBorders>
              <w:bottom w:val="single" w:sz="18" w:space="0" w:color="auto"/>
            </w:tcBorders>
            <w:vAlign w:val="bottom"/>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1410" w:type="dxa"/>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w:t>
            </w:r>
            <w:r w:rsidR="00BE357C" w:rsidRPr="003E335B">
              <w:rPr>
                <w:rFonts w:asciiTheme="minorHAnsi" w:hAnsiTheme="minorHAnsi" w:cs="Arial"/>
                <w:sz w:val="20"/>
                <w:szCs w:val="20"/>
              </w:rPr>
              <w:t>ly</w:t>
            </w:r>
            <w:r w:rsidRPr="003E335B">
              <w:rPr>
                <w:rFonts w:asciiTheme="minorHAnsi" w:hAnsiTheme="minorHAnsi" w:cs="Arial"/>
                <w:sz w:val="20"/>
                <w:szCs w:val="20"/>
              </w:rPr>
              <w:t xml:space="preserve"> 2, 201</w:t>
            </w:r>
            <w:r w:rsidR="00BE357C" w:rsidRPr="003E335B">
              <w:rPr>
                <w:rFonts w:asciiTheme="minorHAnsi" w:hAnsiTheme="minorHAnsi" w:cs="Arial"/>
                <w:sz w:val="20"/>
                <w:szCs w:val="20"/>
              </w:rPr>
              <w:t>1</w:t>
            </w:r>
            <w:r w:rsidRPr="003E335B">
              <w:rPr>
                <w:rFonts w:asciiTheme="minorHAnsi" w:hAnsiTheme="minorHAnsi" w:cs="Arial"/>
                <w:sz w:val="20"/>
                <w:szCs w:val="20"/>
              </w:rPr>
              <w:t xml:space="preserve"> (unaudited)</w:t>
            </w:r>
          </w:p>
        </w:tc>
        <w:tc>
          <w:tcPr>
            <w:tcW w:w="970" w:type="dxa"/>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Level 1</w:t>
            </w:r>
          </w:p>
        </w:tc>
        <w:tc>
          <w:tcPr>
            <w:tcW w:w="970" w:type="dxa"/>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Level 2</w:t>
            </w:r>
          </w:p>
        </w:tc>
        <w:tc>
          <w:tcPr>
            <w:tcW w:w="970" w:type="dxa"/>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Level 3</w:t>
            </w:r>
          </w:p>
        </w:tc>
      </w:tr>
      <w:tr w:rsidR="00C52B12" w:rsidRPr="003E335B" w:rsidTr="00C52B12">
        <w:tc>
          <w:tcPr>
            <w:tcW w:w="5778" w:type="dxa"/>
            <w:tcBorders>
              <w:top w:val="single" w:sz="18" w:space="0" w:color="auto"/>
            </w:tcBorders>
            <w:shd w:val="clear" w:color="auto" w:fill="B8CCE4" w:themeFill="accent1" w:themeFillTint="66"/>
            <w:hideMark/>
          </w:tcPr>
          <w:p w:rsidR="00C52B12" w:rsidRPr="003E335B" w:rsidRDefault="00C52B12"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Assets measured at fair value</w:t>
            </w:r>
          </w:p>
        </w:tc>
        <w:tc>
          <w:tcPr>
            <w:tcW w:w="1410" w:type="dxa"/>
            <w:tcBorders>
              <w:top w:val="single" w:sz="18" w:space="0" w:color="auto"/>
            </w:tcBorders>
            <w:shd w:val="clear" w:color="auto" w:fill="B8CCE4" w:themeFill="accent1" w:themeFillTint="66"/>
          </w:tcPr>
          <w:p w:rsidR="00C52B12" w:rsidRPr="003E335B" w:rsidRDefault="00C52B12" w:rsidP="000D70EC">
            <w:pPr>
              <w:spacing w:after="100" w:line="240" w:lineRule="auto"/>
              <w:rPr>
                <w:rFonts w:asciiTheme="minorHAnsi" w:hAnsiTheme="minorHAnsi" w:cs="Arial"/>
                <w:b/>
                <w:sz w:val="20"/>
                <w:szCs w:val="20"/>
              </w:rPr>
            </w:pPr>
          </w:p>
        </w:tc>
        <w:tc>
          <w:tcPr>
            <w:tcW w:w="970" w:type="dxa"/>
            <w:tcBorders>
              <w:top w:val="single" w:sz="18" w:space="0" w:color="auto"/>
            </w:tcBorders>
            <w:shd w:val="clear" w:color="auto" w:fill="B8CCE4" w:themeFill="accent1" w:themeFillTint="66"/>
          </w:tcPr>
          <w:p w:rsidR="00C52B12" w:rsidRPr="003E335B" w:rsidRDefault="00C52B12" w:rsidP="000D70EC">
            <w:pPr>
              <w:spacing w:after="100" w:line="240" w:lineRule="auto"/>
              <w:rPr>
                <w:rFonts w:asciiTheme="minorHAnsi" w:hAnsiTheme="minorHAnsi" w:cs="Arial"/>
                <w:b/>
                <w:sz w:val="20"/>
                <w:szCs w:val="20"/>
              </w:rPr>
            </w:pPr>
          </w:p>
        </w:tc>
        <w:tc>
          <w:tcPr>
            <w:tcW w:w="970" w:type="dxa"/>
            <w:tcBorders>
              <w:top w:val="single" w:sz="18" w:space="0" w:color="auto"/>
            </w:tcBorders>
            <w:shd w:val="clear" w:color="auto" w:fill="B8CCE4" w:themeFill="accent1" w:themeFillTint="66"/>
          </w:tcPr>
          <w:p w:rsidR="00C52B12" w:rsidRPr="003E335B" w:rsidRDefault="00C52B12" w:rsidP="000D70EC">
            <w:pPr>
              <w:spacing w:after="100" w:line="240" w:lineRule="auto"/>
              <w:rPr>
                <w:rFonts w:asciiTheme="minorHAnsi" w:hAnsiTheme="minorHAnsi" w:cs="Arial"/>
                <w:b/>
                <w:sz w:val="20"/>
                <w:szCs w:val="20"/>
              </w:rPr>
            </w:pPr>
          </w:p>
        </w:tc>
        <w:tc>
          <w:tcPr>
            <w:tcW w:w="970" w:type="dxa"/>
            <w:tcBorders>
              <w:top w:val="single" w:sz="18" w:space="0" w:color="auto"/>
            </w:tcBorders>
            <w:shd w:val="clear" w:color="auto" w:fill="B8CCE4" w:themeFill="accent1" w:themeFillTint="66"/>
          </w:tcPr>
          <w:p w:rsidR="00C52B12" w:rsidRPr="003E335B" w:rsidRDefault="00C52B12" w:rsidP="000D70EC">
            <w:pPr>
              <w:spacing w:after="100" w:line="240" w:lineRule="auto"/>
              <w:rPr>
                <w:rFonts w:asciiTheme="minorHAnsi" w:hAnsiTheme="minorHAnsi" w:cs="Arial"/>
                <w:b/>
                <w:sz w:val="20"/>
                <w:szCs w:val="20"/>
              </w:rPr>
            </w:pPr>
          </w:p>
        </w:tc>
      </w:tr>
      <w:tr w:rsidR="00C52B12" w:rsidRPr="003E335B" w:rsidTr="00C52B12">
        <w:tc>
          <w:tcPr>
            <w:tcW w:w="5778" w:type="dxa"/>
            <w:shd w:val="clear" w:color="auto" w:fill="auto"/>
            <w:hideMark/>
          </w:tcPr>
          <w:p w:rsidR="00C52B12" w:rsidRPr="003E335B" w:rsidRDefault="00C52B12"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Financial assets at fair value through profit or loss</w:t>
            </w:r>
          </w:p>
        </w:tc>
        <w:tc>
          <w:tcPr>
            <w:tcW w:w="1410" w:type="dxa"/>
            <w:shd w:val="clear" w:color="auto" w:fill="auto"/>
          </w:tcPr>
          <w:p w:rsidR="00C52B12" w:rsidRPr="003E335B" w:rsidRDefault="00C52B12" w:rsidP="000D70EC">
            <w:pPr>
              <w:spacing w:after="100" w:line="240" w:lineRule="auto"/>
              <w:rPr>
                <w:rFonts w:asciiTheme="minorHAnsi" w:hAnsiTheme="minorHAnsi" w:cs="Arial"/>
                <w:sz w:val="20"/>
                <w:szCs w:val="20"/>
              </w:rPr>
            </w:pPr>
          </w:p>
        </w:tc>
        <w:tc>
          <w:tcPr>
            <w:tcW w:w="970" w:type="dxa"/>
            <w:shd w:val="clear" w:color="auto" w:fill="auto"/>
          </w:tcPr>
          <w:p w:rsidR="00C52B12" w:rsidRPr="003E335B" w:rsidRDefault="00C52B12" w:rsidP="000D70EC">
            <w:pPr>
              <w:spacing w:after="100" w:line="240" w:lineRule="auto"/>
              <w:rPr>
                <w:rFonts w:asciiTheme="minorHAnsi" w:hAnsiTheme="minorHAnsi" w:cs="Arial"/>
                <w:sz w:val="20"/>
                <w:szCs w:val="20"/>
              </w:rPr>
            </w:pPr>
          </w:p>
        </w:tc>
        <w:tc>
          <w:tcPr>
            <w:tcW w:w="970" w:type="dxa"/>
            <w:shd w:val="clear" w:color="auto" w:fill="auto"/>
          </w:tcPr>
          <w:p w:rsidR="00C52B12" w:rsidRPr="003E335B" w:rsidRDefault="00C52B12" w:rsidP="000D70EC">
            <w:pPr>
              <w:spacing w:after="100" w:line="240" w:lineRule="auto"/>
              <w:rPr>
                <w:rFonts w:asciiTheme="minorHAnsi" w:hAnsiTheme="minorHAnsi" w:cs="Arial"/>
                <w:sz w:val="20"/>
                <w:szCs w:val="20"/>
              </w:rPr>
            </w:pPr>
          </w:p>
        </w:tc>
        <w:tc>
          <w:tcPr>
            <w:tcW w:w="970" w:type="dxa"/>
            <w:shd w:val="clear" w:color="auto" w:fill="auto"/>
          </w:tcPr>
          <w:p w:rsidR="00C52B12" w:rsidRPr="003E335B" w:rsidRDefault="00C52B12" w:rsidP="000D70EC">
            <w:pPr>
              <w:spacing w:after="100" w:line="240" w:lineRule="auto"/>
              <w:rPr>
                <w:rFonts w:asciiTheme="minorHAnsi" w:hAnsiTheme="minorHAnsi" w:cs="Arial"/>
                <w:sz w:val="20"/>
                <w:szCs w:val="20"/>
              </w:rPr>
            </w:pPr>
          </w:p>
        </w:tc>
      </w:tr>
      <w:tr w:rsidR="00847BCE" w:rsidRPr="003E335B" w:rsidTr="00C52B12">
        <w:tc>
          <w:tcPr>
            <w:tcW w:w="5778" w:type="dxa"/>
            <w:shd w:val="clear" w:color="auto" w:fill="B8CCE4" w:themeFill="accent1" w:themeFillTint="66"/>
            <w:hideMark/>
          </w:tcPr>
          <w:p w:rsidR="00847BCE" w:rsidRPr="003E335B" w:rsidRDefault="00847BCE" w:rsidP="000D70EC">
            <w:pPr>
              <w:spacing w:after="100" w:line="240" w:lineRule="auto"/>
              <w:ind w:left="180"/>
              <w:rPr>
                <w:rFonts w:asciiTheme="minorHAnsi" w:hAnsiTheme="minorHAnsi" w:cs="Arial"/>
                <w:sz w:val="20"/>
                <w:szCs w:val="20"/>
              </w:rPr>
            </w:pPr>
            <w:r w:rsidRPr="003E335B">
              <w:rPr>
                <w:rFonts w:asciiTheme="minorHAnsi" w:hAnsiTheme="minorHAnsi" w:cs="Arial"/>
                <w:sz w:val="20"/>
                <w:szCs w:val="20"/>
              </w:rPr>
              <w:t>Forward foreign exchange contracts</w:t>
            </w:r>
          </w:p>
        </w:tc>
        <w:tc>
          <w:tcPr>
            <w:tcW w:w="1410" w:type="dxa"/>
            <w:shd w:val="clear" w:color="auto" w:fill="B8CCE4" w:themeFill="accent1" w:themeFillTint="66"/>
            <w:vAlign w:val="center"/>
          </w:tcPr>
          <w:p w:rsidR="00847BCE"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33</w:t>
            </w:r>
          </w:p>
        </w:tc>
        <w:tc>
          <w:tcPr>
            <w:tcW w:w="970" w:type="dxa"/>
            <w:shd w:val="clear" w:color="auto" w:fill="B8CCE4" w:themeFill="accent1" w:themeFillTint="66"/>
            <w:vAlign w:val="center"/>
          </w:tcPr>
          <w:p w:rsidR="00847BCE"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970" w:type="dxa"/>
            <w:shd w:val="clear" w:color="auto" w:fill="B8CCE4" w:themeFill="accent1" w:themeFillTint="66"/>
            <w:vAlign w:val="center"/>
          </w:tcPr>
          <w:p w:rsidR="00847BCE"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33</w:t>
            </w:r>
          </w:p>
        </w:tc>
        <w:tc>
          <w:tcPr>
            <w:tcW w:w="970" w:type="dxa"/>
            <w:shd w:val="clear" w:color="auto" w:fill="B8CCE4" w:themeFill="accent1" w:themeFillTint="66"/>
            <w:vAlign w:val="center"/>
          </w:tcPr>
          <w:p w:rsidR="00847BCE"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r>
      <w:tr w:rsidR="0077262A" w:rsidRPr="003E335B" w:rsidTr="00C52B12">
        <w:tc>
          <w:tcPr>
            <w:tcW w:w="5778" w:type="dxa"/>
            <w:shd w:val="clear" w:color="auto" w:fill="auto"/>
            <w:hideMark/>
          </w:tcPr>
          <w:p w:rsidR="0077262A" w:rsidRPr="003E335B" w:rsidRDefault="005326A6" w:rsidP="000D70EC">
            <w:pPr>
              <w:spacing w:after="100" w:line="240" w:lineRule="auto"/>
              <w:ind w:left="180"/>
              <w:rPr>
                <w:rFonts w:asciiTheme="minorHAnsi" w:hAnsiTheme="minorHAnsi" w:cs="Arial"/>
                <w:sz w:val="20"/>
                <w:szCs w:val="20"/>
              </w:rPr>
            </w:pPr>
            <w:r>
              <w:rPr>
                <w:rFonts w:asciiTheme="minorHAnsi" w:hAnsiTheme="minorHAnsi" w:cs="Arial"/>
                <w:sz w:val="20"/>
                <w:szCs w:val="20"/>
              </w:rPr>
              <w:t>Currency collars</w:t>
            </w:r>
          </w:p>
        </w:tc>
        <w:tc>
          <w:tcPr>
            <w:tcW w:w="1410" w:type="dxa"/>
            <w:shd w:val="clear" w:color="auto" w:fill="auto"/>
            <w:vAlign w:val="center"/>
          </w:tcPr>
          <w:p w:rsidR="0077262A"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9</w:t>
            </w:r>
          </w:p>
        </w:tc>
        <w:tc>
          <w:tcPr>
            <w:tcW w:w="970" w:type="dxa"/>
            <w:shd w:val="clear" w:color="auto" w:fill="auto"/>
            <w:vAlign w:val="center"/>
          </w:tcPr>
          <w:p w:rsidR="0077262A"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970" w:type="dxa"/>
            <w:shd w:val="clear" w:color="auto" w:fill="auto"/>
            <w:vAlign w:val="center"/>
          </w:tcPr>
          <w:p w:rsidR="0077262A"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9</w:t>
            </w:r>
          </w:p>
        </w:tc>
        <w:tc>
          <w:tcPr>
            <w:tcW w:w="970" w:type="dxa"/>
            <w:shd w:val="clear" w:color="auto" w:fill="auto"/>
            <w:vAlign w:val="center"/>
          </w:tcPr>
          <w:p w:rsidR="0077262A"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r>
      <w:tr w:rsidR="005326A6" w:rsidRPr="003E335B" w:rsidTr="00C52B12">
        <w:tc>
          <w:tcPr>
            <w:tcW w:w="5778" w:type="dxa"/>
            <w:shd w:val="clear" w:color="auto" w:fill="B8CCE4" w:themeFill="accent1" w:themeFillTint="66"/>
            <w:hideMark/>
          </w:tcPr>
          <w:p w:rsidR="005326A6" w:rsidRPr="003E335B" w:rsidRDefault="005326A6" w:rsidP="000D70EC">
            <w:pPr>
              <w:spacing w:after="100" w:line="240" w:lineRule="auto"/>
              <w:ind w:left="180"/>
              <w:rPr>
                <w:rFonts w:asciiTheme="minorHAnsi" w:hAnsiTheme="minorHAnsi" w:cs="Arial"/>
                <w:sz w:val="20"/>
                <w:szCs w:val="20"/>
              </w:rPr>
            </w:pPr>
            <w:r>
              <w:rPr>
                <w:rFonts w:asciiTheme="minorHAnsi" w:hAnsiTheme="minorHAnsi" w:cs="Arial"/>
                <w:sz w:val="20"/>
                <w:szCs w:val="20"/>
              </w:rPr>
              <w:t>Purchased currency options</w:t>
            </w:r>
          </w:p>
        </w:tc>
        <w:tc>
          <w:tcPr>
            <w:tcW w:w="1410" w:type="dxa"/>
            <w:shd w:val="clear" w:color="auto" w:fill="B8CCE4" w:themeFill="accent1" w:themeFillTint="66"/>
            <w:vAlign w:val="center"/>
          </w:tcPr>
          <w:p w:rsidR="005326A6"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2</w:t>
            </w:r>
          </w:p>
        </w:tc>
        <w:tc>
          <w:tcPr>
            <w:tcW w:w="970" w:type="dxa"/>
            <w:shd w:val="clear" w:color="auto" w:fill="B8CCE4" w:themeFill="accent1" w:themeFillTint="66"/>
            <w:vAlign w:val="center"/>
          </w:tcPr>
          <w:p w:rsidR="005326A6"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970" w:type="dxa"/>
            <w:shd w:val="clear" w:color="auto" w:fill="B8CCE4" w:themeFill="accent1" w:themeFillTint="66"/>
            <w:vAlign w:val="center"/>
          </w:tcPr>
          <w:p w:rsidR="005326A6"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2</w:t>
            </w:r>
          </w:p>
        </w:tc>
        <w:tc>
          <w:tcPr>
            <w:tcW w:w="970" w:type="dxa"/>
            <w:shd w:val="clear" w:color="auto" w:fill="B8CCE4" w:themeFill="accent1" w:themeFillTint="66"/>
            <w:vAlign w:val="center"/>
          </w:tcPr>
          <w:p w:rsidR="005326A6"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r>
      <w:tr w:rsidR="00B5776B" w:rsidRPr="003E335B" w:rsidTr="00C52B12">
        <w:tc>
          <w:tcPr>
            <w:tcW w:w="5778" w:type="dxa"/>
            <w:shd w:val="clear" w:color="auto" w:fill="auto"/>
            <w:hideMark/>
          </w:tcPr>
          <w:p w:rsidR="00B5776B" w:rsidRPr="003E335B" w:rsidRDefault="005326A6" w:rsidP="000D70EC">
            <w:pPr>
              <w:spacing w:after="100" w:line="240" w:lineRule="auto"/>
              <w:ind w:left="180"/>
              <w:rPr>
                <w:rFonts w:asciiTheme="minorHAnsi" w:hAnsiTheme="minorHAnsi" w:cs="Arial"/>
                <w:sz w:val="20"/>
                <w:szCs w:val="20"/>
              </w:rPr>
            </w:pPr>
            <w:r>
              <w:rPr>
                <w:rFonts w:asciiTheme="minorHAnsi" w:hAnsiTheme="minorHAnsi" w:cs="Arial"/>
                <w:sz w:val="20"/>
                <w:szCs w:val="20"/>
              </w:rPr>
              <w:t>Veredus buy-out option</w:t>
            </w:r>
          </w:p>
        </w:tc>
        <w:tc>
          <w:tcPr>
            <w:tcW w:w="1410" w:type="dxa"/>
            <w:shd w:val="clear" w:color="auto" w:fill="auto"/>
            <w:vAlign w:val="center"/>
          </w:tcPr>
          <w:p w:rsidR="00B5776B"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5</w:t>
            </w:r>
          </w:p>
        </w:tc>
        <w:tc>
          <w:tcPr>
            <w:tcW w:w="970" w:type="dxa"/>
            <w:shd w:val="clear" w:color="auto" w:fill="auto"/>
            <w:vAlign w:val="center"/>
          </w:tcPr>
          <w:p w:rsidR="00B5776B"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970" w:type="dxa"/>
            <w:shd w:val="clear" w:color="auto" w:fill="auto"/>
            <w:vAlign w:val="center"/>
          </w:tcPr>
          <w:p w:rsidR="00B5776B"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970" w:type="dxa"/>
            <w:shd w:val="clear" w:color="auto" w:fill="auto"/>
            <w:vAlign w:val="center"/>
          </w:tcPr>
          <w:p w:rsidR="00B5776B"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5</w:t>
            </w:r>
          </w:p>
        </w:tc>
      </w:tr>
      <w:tr w:rsidR="00847BCE" w:rsidRPr="003E335B" w:rsidTr="00C52B12">
        <w:tc>
          <w:tcPr>
            <w:tcW w:w="577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Cash flow hedges</w:t>
            </w:r>
          </w:p>
        </w:tc>
        <w:tc>
          <w:tcPr>
            <w:tcW w:w="1410" w:type="dxa"/>
            <w:shd w:val="clear" w:color="auto" w:fill="B8CCE4" w:themeFill="accent1" w:themeFillTint="66"/>
            <w:vAlign w:val="center"/>
          </w:tcPr>
          <w:p w:rsidR="00847BCE" w:rsidRPr="003E335B" w:rsidRDefault="00847BCE" w:rsidP="000D70EC">
            <w:pPr>
              <w:spacing w:after="100" w:line="240" w:lineRule="auto"/>
              <w:jc w:val="right"/>
              <w:rPr>
                <w:rFonts w:asciiTheme="minorHAnsi" w:hAnsiTheme="minorHAnsi" w:cs="Arial"/>
                <w:sz w:val="20"/>
                <w:szCs w:val="20"/>
              </w:rPr>
            </w:pPr>
          </w:p>
        </w:tc>
        <w:tc>
          <w:tcPr>
            <w:tcW w:w="970" w:type="dxa"/>
            <w:shd w:val="clear" w:color="auto" w:fill="B8CCE4" w:themeFill="accent1" w:themeFillTint="66"/>
            <w:vAlign w:val="center"/>
          </w:tcPr>
          <w:p w:rsidR="00847BCE" w:rsidRPr="003E335B" w:rsidRDefault="00847BCE" w:rsidP="000D70EC">
            <w:pPr>
              <w:spacing w:after="100" w:line="240" w:lineRule="auto"/>
              <w:jc w:val="right"/>
              <w:rPr>
                <w:rFonts w:asciiTheme="minorHAnsi" w:hAnsiTheme="minorHAnsi" w:cs="Arial"/>
                <w:sz w:val="20"/>
                <w:szCs w:val="20"/>
              </w:rPr>
            </w:pPr>
          </w:p>
        </w:tc>
        <w:tc>
          <w:tcPr>
            <w:tcW w:w="970" w:type="dxa"/>
            <w:shd w:val="clear" w:color="auto" w:fill="B8CCE4" w:themeFill="accent1" w:themeFillTint="66"/>
            <w:vAlign w:val="center"/>
          </w:tcPr>
          <w:p w:rsidR="00847BCE" w:rsidRPr="003E335B" w:rsidRDefault="00847BCE" w:rsidP="000D70EC">
            <w:pPr>
              <w:spacing w:after="100" w:line="240" w:lineRule="auto"/>
              <w:jc w:val="right"/>
              <w:rPr>
                <w:rFonts w:asciiTheme="minorHAnsi" w:hAnsiTheme="minorHAnsi" w:cs="Arial"/>
                <w:sz w:val="20"/>
                <w:szCs w:val="20"/>
              </w:rPr>
            </w:pPr>
          </w:p>
        </w:tc>
        <w:tc>
          <w:tcPr>
            <w:tcW w:w="970" w:type="dxa"/>
            <w:shd w:val="clear" w:color="auto" w:fill="B8CCE4" w:themeFill="accent1" w:themeFillTint="66"/>
            <w:vAlign w:val="center"/>
          </w:tcPr>
          <w:p w:rsidR="00847BCE" w:rsidRPr="003E335B" w:rsidRDefault="00847BCE" w:rsidP="000D70EC">
            <w:pPr>
              <w:spacing w:after="100" w:line="240" w:lineRule="auto"/>
              <w:jc w:val="right"/>
              <w:rPr>
                <w:rFonts w:asciiTheme="minorHAnsi" w:hAnsiTheme="minorHAnsi" w:cs="Arial"/>
                <w:sz w:val="20"/>
                <w:szCs w:val="20"/>
              </w:rPr>
            </w:pPr>
          </w:p>
        </w:tc>
      </w:tr>
      <w:tr w:rsidR="00847BCE" w:rsidRPr="003E335B" w:rsidTr="00C52B12">
        <w:tc>
          <w:tcPr>
            <w:tcW w:w="5778" w:type="dxa"/>
            <w:shd w:val="clear" w:color="auto" w:fill="auto"/>
            <w:hideMark/>
          </w:tcPr>
          <w:p w:rsidR="00847BCE" w:rsidRPr="003E335B" w:rsidRDefault="00847BCE" w:rsidP="000D70EC">
            <w:pPr>
              <w:spacing w:after="100" w:line="240" w:lineRule="auto"/>
              <w:ind w:left="180"/>
              <w:rPr>
                <w:rFonts w:asciiTheme="minorHAnsi" w:hAnsiTheme="minorHAnsi" w:cs="Arial"/>
                <w:sz w:val="20"/>
                <w:szCs w:val="20"/>
              </w:rPr>
            </w:pPr>
            <w:r w:rsidRPr="003E335B">
              <w:rPr>
                <w:rFonts w:asciiTheme="minorHAnsi" w:hAnsiTheme="minorHAnsi" w:cs="Arial"/>
                <w:sz w:val="20"/>
                <w:szCs w:val="20"/>
              </w:rPr>
              <w:t>Forward foreign exchange contracts</w:t>
            </w:r>
          </w:p>
        </w:tc>
        <w:tc>
          <w:tcPr>
            <w:tcW w:w="1410" w:type="dxa"/>
            <w:shd w:val="clear" w:color="auto" w:fill="auto"/>
            <w:vAlign w:val="center"/>
          </w:tcPr>
          <w:p w:rsidR="00847BCE"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30</w:t>
            </w:r>
          </w:p>
        </w:tc>
        <w:tc>
          <w:tcPr>
            <w:tcW w:w="970" w:type="dxa"/>
            <w:shd w:val="clear" w:color="auto" w:fill="auto"/>
            <w:vAlign w:val="center"/>
          </w:tcPr>
          <w:p w:rsidR="00847BCE"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970" w:type="dxa"/>
            <w:shd w:val="clear" w:color="auto" w:fill="auto"/>
            <w:vAlign w:val="center"/>
          </w:tcPr>
          <w:p w:rsidR="00847BCE"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30</w:t>
            </w:r>
          </w:p>
        </w:tc>
        <w:tc>
          <w:tcPr>
            <w:tcW w:w="970" w:type="dxa"/>
            <w:shd w:val="clear" w:color="auto" w:fill="auto"/>
            <w:vAlign w:val="center"/>
          </w:tcPr>
          <w:p w:rsidR="00847BCE"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r>
      <w:tr w:rsidR="005326A6" w:rsidRPr="003E335B" w:rsidTr="00C52B12">
        <w:tc>
          <w:tcPr>
            <w:tcW w:w="5778" w:type="dxa"/>
            <w:shd w:val="clear" w:color="auto" w:fill="B8CCE4" w:themeFill="accent1" w:themeFillTint="66"/>
            <w:hideMark/>
          </w:tcPr>
          <w:p w:rsidR="005326A6" w:rsidRPr="003E335B" w:rsidRDefault="005326A6" w:rsidP="000D70EC">
            <w:pPr>
              <w:spacing w:after="100" w:line="240" w:lineRule="auto"/>
              <w:ind w:left="180"/>
              <w:rPr>
                <w:rFonts w:asciiTheme="minorHAnsi" w:hAnsiTheme="minorHAnsi" w:cs="Arial"/>
                <w:sz w:val="20"/>
                <w:szCs w:val="20"/>
              </w:rPr>
            </w:pPr>
            <w:r>
              <w:rPr>
                <w:rFonts w:asciiTheme="minorHAnsi" w:hAnsiTheme="minorHAnsi" w:cs="Arial"/>
                <w:sz w:val="20"/>
                <w:szCs w:val="20"/>
              </w:rPr>
              <w:t>Currency collars</w:t>
            </w:r>
          </w:p>
        </w:tc>
        <w:tc>
          <w:tcPr>
            <w:tcW w:w="1410" w:type="dxa"/>
            <w:shd w:val="clear" w:color="auto" w:fill="B8CCE4" w:themeFill="accent1" w:themeFillTint="66"/>
            <w:vAlign w:val="center"/>
          </w:tcPr>
          <w:p w:rsidR="005326A6"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12</w:t>
            </w:r>
          </w:p>
        </w:tc>
        <w:tc>
          <w:tcPr>
            <w:tcW w:w="970" w:type="dxa"/>
            <w:shd w:val="clear" w:color="auto" w:fill="B8CCE4" w:themeFill="accent1" w:themeFillTint="66"/>
            <w:vAlign w:val="center"/>
          </w:tcPr>
          <w:p w:rsidR="005326A6"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970" w:type="dxa"/>
            <w:shd w:val="clear" w:color="auto" w:fill="B8CCE4" w:themeFill="accent1" w:themeFillTint="66"/>
            <w:vAlign w:val="center"/>
          </w:tcPr>
          <w:p w:rsidR="005326A6"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12</w:t>
            </w:r>
          </w:p>
        </w:tc>
        <w:tc>
          <w:tcPr>
            <w:tcW w:w="970" w:type="dxa"/>
            <w:shd w:val="clear" w:color="auto" w:fill="B8CCE4" w:themeFill="accent1" w:themeFillTint="66"/>
            <w:vAlign w:val="center"/>
          </w:tcPr>
          <w:p w:rsidR="005326A6"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r>
      <w:tr w:rsidR="0077262A" w:rsidRPr="003E335B" w:rsidTr="00C52B12">
        <w:tc>
          <w:tcPr>
            <w:tcW w:w="5778" w:type="dxa"/>
            <w:shd w:val="clear" w:color="auto" w:fill="auto"/>
            <w:hideMark/>
          </w:tcPr>
          <w:p w:rsidR="0077262A" w:rsidRPr="003E335B" w:rsidRDefault="005326A6" w:rsidP="000D70EC">
            <w:pPr>
              <w:spacing w:after="100" w:line="240" w:lineRule="auto"/>
              <w:ind w:left="180"/>
              <w:rPr>
                <w:rFonts w:asciiTheme="minorHAnsi" w:hAnsiTheme="minorHAnsi" w:cs="Arial"/>
                <w:sz w:val="20"/>
                <w:szCs w:val="20"/>
              </w:rPr>
            </w:pPr>
            <w:r>
              <w:rPr>
                <w:rFonts w:asciiTheme="minorHAnsi" w:hAnsiTheme="minorHAnsi" w:cs="Arial"/>
                <w:sz w:val="20"/>
                <w:szCs w:val="20"/>
              </w:rPr>
              <w:t>Purchased currency options</w:t>
            </w:r>
          </w:p>
        </w:tc>
        <w:tc>
          <w:tcPr>
            <w:tcW w:w="1410" w:type="dxa"/>
            <w:shd w:val="clear" w:color="auto" w:fill="auto"/>
            <w:vAlign w:val="center"/>
          </w:tcPr>
          <w:p w:rsidR="0077262A"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2</w:t>
            </w:r>
          </w:p>
        </w:tc>
        <w:tc>
          <w:tcPr>
            <w:tcW w:w="970" w:type="dxa"/>
            <w:shd w:val="clear" w:color="auto" w:fill="auto"/>
            <w:vAlign w:val="center"/>
          </w:tcPr>
          <w:p w:rsidR="0077262A"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970" w:type="dxa"/>
            <w:shd w:val="clear" w:color="auto" w:fill="auto"/>
            <w:vAlign w:val="center"/>
          </w:tcPr>
          <w:p w:rsidR="0077262A"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2</w:t>
            </w:r>
          </w:p>
        </w:tc>
        <w:tc>
          <w:tcPr>
            <w:tcW w:w="970" w:type="dxa"/>
            <w:shd w:val="clear" w:color="auto" w:fill="auto"/>
            <w:vAlign w:val="center"/>
          </w:tcPr>
          <w:p w:rsidR="0077262A"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r>
      <w:tr w:rsidR="00C52B12" w:rsidRPr="003E335B" w:rsidTr="00C52B12">
        <w:tc>
          <w:tcPr>
            <w:tcW w:w="5778" w:type="dxa"/>
            <w:shd w:val="clear" w:color="auto" w:fill="B8CCE4" w:themeFill="accent1" w:themeFillTint="66"/>
            <w:hideMark/>
          </w:tcPr>
          <w:p w:rsidR="00C52B12" w:rsidRPr="003E335B" w:rsidRDefault="00C52B12"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Available-for-sale financial assets</w:t>
            </w:r>
          </w:p>
        </w:tc>
        <w:tc>
          <w:tcPr>
            <w:tcW w:w="1410" w:type="dxa"/>
            <w:shd w:val="clear" w:color="auto" w:fill="B8CCE4" w:themeFill="accent1" w:themeFillTint="66"/>
          </w:tcPr>
          <w:p w:rsidR="00C52B12" w:rsidRPr="003E335B" w:rsidRDefault="00C52B12" w:rsidP="000D70EC">
            <w:pPr>
              <w:spacing w:after="100" w:line="240" w:lineRule="auto"/>
              <w:rPr>
                <w:rFonts w:asciiTheme="minorHAnsi" w:hAnsiTheme="minorHAnsi" w:cs="Arial"/>
                <w:sz w:val="20"/>
                <w:szCs w:val="20"/>
              </w:rPr>
            </w:pPr>
          </w:p>
        </w:tc>
        <w:tc>
          <w:tcPr>
            <w:tcW w:w="970" w:type="dxa"/>
            <w:shd w:val="clear" w:color="auto" w:fill="B8CCE4" w:themeFill="accent1" w:themeFillTint="66"/>
          </w:tcPr>
          <w:p w:rsidR="00C52B12" w:rsidRPr="003E335B" w:rsidRDefault="00C52B12" w:rsidP="000D70EC">
            <w:pPr>
              <w:spacing w:after="100" w:line="240" w:lineRule="auto"/>
              <w:rPr>
                <w:rFonts w:asciiTheme="minorHAnsi" w:hAnsiTheme="minorHAnsi" w:cs="Arial"/>
                <w:sz w:val="20"/>
                <w:szCs w:val="20"/>
              </w:rPr>
            </w:pPr>
          </w:p>
        </w:tc>
        <w:tc>
          <w:tcPr>
            <w:tcW w:w="970" w:type="dxa"/>
            <w:shd w:val="clear" w:color="auto" w:fill="B8CCE4" w:themeFill="accent1" w:themeFillTint="66"/>
          </w:tcPr>
          <w:p w:rsidR="00C52B12" w:rsidRPr="003E335B" w:rsidRDefault="00C52B12" w:rsidP="000D70EC">
            <w:pPr>
              <w:spacing w:after="100" w:line="240" w:lineRule="auto"/>
              <w:rPr>
                <w:rFonts w:asciiTheme="minorHAnsi" w:hAnsiTheme="minorHAnsi" w:cs="Arial"/>
                <w:sz w:val="20"/>
                <w:szCs w:val="20"/>
              </w:rPr>
            </w:pPr>
          </w:p>
        </w:tc>
        <w:tc>
          <w:tcPr>
            <w:tcW w:w="970" w:type="dxa"/>
            <w:shd w:val="clear" w:color="auto" w:fill="B8CCE4" w:themeFill="accent1" w:themeFillTint="66"/>
          </w:tcPr>
          <w:p w:rsidR="00C52B12" w:rsidRPr="003E335B" w:rsidRDefault="00C52B12" w:rsidP="000D70EC">
            <w:pPr>
              <w:spacing w:after="100" w:line="240" w:lineRule="auto"/>
              <w:rPr>
                <w:rFonts w:asciiTheme="minorHAnsi" w:hAnsiTheme="minorHAnsi" w:cs="Arial"/>
                <w:sz w:val="20"/>
                <w:szCs w:val="20"/>
              </w:rPr>
            </w:pPr>
          </w:p>
        </w:tc>
      </w:tr>
      <w:tr w:rsidR="00847BCE" w:rsidRPr="003E335B" w:rsidTr="00C52B12">
        <w:tc>
          <w:tcPr>
            <w:tcW w:w="5778" w:type="dxa"/>
            <w:shd w:val="clear" w:color="auto" w:fill="auto"/>
            <w:hideMark/>
          </w:tcPr>
          <w:p w:rsidR="00847BCE" w:rsidRPr="003E335B" w:rsidRDefault="00847BCE" w:rsidP="000D70EC">
            <w:pPr>
              <w:spacing w:after="100" w:line="240" w:lineRule="auto"/>
              <w:ind w:left="180"/>
              <w:rPr>
                <w:rFonts w:asciiTheme="minorHAnsi" w:hAnsiTheme="minorHAnsi" w:cs="Arial"/>
                <w:sz w:val="20"/>
                <w:szCs w:val="20"/>
              </w:rPr>
            </w:pPr>
            <w:r w:rsidRPr="003E335B">
              <w:rPr>
                <w:rFonts w:asciiTheme="minorHAnsi" w:hAnsiTheme="minorHAnsi" w:cs="Arial"/>
                <w:sz w:val="20"/>
                <w:szCs w:val="20"/>
              </w:rPr>
              <w:t>Available-for-sale investments – quoted debt and equity securities</w:t>
            </w:r>
          </w:p>
        </w:tc>
        <w:tc>
          <w:tcPr>
            <w:tcW w:w="1410" w:type="dxa"/>
            <w:shd w:val="clear" w:color="auto" w:fill="auto"/>
            <w:vAlign w:val="center"/>
          </w:tcPr>
          <w:p w:rsidR="00847BCE"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438</w:t>
            </w:r>
          </w:p>
        </w:tc>
        <w:tc>
          <w:tcPr>
            <w:tcW w:w="970" w:type="dxa"/>
            <w:shd w:val="clear" w:color="auto" w:fill="auto"/>
            <w:vAlign w:val="center"/>
          </w:tcPr>
          <w:p w:rsidR="00847BCE"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433</w:t>
            </w:r>
          </w:p>
        </w:tc>
        <w:tc>
          <w:tcPr>
            <w:tcW w:w="970" w:type="dxa"/>
            <w:shd w:val="clear" w:color="auto" w:fill="auto"/>
            <w:vAlign w:val="center"/>
          </w:tcPr>
          <w:p w:rsidR="00847BCE" w:rsidRPr="003E335B" w:rsidRDefault="00277785" w:rsidP="00277785">
            <w:pPr>
              <w:spacing w:after="100" w:line="240" w:lineRule="auto"/>
              <w:jc w:val="right"/>
              <w:rPr>
                <w:rFonts w:asciiTheme="minorHAnsi" w:hAnsiTheme="minorHAnsi" w:cs="Arial"/>
                <w:sz w:val="20"/>
                <w:szCs w:val="20"/>
              </w:rPr>
            </w:pPr>
            <w:r>
              <w:rPr>
                <w:rFonts w:asciiTheme="minorHAnsi" w:hAnsiTheme="minorHAnsi" w:cs="Arial"/>
                <w:sz w:val="20"/>
                <w:szCs w:val="20"/>
              </w:rPr>
              <w:t>5</w:t>
            </w:r>
          </w:p>
        </w:tc>
        <w:tc>
          <w:tcPr>
            <w:tcW w:w="970" w:type="dxa"/>
            <w:shd w:val="clear" w:color="auto" w:fill="auto"/>
            <w:vAlign w:val="center"/>
          </w:tcPr>
          <w:p w:rsidR="00847BCE" w:rsidRPr="003E335B" w:rsidRDefault="00277785"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r>
      <w:tr w:rsidR="00847BCE" w:rsidRPr="003E335B" w:rsidTr="00C52B12">
        <w:tc>
          <w:tcPr>
            <w:tcW w:w="5778" w:type="dxa"/>
            <w:shd w:val="clear" w:color="auto" w:fill="B8CCE4" w:themeFill="accent1" w:themeFillTint="66"/>
            <w:hideMark/>
          </w:tcPr>
          <w:p w:rsidR="00847BCE" w:rsidRPr="003E335B" w:rsidRDefault="00847BCE" w:rsidP="000D70EC">
            <w:pPr>
              <w:spacing w:after="100" w:line="240" w:lineRule="auto"/>
              <w:ind w:left="180"/>
              <w:rPr>
                <w:rFonts w:asciiTheme="minorHAnsi" w:hAnsiTheme="minorHAnsi" w:cs="Arial"/>
                <w:sz w:val="20"/>
                <w:szCs w:val="20"/>
              </w:rPr>
            </w:pPr>
            <w:r w:rsidRPr="003E335B">
              <w:rPr>
                <w:rFonts w:asciiTheme="minorHAnsi" w:hAnsiTheme="minorHAnsi" w:cs="Arial"/>
                <w:sz w:val="20"/>
                <w:szCs w:val="20"/>
              </w:rPr>
              <w:t>Available-for-sale investments – unquoted equity securities</w:t>
            </w:r>
          </w:p>
        </w:tc>
        <w:tc>
          <w:tcPr>
            <w:tcW w:w="1410" w:type="dxa"/>
            <w:shd w:val="clear" w:color="auto" w:fill="B8CCE4" w:themeFill="accent1" w:themeFillTint="66"/>
            <w:vAlign w:val="center"/>
          </w:tcPr>
          <w:p w:rsidR="00847BCE"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29</w:t>
            </w:r>
          </w:p>
        </w:tc>
        <w:tc>
          <w:tcPr>
            <w:tcW w:w="970" w:type="dxa"/>
            <w:shd w:val="clear" w:color="auto" w:fill="B8CCE4" w:themeFill="accent1" w:themeFillTint="66"/>
            <w:vAlign w:val="center"/>
          </w:tcPr>
          <w:p w:rsidR="00847BCE"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970" w:type="dxa"/>
            <w:shd w:val="clear" w:color="auto" w:fill="B8CCE4" w:themeFill="accent1" w:themeFillTint="66"/>
            <w:vAlign w:val="center"/>
          </w:tcPr>
          <w:p w:rsidR="00847BCE"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970" w:type="dxa"/>
            <w:shd w:val="clear" w:color="auto" w:fill="B8CCE4" w:themeFill="accent1" w:themeFillTint="66"/>
            <w:vAlign w:val="center"/>
          </w:tcPr>
          <w:p w:rsidR="00847BCE"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29</w:t>
            </w:r>
          </w:p>
        </w:tc>
      </w:tr>
      <w:tr w:rsidR="00C52B12" w:rsidRPr="003E335B" w:rsidTr="00C52B12">
        <w:tc>
          <w:tcPr>
            <w:tcW w:w="5778" w:type="dxa"/>
            <w:shd w:val="clear" w:color="auto" w:fill="auto"/>
            <w:hideMark/>
          </w:tcPr>
          <w:p w:rsidR="00C52B12" w:rsidRPr="003E335B" w:rsidRDefault="00C52B12"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Liabilities measured at fair value</w:t>
            </w:r>
          </w:p>
        </w:tc>
        <w:tc>
          <w:tcPr>
            <w:tcW w:w="1410" w:type="dxa"/>
            <w:shd w:val="clear" w:color="auto" w:fill="auto"/>
          </w:tcPr>
          <w:p w:rsidR="00C52B12" w:rsidRPr="003E335B" w:rsidRDefault="00C52B12" w:rsidP="000D70EC">
            <w:pPr>
              <w:spacing w:after="100" w:line="240" w:lineRule="auto"/>
              <w:rPr>
                <w:rFonts w:asciiTheme="minorHAnsi" w:hAnsiTheme="minorHAnsi" w:cs="Arial"/>
                <w:b/>
                <w:sz w:val="20"/>
                <w:szCs w:val="20"/>
              </w:rPr>
            </w:pPr>
          </w:p>
        </w:tc>
        <w:tc>
          <w:tcPr>
            <w:tcW w:w="970" w:type="dxa"/>
            <w:shd w:val="clear" w:color="auto" w:fill="auto"/>
          </w:tcPr>
          <w:p w:rsidR="00C52B12" w:rsidRPr="003E335B" w:rsidRDefault="00C52B12" w:rsidP="000D70EC">
            <w:pPr>
              <w:spacing w:after="100" w:line="240" w:lineRule="auto"/>
              <w:rPr>
                <w:rFonts w:asciiTheme="minorHAnsi" w:hAnsiTheme="minorHAnsi" w:cs="Arial"/>
                <w:b/>
                <w:sz w:val="20"/>
                <w:szCs w:val="20"/>
              </w:rPr>
            </w:pPr>
          </w:p>
        </w:tc>
        <w:tc>
          <w:tcPr>
            <w:tcW w:w="970" w:type="dxa"/>
            <w:shd w:val="clear" w:color="auto" w:fill="auto"/>
          </w:tcPr>
          <w:p w:rsidR="00C52B12" w:rsidRPr="003E335B" w:rsidRDefault="00C52B12" w:rsidP="000D70EC">
            <w:pPr>
              <w:spacing w:after="100" w:line="240" w:lineRule="auto"/>
              <w:rPr>
                <w:rFonts w:asciiTheme="minorHAnsi" w:hAnsiTheme="minorHAnsi" w:cs="Arial"/>
                <w:b/>
                <w:sz w:val="20"/>
                <w:szCs w:val="20"/>
              </w:rPr>
            </w:pPr>
          </w:p>
        </w:tc>
        <w:tc>
          <w:tcPr>
            <w:tcW w:w="970" w:type="dxa"/>
            <w:shd w:val="clear" w:color="auto" w:fill="auto"/>
          </w:tcPr>
          <w:p w:rsidR="00C52B12" w:rsidRPr="003E335B" w:rsidRDefault="00C52B12" w:rsidP="000D70EC">
            <w:pPr>
              <w:spacing w:after="100" w:line="240" w:lineRule="auto"/>
              <w:rPr>
                <w:rFonts w:asciiTheme="minorHAnsi" w:hAnsiTheme="minorHAnsi" w:cs="Arial"/>
                <w:b/>
                <w:sz w:val="20"/>
                <w:szCs w:val="20"/>
              </w:rPr>
            </w:pPr>
          </w:p>
        </w:tc>
      </w:tr>
      <w:tr w:rsidR="00C52B12" w:rsidRPr="003E335B" w:rsidTr="00C52B12">
        <w:tc>
          <w:tcPr>
            <w:tcW w:w="5778" w:type="dxa"/>
            <w:shd w:val="clear" w:color="auto" w:fill="B8CCE4" w:themeFill="accent1" w:themeFillTint="66"/>
            <w:hideMark/>
          </w:tcPr>
          <w:p w:rsidR="00C52B12" w:rsidRPr="003E335B" w:rsidRDefault="00C52B12"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Financial liabilities at fair value through profit or loss</w:t>
            </w:r>
          </w:p>
        </w:tc>
        <w:tc>
          <w:tcPr>
            <w:tcW w:w="1410" w:type="dxa"/>
            <w:shd w:val="clear" w:color="auto" w:fill="B8CCE4" w:themeFill="accent1" w:themeFillTint="66"/>
          </w:tcPr>
          <w:p w:rsidR="00C52B12" w:rsidRPr="003E335B" w:rsidRDefault="00C52B12" w:rsidP="000D70EC">
            <w:pPr>
              <w:spacing w:after="100" w:line="240" w:lineRule="auto"/>
              <w:rPr>
                <w:rFonts w:asciiTheme="minorHAnsi" w:hAnsiTheme="minorHAnsi" w:cs="Arial"/>
                <w:sz w:val="20"/>
                <w:szCs w:val="20"/>
              </w:rPr>
            </w:pPr>
          </w:p>
        </w:tc>
        <w:tc>
          <w:tcPr>
            <w:tcW w:w="970" w:type="dxa"/>
            <w:shd w:val="clear" w:color="auto" w:fill="B8CCE4" w:themeFill="accent1" w:themeFillTint="66"/>
          </w:tcPr>
          <w:p w:rsidR="00C52B12" w:rsidRPr="003E335B" w:rsidRDefault="00C52B12" w:rsidP="000D70EC">
            <w:pPr>
              <w:spacing w:after="100" w:line="240" w:lineRule="auto"/>
              <w:rPr>
                <w:rFonts w:asciiTheme="minorHAnsi" w:hAnsiTheme="minorHAnsi" w:cs="Arial"/>
                <w:sz w:val="20"/>
                <w:szCs w:val="20"/>
              </w:rPr>
            </w:pPr>
          </w:p>
        </w:tc>
        <w:tc>
          <w:tcPr>
            <w:tcW w:w="970" w:type="dxa"/>
            <w:shd w:val="clear" w:color="auto" w:fill="B8CCE4" w:themeFill="accent1" w:themeFillTint="66"/>
          </w:tcPr>
          <w:p w:rsidR="00C52B12" w:rsidRPr="003E335B" w:rsidRDefault="00C52B12" w:rsidP="000D70EC">
            <w:pPr>
              <w:spacing w:after="100" w:line="240" w:lineRule="auto"/>
              <w:rPr>
                <w:rFonts w:asciiTheme="minorHAnsi" w:hAnsiTheme="minorHAnsi" w:cs="Arial"/>
                <w:sz w:val="20"/>
                <w:szCs w:val="20"/>
              </w:rPr>
            </w:pPr>
          </w:p>
        </w:tc>
        <w:tc>
          <w:tcPr>
            <w:tcW w:w="970" w:type="dxa"/>
            <w:shd w:val="clear" w:color="auto" w:fill="B8CCE4" w:themeFill="accent1" w:themeFillTint="66"/>
          </w:tcPr>
          <w:p w:rsidR="00C52B12" w:rsidRPr="003E335B" w:rsidRDefault="00C52B12" w:rsidP="000D70EC">
            <w:pPr>
              <w:spacing w:after="100" w:line="240" w:lineRule="auto"/>
              <w:rPr>
                <w:rFonts w:asciiTheme="minorHAnsi" w:hAnsiTheme="minorHAnsi" w:cs="Arial"/>
                <w:sz w:val="20"/>
                <w:szCs w:val="20"/>
              </w:rPr>
            </w:pPr>
          </w:p>
        </w:tc>
      </w:tr>
      <w:tr w:rsidR="00847BCE" w:rsidRPr="003E335B" w:rsidTr="00C52B12">
        <w:tc>
          <w:tcPr>
            <w:tcW w:w="5778" w:type="dxa"/>
            <w:tcBorders>
              <w:bottom w:val="single" w:sz="18" w:space="0" w:color="auto"/>
            </w:tcBorders>
            <w:shd w:val="clear" w:color="auto" w:fill="auto"/>
            <w:hideMark/>
          </w:tcPr>
          <w:p w:rsidR="00847BCE" w:rsidRPr="003E335B" w:rsidRDefault="00847BCE" w:rsidP="000D70EC">
            <w:pPr>
              <w:spacing w:after="100" w:line="240" w:lineRule="auto"/>
              <w:ind w:left="180"/>
              <w:rPr>
                <w:rFonts w:asciiTheme="minorHAnsi" w:hAnsiTheme="minorHAnsi" w:cs="Arial"/>
                <w:sz w:val="20"/>
                <w:szCs w:val="20"/>
              </w:rPr>
            </w:pPr>
            <w:r w:rsidRPr="003E335B">
              <w:rPr>
                <w:rFonts w:asciiTheme="minorHAnsi" w:hAnsiTheme="minorHAnsi" w:cs="Arial"/>
                <w:sz w:val="20"/>
                <w:szCs w:val="20"/>
              </w:rPr>
              <w:t>Forward foreign exchange contracts</w:t>
            </w:r>
          </w:p>
        </w:tc>
        <w:tc>
          <w:tcPr>
            <w:tcW w:w="1410" w:type="dxa"/>
            <w:tcBorders>
              <w:bottom w:val="single" w:sz="18" w:space="0" w:color="auto"/>
            </w:tcBorders>
            <w:shd w:val="clear" w:color="auto" w:fill="auto"/>
            <w:vAlign w:val="center"/>
          </w:tcPr>
          <w:p w:rsidR="00847BCE"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2</w:t>
            </w:r>
          </w:p>
        </w:tc>
        <w:tc>
          <w:tcPr>
            <w:tcW w:w="970" w:type="dxa"/>
            <w:tcBorders>
              <w:bottom w:val="single" w:sz="18" w:space="0" w:color="auto"/>
            </w:tcBorders>
            <w:shd w:val="clear" w:color="auto" w:fill="auto"/>
            <w:vAlign w:val="center"/>
          </w:tcPr>
          <w:p w:rsidR="00847BCE"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970" w:type="dxa"/>
            <w:tcBorders>
              <w:bottom w:val="single" w:sz="18" w:space="0" w:color="auto"/>
            </w:tcBorders>
            <w:shd w:val="clear" w:color="auto" w:fill="auto"/>
            <w:vAlign w:val="center"/>
          </w:tcPr>
          <w:p w:rsidR="00847BCE"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2</w:t>
            </w:r>
          </w:p>
        </w:tc>
        <w:tc>
          <w:tcPr>
            <w:tcW w:w="970" w:type="dxa"/>
            <w:tcBorders>
              <w:bottom w:val="single" w:sz="18" w:space="0" w:color="auto"/>
            </w:tcBorders>
            <w:shd w:val="clear" w:color="auto" w:fill="auto"/>
            <w:vAlign w:val="center"/>
          </w:tcPr>
          <w:p w:rsidR="00847BCE" w:rsidRPr="003E335B" w:rsidRDefault="005326A6"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r>
    </w:tbl>
    <w:p w:rsidR="00847BCE" w:rsidRPr="003E335B" w:rsidRDefault="00847BCE" w:rsidP="000D70EC">
      <w:pPr>
        <w:spacing w:after="100" w:line="240" w:lineRule="auto"/>
        <w:rPr>
          <w:rFonts w:asciiTheme="minorHAnsi" w:hAnsiTheme="minorHAnsi" w:cs="Arial"/>
          <w:sz w:val="20"/>
          <w:szCs w:val="20"/>
        </w:rPr>
      </w:pPr>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 xml:space="preserve">During the reporting period ending </w:t>
      </w:r>
      <w:r w:rsidR="00366509" w:rsidRPr="003E335B">
        <w:rPr>
          <w:rFonts w:asciiTheme="minorHAnsi" w:hAnsiTheme="minorHAnsi" w:cs="Arial"/>
          <w:sz w:val="20"/>
          <w:szCs w:val="20"/>
        </w:rPr>
        <w:t>Ju</w:t>
      </w:r>
      <w:r w:rsidR="005326A6">
        <w:rPr>
          <w:rFonts w:asciiTheme="minorHAnsi" w:hAnsiTheme="minorHAnsi" w:cs="Arial"/>
          <w:sz w:val="20"/>
          <w:szCs w:val="20"/>
        </w:rPr>
        <w:t>ly 2</w:t>
      </w:r>
      <w:r w:rsidR="00366509" w:rsidRPr="003E335B">
        <w:rPr>
          <w:rFonts w:asciiTheme="minorHAnsi" w:hAnsiTheme="minorHAnsi" w:cs="Arial"/>
          <w:sz w:val="20"/>
          <w:szCs w:val="20"/>
        </w:rPr>
        <w:t>, 201</w:t>
      </w:r>
      <w:r w:rsidR="005326A6">
        <w:rPr>
          <w:rFonts w:asciiTheme="minorHAnsi" w:hAnsiTheme="minorHAnsi" w:cs="Arial"/>
          <w:sz w:val="20"/>
          <w:szCs w:val="20"/>
        </w:rPr>
        <w:t>1</w:t>
      </w:r>
      <w:r w:rsidRPr="003E335B">
        <w:rPr>
          <w:rFonts w:asciiTheme="minorHAnsi" w:hAnsiTheme="minorHAnsi" w:cs="Arial"/>
          <w:sz w:val="20"/>
          <w:szCs w:val="20"/>
        </w:rPr>
        <w:t>, there was no transfer between Level 1 and Level 2 fair value measurements, and no transfer into Level 3 fair value measurements.</w:t>
      </w:r>
      <w:r w:rsidR="00C62C15">
        <w:rPr>
          <w:rFonts w:asciiTheme="minorHAnsi" w:hAnsiTheme="minorHAnsi" w:cs="Arial"/>
          <w:sz w:val="20"/>
          <w:szCs w:val="20"/>
        </w:rPr>
        <w:t xml:space="preserve"> However, the fair value measurement of the Lehman Brothers notes was considered until December 2010 as a level 3 measurement. Since </w:t>
      </w:r>
      <w:r w:rsidR="008733F0">
        <w:rPr>
          <w:rFonts w:asciiTheme="minorHAnsi" w:hAnsiTheme="minorHAnsi" w:cs="Arial"/>
          <w:sz w:val="20"/>
          <w:szCs w:val="20"/>
        </w:rPr>
        <w:t>the first</w:t>
      </w:r>
      <w:r w:rsidR="00C62C15">
        <w:rPr>
          <w:rFonts w:asciiTheme="minorHAnsi" w:hAnsiTheme="minorHAnsi" w:cs="Arial"/>
          <w:sz w:val="20"/>
          <w:szCs w:val="20"/>
        </w:rPr>
        <w:t xml:space="preserve"> half of 2011, the fair value measurement of the Lehman Brothers notes is based on values observed on the open market and on direct unbinding quotation. This corresponds to a level 2 fair value measurement. The transfer of the Lehman Brothers notes out of the Level 3 category was made just after the recognition of the impairment charge.</w:t>
      </w:r>
    </w:p>
    <w:p w:rsidR="00277785" w:rsidRDefault="00277785">
      <w:pPr>
        <w:spacing w:after="100" w:line="240" w:lineRule="auto"/>
        <w:rPr>
          <w:rFonts w:asciiTheme="minorHAnsi" w:hAnsiTheme="minorHAnsi" w:cs="Arial"/>
          <w:sz w:val="20"/>
          <w:szCs w:val="20"/>
        </w:rPr>
      </w:pPr>
      <w:r>
        <w:rPr>
          <w:rFonts w:asciiTheme="minorHAnsi" w:hAnsiTheme="minorHAnsi" w:cs="Arial"/>
          <w:sz w:val="20"/>
          <w:szCs w:val="20"/>
        </w:rPr>
        <w:br w:type="page"/>
      </w:r>
    </w:p>
    <w:p w:rsidR="008733F0" w:rsidRDefault="00366509">
      <w:pPr>
        <w:spacing w:after="100" w:line="240" w:lineRule="auto"/>
        <w:jc w:val="both"/>
        <w:rPr>
          <w:rFonts w:asciiTheme="minorHAnsi" w:hAnsiTheme="minorHAnsi" w:cs="Arial"/>
          <w:sz w:val="20"/>
          <w:szCs w:val="20"/>
        </w:rPr>
      </w:pPr>
      <w:r w:rsidRPr="003E335B">
        <w:rPr>
          <w:rFonts w:asciiTheme="minorHAnsi" w:hAnsiTheme="minorHAnsi" w:cs="Arial"/>
          <w:sz w:val="20"/>
          <w:szCs w:val="20"/>
        </w:rPr>
        <w:lastRenderedPageBreak/>
        <w:t>F</w:t>
      </w:r>
      <w:r w:rsidR="00847BCE" w:rsidRPr="003E335B">
        <w:rPr>
          <w:rFonts w:asciiTheme="minorHAnsi" w:hAnsiTheme="minorHAnsi" w:cs="Arial"/>
          <w:sz w:val="20"/>
          <w:szCs w:val="20"/>
        </w:rPr>
        <w:t>or assets measured at fair value using significant unobservable inputs (Level 3), the reconciliation between January 1, 20</w:t>
      </w:r>
      <w:r w:rsidR="000C373F" w:rsidRPr="003E335B">
        <w:rPr>
          <w:rFonts w:asciiTheme="minorHAnsi" w:hAnsiTheme="minorHAnsi" w:cs="Arial"/>
          <w:sz w:val="20"/>
          <w:szCs w:val="20"/>
        </w:rPr>
        <w:t>1</w:t>
      </w:r>
      <w:r w:rsidR="00F86571">
        <w:rPr>
          <w:rFonts w:asciiTheme="minorHAnsi" w:hAnsiTheme="minorHAnsi" w:cs="Arial"/>
          <w:sz w:val="20"/>
          <w:szCs w:val="20"/>
        </w:rPr>
        <w:t>1</w:t>
      </w:r>
      <w:r w:rsidR="00A127F8">
        <w:rPr>
          <w:rFonts w:asciiTheme="minorHAnsi" w:hAnsiTheme="minorHAnsi" w:cs="Arial"/>
          <w:sz w:val="20"/>
          <w:szCs w:val="20"/>
        </w:rPr>
        <w:t xml:space="preserve"> </w:t>
      </w:r>
      <w:r w:rsidR="00847BCE" w:rsidRPr="003E335B">
        <w:rPr>
          <w:rFonts w:asciiTheme="minorHAnsi" w:hAnsiTheme="minorHAnsi" w:cs="Arial"/>
          <w:sz w:val="20"/>
          <w:szCs w:val="20"/>
        </w:rPr>
        <w:t xml:space="preserve">and </w:t>
      </w:r>
      <w:r w:rsidR="000C373F" w:rsidRPr="003E335B">
        <w:rPr>
          <w:rFonts w:asciiTheme="minorHAnsi" w:hAnsiTheme="minorHAnsi" w:cs="Arial"/>
          <w:sz w:val="20"/>
          <w:szCs w:val="20"/>
        </w:rPr>
        <w:t>Ju</w:t>
      </w:r>
      <w:r w:rsidR="00F86571">
        <w:rPr>
          <w:rFonts w:asciiTheme="minorHAnsi" w:hAnsiTheme="minorHAnsi" w:cs="Arial"/>
          <w:sz w:val="20"/>
          <w:szCs w:val="20"/>
        </w:rPr>
        <w:t>ly 2</w:t>
      </w:r>
      <w:r w:rsidR="000C373F" w:rsidRPr="003E335B">
        <w:rPr>
          <w:rFonts w:asciiTheme="minorHAnsi" w:hAnsiTheme="minorHAnsi" w:cs="Arial"/>
          <w:sz w:val="20"/>
          <w:szCs w:val="20"/>
        </w:rPr>
        <w:t>, 201</w:t>
      </w:r>
      <w:r w:rsidR="00F86571">
        <w:rPr>
          <w:rFonts w:asciiTheme="minorHAnsi" w:hAnsiTheme="minorHAnsi" w:cs="Arial"/>
          <w:sz w:val="20"/>
          <w:szCs w:val="20"/>
        </w:rPr>
        <w:t>1</w:t>
      </w:r>
      <w:r w:rsidR="00847BCE" w:rsidRPr="003E335B">
        <w:rPr>
          <w:rFonts w:asciiTheme="minorHAnsi" w:hAnsiTheme="minorHAnsi" w:cs="Arial"/>
          <w:sz w:val="20"/>
          <w:szCs w:val="20"/>
        </w:rPr>
        <w:t xml:space="preserve"> is presented as follows:</w:t>
      </w:r>
    </w:p>
    <w:tbl>
      <w:tblPr>
        <w:tblW w:w="10098" w:type="dxa"/>
        <w:tblLook w:val="04A0"/>
      </w:tblPr>
      <w:tblGrid>
        <w:gridCol w:w="7938"/>
        <w:gridCol w:w="2160"/>
      </w:tblGrid>
      <w:tr w:rsidR="00847BCE" w:rsidRPr="003E335B" w:rsidTr="00C52B12">
        <w:tc>
          <w:tcPr>
            <w:tcW w:w="7938" w:type="dxa"/>
            <w:tcBorders>
              <w:bottom w:val="single" w:sz="18" w:space="0" w:color="auto"/>
            </w:tcBorders>
            <w:vAlign w:val="bottom"/>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2160" w:type="dxa"/>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Fair value measurements using significant unobservable inputs (Level 3)</w:t>
            </w:r>
          </w:p>
        </w:tc>
      </w:tr>
      <w:tr w:rsidR="00847BCE" w:rsidRPr="003E335B" w:rsidTr="00C52B12">
        <w:tc>
          <w:tcPr>
            <w:tcW w:w="7938" w:type="dxa"/>
            <w:tcBorders>
              <w:top w:val="single" w:sz="18" w:space="0" w:color="auto"/>
            </w:tcBorders>
            <w:shd w:val="clear" w:color="auto" w:fill="auto"/>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As at January 1, 201</w:t>
            </w:r>
            <w:r w:rsidR="00BE357C" w:rsidRPr="003E335B">
              <w:rPr>
                <w:rFonts w:asciiTheme="minorHAnsi" w:hAnsiTheme="minorHAnsi" w:cs="Arial"/>
                <w:b/>
                <w:sz w:val="20"/>
                <w:szCs w:val="20"/>
              </w:rPr>
              <w:t>1</w:t>
            </w:r>
            <w:r w:rsidR="00EF1BC8" w:rsidRPr="003E335B">
              <w:rPr>
                <w:rFonts w:asciiTheme="minorHAnsi" w:hAnsiTheme="minorHAnsi" w:cs="Arial"/>
                <w:b/>
                <w:sz w:val="20"/>
                <w:szCs w:val="20"/>
              </w:rPr>
              <w:t xml:space="preserve"> (audited)</w:t>
            </w:r>
          </w:p>
        </w:tc>
        <w:tc>
          <w:tcPr>
            <w:tcW w:w="2160" w:type="dxa"/>
            <w:tcBorders>
              <w:top w:val="single" w:sz="18" w:space="0" w:color="auto"/>
            </w:tcBorders>
            <w:shd w:val="clear" w:color="auto" w:fill="auto"/>
            <w:vAlign w:val="center"/>
            <w:hideMark/>
          </w:tcPr>
          <w:p w:rsidR="00847BCE" w:rsidRPr="003E335B" w:rsidRDefault="00277785"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111</w:t>
            </w:r>
          </w:p>
        </w:tc>
      </w:tr>
      <w:tr w:rsidR="00847BCE" w:rsidRPr="003E335B" w:rsidTr="00C52B12">
        <w:tc>
          <w:tcPr>
            <w:tcW w:w="7938" w:type="dxa"/>
            <w:shd w:val="clear" w:color="auto" w:fill="B8CCE4" w:themeFill="accent1" w:themeFillTint="66"/>
            <w:hideMark/>
          </w:tcPr>
          <w:p w:rsidR="00847BCE" w:rsidRPr="003E335B" w:rsidRDefault="00277785" w:rsidP="000D70EC">
            <w:pPr>
              <w:spacing w:after="100" w:line="240" w:lineRule="auto"/>
              <w:rPr>
                <w:rFonts w:asciiTheme="minorHAnsi" w:hAnsiTheme="minorHAnsi" w:cs="Arial"/>
                <w:sz w:val="20"/>
                <w:szCs w:val="20"/>
              </w:rPr>
            </w:pPr>
            <w:r>
              <w:rPr>
                <w:rFonts w:asciiTheme="minorHAnsi" w:hAnsiTheme="minorHAnsi" w:cs="Arial"/>
                <w:sz w:val="20"/>
                <w:szCs w:val="20"/>
              </w:rPr>
              <w:t>Impairment charge on Senior debt Floating rate note issued by Lehman Brothers</w:t>
            </w:r>
          </w:p>
        </w:tc>
        <w:tc>
          <w:tcPr>
            <w:tcW w:w="2160" w:type="dxa"/>
            <w:shd w:val="clear" w:color="auto" w:fill="B8CCE4" w:themeFill="accent1" w:themeFillTint="66"/>
            <w:vAlign w:val="center"/>
          </w:tcPr>
          <w:p w:rsidR="00847BCE" w:rsidRPr="003E335B" w:rsidRDefault="00277785" w:rsidP="000D70EC">
            <w:pPr>
              <w:spacing w:after="100" w:line="240" w:lineRule="auto"/>
              <w:jc w:val="right"/>
              <w:rPr>
                <w:rFonts w:asciiTheme="minorHAnsi" w:hAnsiTheme="minorHAnsi" w:cs="Arial"/>
                <w:sz w:val="20"/>
                <w:szCs w:val="20"/>
              </w:rPr>
            </w:pPr>
            <w:r>
              <w:rPr>
                <w:rFonts w:asciiTheme="minorHAnsi" w:hAnsiTheme="minorHAnsi" w:cs="Arial"/>
                <w:sz w:val="20"/>
                <w:szCs w:val="20"/>
              </w:rPr>
              <w:t>(5)</w:t>
            </w:r>
          </w:p>
        </w:tc>
      </w:tr>
      <w:tr w:rsidR="00847BCE" w:rsidRPr="003E335B" w:rsidTr="00C52B12">
        <w:tc>
          <w:tcPr>
            <w:tcW w:w="7938" w:type="dxa"/>
            <w:shd w:val="clear" w:color="auto" w:fill="auto"/>
            <w:hideMark/>
          </w:tcPr>
          <w:p w:rsidR="00847BCE" w:rsidRPr="003E335B" w:rsidRDefault="00277785" w:rsidP="000D70EC">
            <w:pPr>
              <w:spacing w:after="100" w:line="240" w:lineRule="auto"/>
              <w:rPr>
                <w:rFonts w:asciiTheme="minorHAnsi" w:hAnsiTheme="minorHAnsi" w:cs="Arial"/>
                <w:sz w:val="20"/>
                <w:szCs w:val="20"/>
              </w:rPr>
            </w:pPr>
            <w:r>
              <w:rPr>
                <w:rFonts w:asciiTheme="minorHAnsi" w:hAnsiTheme="minorHAnsi" w:cs="Arial"/>
                <w:sz w:val="20"/>
                <w:szCs w:val="20"/>
              </w:rPr>
              <w:t>Settlement on Auction Rate Securities</w:t>
            </w:r>
          </w:p>
        </w:tc>
        <w:tc>
          <w:tcPr>
            <w:tcW w:w="2160" w:type="dxa"/>
            <w:shd w:val="clear" w:color="auto" w:fill="auto"/>
            <w:vAlign w:val="center"/>
          </w:tcPr>
          <w:p w:rsidR="00847BCE" w:rsidRPr="003E335B" w:rsidRDefault="00277785" w:rsidP="000D70EC">
            <w:pPr>
              <w:spacing w:after="100" w:line="240" w:lineRule="auto"/>
              <w:jc w:val="right"/>
              <w:rPr>
                <w:rFonts w:asciiTheme="minorHAnsi" w:hAnsiTheme="minorHAnsi" w:cs="Arial"/>
                <w:sz w:val="20"/>
                <w:szCs w:val="20"/>
              </w:rPr>
            </w:pPr>
            <w:r>
              <w:rPr>
                <w:rFonts w:asciiTheme="minorHAnsi" w:hAnsiTheme="minorHAnsi" w:cs="Arial"/>
                <w:sz w:val="20"/>
                <w:szCs w:val="20"/>
              </w:rPr>
              <w:t>(72)</w:t>
            </w:r>
          </w:p>
        </w:tc>
      </w:tr>
      <w:tr w:rsidR="00847BCE" w:rsidRPr="003E335B" w:rsidTr="00C52B12">
        <w:tc>
          <w:tcPr>
            <w:tcW w:w="7938" w:type="dxa"/>
            <w:shd w:val="clear" w:color="auto" w:fill="B8CCE4" w:themeFill="accent1" w:themeFillTint="66"/>
            <w:hideMark/>
          </w:tcPr>
          <w:p w:rsidR="00847BCE" w:rsidRPr="003E335B" w:rsidRDefault="00277785" w:rsidP="000D70EC">
            <w:pPr>
              <w:spacing w:after="100" w:line="240" w:lineRule="auto"/>
              <w:rPr>
                <w:rFonts w:asciiTheme="minorHAnsi" w:hAnsiTheme="minorHAnsi" w:cs="Arial"/>
                <w:sz w:val="20"/>
                <w:szCs w:val="20"/>
              </w:rPr>
            </w:pPr>
            <w:r>
              <w:rPr>
                <w:rFonts w:asciiTheme="minorHAnsi" w:hAnsiTheme="minorHAnsi" w:cs="Arial"/>
                <w:sz w:val="20"/>
                <w:szCs w:val="20"/>
              </w:rPr>
              <w:t>Transfer of Senior debt Floating rate note issued by Lehman Brothers to level 2 fair value hierarchy</w:t>
            </w:r>
          </w:p>
        </w:tc>
        <w:tc>
          <w:tcPr>
            <w:tcW w:w="2160" w:type="dxa"/>
            <w:shd w:val="clear" w:color="auto" w:fill="B8CCE4" w:themeFill="accent1" w:themeFillTint="66"/>
            <w:vAlign w:val="center"/>
          </w:tcPr>
          <w:p w:rsidR="00847BCE" w:rsidRPr="003E335B" w:rsidRDefault="00277785" w:rsidP="000D70EC">
            <w:pPr>
              <w:spacing w:after="100" w:line="240" w:lineRule="auto"/>
              <w:jc w:val="right"/>
              <w:rPr>
                <w:rFonts w:asciiTheme="minorHAnsi" w:hAnsiTheme="minorHAnsi" w:cs="Arial"/>
                <w:sz w:val="20"/>
                <w:szCs w:val="20"/>
              </w:rPr>
            </w:pPr>
            <w:r>
              <w:rPr>
                <w:rFonts w:asciiTheme="minorHAnsi" w:hAnsiTheme="minorHAnsi" w:cs="Arial"/>
                <w:sz w:val="20"/>
                <w:szCs w:val="20"/>
              </w:rPr>
              <w:t>(5)</w:t>
            </w:r>
          </w:p>
        </w:tc>
      </w:tr>
      <w:tr w:rsidR="00366509" w:rsidRPr="003E335B" w:rsidTr="00C52B12">
        <w:tc>
          <w:tcPr>
            <w:tcW w:w="7938" w:type="dxa"/>
            <w:shd w:val="clear" w:color="auto" w:fill="auto"/>
            <w:hideMark/>
          </w:tcPr>
          <w:p w:rsidR="00366509" w:rsidRPr="003E335B" w:rsidRDefault="00277785" w:rsidP="000D70EC">
            <w:pPr>
              <w:spacing w:after="100" w:line="240" w:lineRule="auto"/>
              <w:rPr>
                <w:rFonts w:asciiTheme="minorHAnsi" w:hAnsiTheme="minorHAnsi" w:cs="Arial"/>
                <w:sz w:val="20"/>
                <w:szCs w:val="20"/>
              </w:rPr>
            </w:pPr>
            <w:r>
              <w:rPr>
                <w:rFonts w:asciiTheme="minorHAnsi" w:hAnsiTheme="minorHAnsi" w:cs="Arial"/>
                <w:sz w:val="20"/>
                <w:szCs w:val="20"/>
              </w:rPr>
              <w:t>Veredus buy-out option</w:t>
            </w:r>
          </w:p>
        </w:tc>
        <w:tc>
          <w:tcPr>
            <w:tcW w:w="2160" w:type="dxa"/>
            <w:tcBorders>
              <w:bottom w:val="single" w:sz="18" w:space="0" w:color="auto"/>
            </w:tcBorders>
            <w:shd w:val="clear" w:color="auto" w:fill="auto"/>
            <w:vAlign w:val="center"/>
          </w:tcPr>
          <w:p w:rsidR="00366509" w:rsidRPr="003E335B" w:rsidRDefault="00277785" w:rsidP="000D70EC">
            <w:pPr>
              <w:spacing w:after="100" w:line="240" w:lineRule="auto"/>
              <w:jc w:val="right"/>
              <w:rPr>
                <w:rFonts w:asciiTheme="minorHAnsi" w:hAnsiTheme="minorHAnsi" w:cs="Arial"/>
                <w:sz w:val="20"/>
                <w:szCs w:val="20"/>
              </w:rPr>
            </w:pPr>
            <w:r>
              <w:rPr>
                <w:rFonts w:asciiTheme="minorHAnsi" w:hAnsiTheme="minorHAnsi" w:cs="Arial"/>
                <w:sz w:val="20"/>
                <w:szCs w:val="20"/>
              </w:rPr>
              <w:t>5</w:t>
            </w:r>
          </w:p>
        </w:tc>
      </w:tr>
      <w:tr w:rsidR="00847BCE" w:rsidRPr="003E335B" w:rsidTr="00C52B12">
        <w:tc>
          <w:tcPr>
            <w:tcW w:w="793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As at Ju</w:t>
            </w:r>
            <w:r w:rsidR="00BE357C" w:rsidRPr="003E335B">
              <w:rPr>
                <w:rFonts w:asciiTheme="minorHAnsi" w:hAnsiTheme="minorHAnsi" w:cs="Arial"/>
                <w:b/>
                <w:sz w:val="20"/>
                <w:szCs w:val="20"/>
              </w:rPr>
              <w:t>ly 2</w:t>
            </w:r>
            <w:r w:rsidRPr="003E335B">
              <w:rPr>
                <w:rFonts w:asciiTheme="minorHAnsi" w:hAnsiTheme="minorHAnsi" w:cs="Arial"/>
                <w:b/>
                <w:sz w:val="20"/>
                <w:szCs w:val="20"/>
              </w:rPr>
              <w:t>, 201</w:t>
            </w:r>
            <w:r w:rsidR="00BE357C" w:rsidRPr="003E335B">
              <w:rPr>
                <w:rFonts w:asciiTheme="minorHAnsi" w:hAnsiTheme="minorHAnsi" w:cs="Arial"/>
                <w:b/>
                <w:sz w:val="20"/>
                <w:szCs w:val="20"/>
              </w:rPr>
              <w:t>1</w:t>
            </w:r>
            <w:r w:rsidRPr="003E335B">
              <w:rPr>
                <w:rFonts w:asciiTheme="minorHAnsi" w:hAnsiTheme="minorHAnsi" w:cs="Arial"/>
                <w:b/>
                <w:sz w:val="20"/>
                <w:szCs w:val="20"/>
              </w:rPr>
              <w:t xml:space="preserve"> (unaudited)</w:t>
            </w:r>
          </w:p>
        </w:tc>
        <w:tc>
          <w:tcPr>
            <w:tcW w:w="2160" w:type="dxa"/>
            <w:tcBorders>
              <w:top w:val="single" w:sz="18" w:space="0" w:color="auto"/>
            </w:tcBorders>
            <w:shd w:val="clear" w:color="auto" w:fill="B8CCE4" w:themeFill="accent1" w:themeFillTint="66"/>
            <w:vAlign w:val="center"/>
          </w:tcPr>
          <w:p w:rsidR="00847BCE" w:rsidRPr="003E335B" w:rsidRDefault="00277785"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34</w:t>
            </w:r>
          </w:p>
        </w:tc>
      </w:tr>
      <w:tr w:rsidR="00847BCE" w:rsidRPr="003E335B" w:rsidTr="00C52B12">
        <w:tc>
          <w:tcPr>
            <w:tcW w:w="7938" w:type="dxa"/>
            <w:tcBorders>
              <w:bottom w:val="single" w:sz="18" w:space="0" w:color="auto"/>
            </w:tcBorders>
            <w:shd w:val="clear" w:color="auto" w:fill="auto"/>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Amount of total losses for the period included in the income statement attributable to assets still held at the reporting date</w:t>
            </w:r>
          </w:p>
        </w:tc>
        <w:tc>
          <w:tcPr>
            <w:tcW w:w="2160" w:type="dxa"/>
            <w:tcBorders>
              <w:bottom w:val="single" w:sz="18" w:space="0" w:color="auto"/>
            </w:tcBorders>
            <w:shd w:val="clear" w:color="auto" w:fill="auto"/>
            <w:vAlign w:val="center"/>
          </w:tcPr>
          <w:p w:rsidR="00847BCE" w:rsidRPr="003E335B" w:rsidRDefault="00277785" w:rsidP="000D70EC">
            <w:pPr>
              <w:spacing w:after="100" w:line="240" w:lineRule="auto"/>
              <w:jc w:val="right"/>
              <w:rPr>
                <w:rFonts w:asciiTheme="minorHAnsi" w:hAnsiTheme="minorHAnsi" w:cs="Arial"/>
                <w:sz w:val="20"/>
                <w:szCs w:val="20"/>
              </w:rPr>
            </w:pPr>
            <w:r>
              <w:rPr>
                <w:rFonts w:asciiTheme="minorHAnsi" w:hAnsiTheme="minorHAnsi" w:cs="Arial"/>
                <w:sz w:val="20"/>
                <w:szCs w:val="20"/>
              </w:rPr>
              <w:t>(5)</w:t>
            </w:r>
          </w:p>
        </w:tc>
      </w:tr>
    </w:tbl>
    <w:p w:rsidR="009B305E" w:rsidRPr="003E335B" w:rsidRDefault="00847BCE" w:rsidP="000D70EC">
      <w:pPr>
        <w:spacing w:after="100" w:line="240" w:lineRule="auto"/>
        <w:rPr>
          <w:rFonts w:asciiTheme="minorHAnsi" w:eastAsia="Times New Roman" w:hAnsiTheme="minorHAnsi" w:cs="Arial"/>
          <w:b/>
          <w:smallCaps/>
          <w:color w:val="009CDD"/>
          <w:spacing w:val="5"/>
          <w:sz w:val="20"/>
          <w:szCs w:val="20"/>
          <w:lang w:bidi="en-US"/>
        </w:rPr>
      </w:pPr>
      <w:bookmarkStart w:id="176" w:name="_Toc258421344"/>
      <w:bookmarkStart w:id="177" w:name="_Toc257898984"/>
      <w:r w:rsidRPr="003E335B">
        <w:rPr>
          <w:rFonts w:asciiTheme="minorHAnsi" w:hAnsiTheme="minorHAnsi" w:cs="Arial"/>
          <w:sz w:val="20"/>
          <w:szCs w:val="20"/>
        </w:rPr>
        <w:t xml:space="preserve"> </w:t>
      </w:r>
      <w:bookmarkStart w:id="178" w:name="_Toc265058930"/>
      <w:bookmarkStart w:id="179" w:name="_Toc266868917"/>
      <w:bookmarkStart w:id="180" w:name="_Toc266869133"/>
      <w:bookmarkStart w:id="181" w:name="_Toc266885168"/>
      <w:bookmarkStart w:id="182" w:name="_Toc266886354"/>
    </w:p>
    <w:p w:rsidR="00847BCE" w:rsidRPr="003E335B" w:rsidRDefault="00847BCE" w:rsidP="000D70EC">
      <w:pPr>
        <w:pStyle w:val="Title3"/>
        <w:spacing w:after="100" w:line="240" w:lineRule="auto"/>
        <w:rPr>
          <w:rFonts w:asciiTheme="minorHAnsi" w:hAnsiTheme="minorHAnsi"/>
          <w:sz w:val="20"/>
          <w:szCs w:val="20"/>
        </w:rPr>
      </w:pPr>
      <w:bookmarkStart w:id="183" w:name="_Toc269825399"/>
      <w:bookmarkStart w:id="184" w:name="_Toc297204181"/>
      <w:bookmarkStart w:id="185" w:name="_Toc300834241"/>
      <w:r w:rsidRPr="003E335B">
        <w:rPr>
          <w:rFonts w:asciiTheme="minorHAnsi" w:hAnsiTheme="minorHAnsi"/>
          <w:sz w:val="20"/>
          <w:szCs w:val="20"/>
        </w:rPr>
        <w:t>Inventories</w:t>
      </w:r>
      <w:bookmarkEnd w:id="176"/>
      <w:bookmarkEnd w:id="177"/>
      <w:bookmarkEnd w:id="178"/>
      <w:bookmarkEnd w:id="179"/>
      <w:bookmarkEnd w:id="180"/>
      <w:bookmarkEnd w:id="181"/>
      <w:bookmarkEnd w:id="182"/>
      <w:bookmarkEnd w:id="183"/>
      <w:bookmarkEnd w:id="184"/>
      <w:bookmarkEnd w:id="185"/>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Inventories consisted of the following:</w:t>
      </w:r>
    </w:p>
    <w:tbl>
      <w:tblPr>
        <w:tblW w:w="10098" w:type="dxa"/>
        <w:tblLook w:val="04A0"/>
      </w:tblPr>
      <w:tblGrid>
        <w:gridCol w:w="6408"/>
        <w:gridCol w:w="1845"/>
        <w:gridCol w:w="1845"/>
      </w:tblGrid>
      <w:tr w:rsidR="00847BCE" w:rsidRPr="003E335B" w:rsidTr="00C52B12">
        <w:trPr>
          <w:trHeight w:val="245"/>
        </w:trPr>
        <w:tc>
          <w:tcPr>
            <w:tcW w:w="6408" w:type="dxa"/>
            <w:vMerge w:val="restart"/>
            <w:vAlign w:val="bottom"/>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1845" w:type="dxa"/>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(unaudited)</w:t>
            </w:r>
          </w:p>
        </w:tc>
        <w:tc>
          <w:tcPr>
            <w:tcW w:w="1845" w:type="dxa"/>
            <w:tcBorders>
              <w:bottom w:val="single" w:sz="18" w:space="0" w:color="auto"/>
            </w:tcBorders>
            <w:vAlign w:val="bottom"/>
          </w:tcPr>
          <w:p w:rsidR="00847BCE" w:rsidRPr="003E335B" w:rsidRDefault="00DC4940"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(audited)</w:t>
            </w:r>
          </w:p>
        </w:tc>
      </w:tr>
      <w:tr w:rsidR="00847BCE" w:rsidRPr="003E335B" w:rsidTr="00C52B12">
        <w:trPr>
          <w:trHeight w:val="246"/>
        </w:trPr>
        <w:tc>
          <w:tcPr>
            <w:tcW w:w="6408" w:type="dxa"/>
            <w:vMerge/>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p>
        </w:tc>
        <w:tc>
          <w:tcPr>
            <w:tcW w:w="1845" w:type="dxa"/>
            <w:tcBorders>
              <w:top w:val="single" w:sz="18" w:space="0" w:color="auto"/>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w:t>
            </w:r>
            <w:r w:rsidR="00BE357C" w:rsidRPr="003E335B">
              <w:rPr>
                <w:rFonts w:asciiTheme="minorHAnsi" w:hAnsiTheme="minorHAnsi" w:cs="Arial"/>
                <w:sz w:val="20"/>
                <w:szCs w:val="20"/>
              </w:rPr>
              <w:t>ly</w:t>
            </w:r>
            <w:r w:rsidRPr="003E335B">
              <w:rPr>
                <w:rFonts w:asciiTheme="minorHAnsi" w:hAnsiTheme="minorHAnsi" w:cs="Arial"/>
                <w:sz w:val="20"/>
                <w:szCs w:val="20"/>
              </w:rPr>
              <w:t xml:space="preserve"> 2, 201</w:t>
            </w:r>
            <w:r w:rsidR="00BE357C" w:rsidRPr="003E335B">
              <w:rPr>
                <w:rFonts w:asciiTheme="minorHAnsi" w:hAnsiTheme="minorHAnsi" w:cs="Arial"/>
                <w:sz w:val="20"/>
                <w:szCs w:val="20"/>
              </w:rPr>
              <w:t>1</w:t>
            </w:r>
          </w:p>
        </w:tc>
        <w:tc>
          <w:tcPr>
            <w:tcW w:w="1845" w:type="dxa"/>
            <w:tcBorders>
              <w:top w:val="single" w:sz="18" w:space="0" w:color="auto"/>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December 31, 20</w:t>
            </w:r>
            <w:r w:rsidR="00BE357C" w:rsidRPr="003E335B">
              <w:rPr>
                <w:rFonts w:asciiTheme="minorHAnsi" w:hAnsiTheme="minorHAnsi" w:cs="Arial"/>
                <w:sz w:val="20"/>
                <w:szCs w:val="20"/>
              </w:rPr>
              <w:t>10</w:t>
            </w:r>
          </w:p>
        </w:tc>
      </w:tr>
      <w:tr w:rsidR="00847BCE" w:rsidRPr="003E335B" w:rsidTr="00C52B12">
        <w:trPr>
          <w:trHeight w:val="246"/>
        </w:trPr>
        <w:tc>
          <w:tcPr>
            <w:tcW w:w="6408" w:type="dxa"/>
            <w:tcBorders>
              <w:top w:val="single" w:sz="18" w:space="0" w:color="auto"/>
            </w:tcBorders>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Raw materials</w:t>
            </w:r>
          </w:p>
        </w:tc>
        <w:tc>
          <w:tcPr>
            <w:tcW w:w="1845" w:type="dxa"/>
            <w:tcBorders>
              <w:top w:val="single" w:sz="18" w:space="0" w:color="auto"/>
            </w:tcBorders>
            <w:vAlign w:val="center"/>
          </w:tcPr>
          <w:p w:rsidR="00847BCE" w:rsidRPr="003E335B" w:rsidRDefault="00721521"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106</w:t>
            </w:r>
          </w:p>
        </w:tc>
        <w:tc>
          <w:tcPr>
            <w:tcW w:w="1845" w:type="dxa"/>
            <w:tcBorders>
              <w:top w:val="single" w:sz="18" w:space="0" w:color="auto"/>
            </w:tcBorders>
            <w:vAlign w:val="center"/>
            <w:hideMark/>
          </w:tcPr>
          <w:p w:rsidR="00847BCE" w:rsidRPr="003E335B" w:rsidRDefault="00721521"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80</w:t>
            </w:r>
          </w:p>
        </w:tc>
      </w:tr>
      <w:tr w:rsidR="00847BCE" w:rsidRPr="003E335B" w:rsidTr="00C52B12">
        <w:trPr>
          <w:trHeight w:val="246"/>
        </w:trPr>
        <w:tc>
          <w:tcPr>
            <w:tcW w:w="640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Work-in-process</w:t>
            </w:r>
          </w:p>
        </w:tc>
        <w:tc>
          <w:tcPr>
            <w:tcW w:w="1845" w:type="dxa"/>
            <w:shd w:val="clear" w:color="auto" w:fill="B8CCE4" w:themeFill="accent1" w:themeFillTint="66"/>
            <w:vAlign w:val="center"/>
          </w:tcPr>
          <w:p w:rsidR="00847BCE" w:rsidRPr="003E335B" w:rsidRDefault="00721521"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1,130</w:t>
            </w:r>
          </w:p>
        </w:tc>
        <w:tc>
          <w:tcPr>
            <w:tcW w:w="1845" w:type="dxa"/>
            <w:shd w:val="clear" w:color="auto" w:fill="B8CCE4" w:themeFill="accent1" w:themeFillTint="66"/>
            <w:vAlign w:val="center"/>
            <w:hideMark/>
          </w:tcPr>
          <w:p w:rsidR="00847BCE" w:rsidRPr="003E335B" w:rsidRDefault="00721521"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976</w:t>
            </w:r>
          </w:p>
        </w:tc>
      </w:tr>
      <w:tr w:rsidR="00847BCE" w:rsidRPr="003E335B" w:rsidTr="00C52B12">
        <w:trPr>
          <w:trHeight w:val="246"/>
        </w:trPr>
        <w:tc>
          <w:tcPr>
            <w:tcW w:w="6408" w:type="dxa"/>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Finished products</w:t>
            </w:r>
          </w:p>
        </w:tc>
        <w:tc>
          <w:tcPr>
            <w:tcW w:w="1845" w:type="dxa"/>
            <w:tcBorders>
              <w:bottom w:val="single" w:sz="18" w:space="0" w:color="auto"/>
            </w:tcBorders>
            <w:vAlign w:val="center"/>
          </w:tcPr>
          <w:p w:rsidR="00847BCE" w:rsidRPr="003E335B" w:rsidRDefault="00721521"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519</w:t>
            </w:r>
          </w:p>
        </w:tc>
        <w:tc>
          <w:tcPr>
            <w:tcW w:w="1845" w:type="dxa"/>
            <w:tcBorders>
              <w:bottom w:val="single" w:sz="18" w:space="0" w:color="auto"/>
            </w:tcBorders>
            <w:vAlign w:val="center"/>
            <w:hideMark/>
          </w:tcPr>
          <w:p w:rsidR="00847BCE" w:rsidRPr="003E335B" w:rsidRDefault="00721521"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441</w:t>
            </w:r>
          </w:p>
        </w:tc>
      </w:tr>
      <w:tr w:rsidR="00847BCE" w:rsidRPr="003E335B" w:rsidTr="00C52B12">
        <w:trPr>
          <w:trHeight w:val="246"/>
        </w:trPr>
        <w:tc>
          <w:tcPr>
            <w:tcW w:w="6408" w:type="dxa"/>
            <w:tcBorders>
              <w:bottom w:val="single" w:sz="18" w:space="0" w:color="auto"/>
            </w:tcBorders>
            <w:shd w:val="clear" w:color="auto" w:fill="B8CCE4" w:themeFill="accent1" w:themeFillTint="66"/>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Total</w:t>
            </w:r>
          </w:p>
        </w:tc>
        <w:tc>
          <w:tcPr>
            <w:tcW w:w="1845" w:type="dxa"/>
            <w:tcBorders>
              <w:top w:val="single" w:sz="18" w:space="0" w:color="auto"/>
              <w:bottom w:val="single" w:sz="18" w:space="0" w:color="auto"/>
            </w:tcBorders>
            <w:shd w:val="clear" w:color="auto" w:fill="B8CCE4" w:themeFill="accent1" w:themeFillTint="66"/>
            <w:vAlign w:val="center"/>
          </w:tcPr>
          <w:p w:rsidR="00847BCE" w:rsidRPr="003E335B" w:rsidRDefault="00721521"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1,755</w:t>
            </w:r>
          </w:p>
        </w:tc>
        <w:tc>
          <w:tcPr>
            <w:tcW w:w="1845" w:type="dxa"/>
            <w:tcBorders>
              <w:top w:val="single" w:sz="18" w:space="0" w:color="auto"/>
              <w:bottom w:val="single" w:sz="18" w:space="0" w:color="auto"/>
            </w:tcBorders>
            <w:shd w:val="clear" w:color="auto" w:fill="B8CCE4" w:themeFill="accent1" w:themeFillTint="66"/>
            <w:vAlign w:val="center"/>
            <w:hideMark/>
          </w:tcPr>
          <w:p w:rsidR="00847BCE" w:rsidRPr="003E335B" w:rsidRDefault="00721521"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1,497</w:t>
            </w:r>
          </w:p>
        </w:tc>
      </w:tr>
    </w:tbl>
    <w:p w:rsidR="00847BCE" w:rsidRPr="003E335B" w:rsidRDefault="00847BCE" w:rsidP="000D70EC">
      <w:pPr>
        <w:spacing w:after="100" w:line="240" w:lineRule="auto"/>
        <w:rPr>
          <w:rFonts w:asciiTheme="minorHAnsi" w:hAnsiTheme="minorHAnsi" w:cs="Arial"/>
          <w:sz w:val="20"/>
          <w:szCs w:val="20"/>
        </w:rPr>
      </w:pPr>
    </w:p>
    <w:p w:rsidR="009B305E" w:rsidRPr="003E335B" w:rsidRDefault="009B305E" w:rsidP="000D70EC">
      <w:pPr>
        <w:spacing w:after="100" w:line="240" w:lineRule="auto"/>
        <w:rPr>
          <w:rFonts w:asciiTheme="minorHAnsi" w:eastAsia="Times New Roman" w:hAnsiTheme="minorHAnsi" w:cs="Arial"/>
          <w:b/>
          <w:smallCaps/>
          <w:color w:val="009CDD"/>
          <w:spacing w:val="5"/>
          <w:sz w:val="20"/>
          <w:szCs w:val="20"/>
          <w:lang w:bidi="en-US"/>
        </w:rPr>
      </w:pPr>
      <w:bookmarkStart w:id="186" w:name="_Toc265058931"/>
      <w:bookmarkStart w:id="187" w:name="_Toc258421347"/>
      <w:bookmarkStart w:id="188" w:name="_Toc257898987"/>
      <w:bookmarkStart w:id="189" w:name="_Toc266868918"/>
      <w:bookmarkStart w:id="190" w:name="_Toc266869134"/>
      <w:bookmarkStart w:id="191" w:name="_Toc266885169"/>
      <w:bookmarkStart w:id="192" w:name="_Toc266886355"/>
      <w:r w:rsidRPr="003E335B">
        <w:rPr>
          <w:rFonts w:asciiTheme="minorHAnsi" w:hAnsiTheme="minorHAnsi"/>
          <w:sz w:val="20"/>
          <w:szCs w:val="20"/>
        </w:rPr>
        <w:br w:type="page"/>
      </w:r>
    </w:p>
    <w:p w:rsidR="00847BCE" w:rsidRPr="003E335B" w:rsidRDefault="00847BCE" w:rsidP="000D70EC">
      <w:pPr>
        <w:pStyle w:val="Title3"/>
        <w:spacing w:after="100" w:line="240" w:lineRule="auto"/>
        <w:rPr>
          <w:rFonts w:asciiTheme="minorHAnsi" w:hAnsiTheme="minorHAnsi"/>
          <w:sz w:val="20"/>
          <w:szCs w:val="20"/>
        </w:rPr>
      </w:pPr>
      <w:bookmarkStart w:id="193" w:name="_Toc269825400"/>
      <w:bookmarkStart w:id="194" w:name="_Toc297204182"/>
      <w:bookmarkStart w:id="195" w:name="_Toc300834242"/>
      <w:r w:rsidRPr="003E335B">
        <w:rPr>
          <w:rFonts w:asciiTheme="minorHAnsi" w:hAnsiTheme="minorHAnsi"/>
          <w:sz w:val="20"/>
          <w:szCs w:val="20"/>
        </w:rPr>
        <w:lastRenderedPageBreak/>
        <w:t>Cash and cash equivalents</w:t>
      </w:r>
      <w:bookmarkEnd w:id="186"/>
      <w:bookmarkEnd w:id="187"/>
      <w:bookmarkEnd w:id="188"/>
      <w:bookmarkEnd w:id="189"/>
      <w:bookmarkEnd w:id="190"/>
      <w:bookmarkEnd w:id="191"/>
      <w:bookmarkEnd w:id="192"/>
      <w:bookmarkEnd w:id="193"/>
      <w:bookmarkEnd w:id="194"/>
      <w:bookmarkEnd w:id="195"/>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Cash and cash equivalents consisted of the following:</w:t>
      </w:r>
    </w:p>
    <w:tbl>
      <w:tblPr>
        <w:tblW w:w="10098" w:type="dxa"/>
        <w:tblLook w:val="04A0"/>
      </w:tblPr>
      <w:tblGrid>
        <w:gridCol w:w="6408"/>
        <w:gridCol w:w="1845"/>
        <w:gridCol w:w="1845"/>
      </w:tblGrid>
      <w:tr w:rsidR="00847BCE" w:rsidRPr="003E335B" w:rsidTr="00C52B12">
        <w:tc>
          <w:tcPr>
            <w:tcW w:w="6408" w:type="dxa"/>
            <w:vMerge w:val="restart"/>
            <w:vAlign w:val="bottom"/>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1845" w:type="dxa"/>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(unaudited)</w:t>
            </w:r>
          </w:p>
        </w:tc>
        <w:tc>
          <w:tcPr>
            <w:tcW w:w="1845" w:type="dxa"/>
            <w:tcBorders>
              <w:bottom w:val="single" w:sz="18" w:space="0" w:color="auto"/>
            </w:tcBorders>
            <w:vAlign w:val="bottom"/>
          </w:tcPr>
          <w:p w:rsidR="00847BCE" w:rsidRPr="003E335B" w:rsidRDefault="00DC4940"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(audited)</w:t>
            </w:r>
          </w:p>
        </w:tc>
      </w:tr>
      <w:tr w:rsidR="00BE357C" w:rsidRPr="003E335B" w:rsidTr="00C52B12">
        <w:tc>
          <w:tcPr>
            <w:tcW w:w="6408" w:type="dxa"/>
            <w:vMerge/>
            <w:tcBorders>
              <w:bottom w:val="single" w:sz="18" w:space="0" w:color="auto"/>
            </w:tcBorders>
            <w:vAlign w:val="bottom"/>
            <w:hideMark/>
          </w:tcPr>
          <w:p w:rsidR="00BE357C" w:rsidRPr="003E335B" w:rsidRDefault="00BE357C" w:rsidP="000D70EC">
            <w:pPr>
              <w:spacing w:after="100" w:line="240" w:lineRule="auto"/>
              <w:jc w:val="center"/>
              <w:rPr>
                <w:rFonts w:asciiTheme="minorHAnsi" w:hAnsiTheme="minorHAnsi" w:cs="Arial"/>
                <w:sz w:val="20"/>
                <w:szCs w:val="20"/>
              </w:rPr>
            </w:pPr>
          </w:p>
        </w:tc>
        <w:tc>
          <w:tcPr>
            <w:tcW w:w="1845" w:type="dxa"/>
            <w:tcBorders>
              <w:top w:val="single" w:sz="18" w:space="0" w:color="auto"/>
              <w:bottom w:val="single" w:sz="18" w:space="0" w:color="auto"/>
            </w:tcBorders>
            <w:vAlign w:val="bottom"/>
            <w:hideMark/>
          </w:tcPr>
          <w:p w:rsidR="00BE357C" w:rsidRPr="003E335B" w:rsidRDefault="00BE357C"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July 2, 2011</w:t>
            </w:r>
          </w:p>
        </w:tc>
        <w:tc>
          <w:tcPr>
            <w:tcW w:w="1845" w:type="dxa"/>
            <w:tcBorders>
              <w:top w:val="single" w:sz="18" w:space="0" w:color="auto"/>
              <w:bottom w:val="single" w:sz="18" w:space="0" w:color="auto"/>
            </w:tcBorders>
            <w:vAlign w:val="bottom"/>
            <w:hideMark/>
          </w:tcPr>
          <w:p w:rsidR="00BE357C" w:rsidRPr="003E335B" w:rsidRDefault="00BE357C"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December 31, 2010</w:t>
            </w:r>
          </w:p>
        </w:tc>
      </w:tr>
      <w:tr w:rsidR="00847BCE" w:rsidRPr="003E335B" w:rsidTr="00C52B12">
        <w:tc>
          <w:tcPr>
            <w:tcW w:w="6408" w:type="dxa"/>
            <w:tcBorders>
              <w:top w:val="single" w:sz="18" w:space="0" w:color="auto"/>
            </w:tcBorders>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 xml:space="preserve">Cash at bank and in hand </w:t>
            </w:r>
          </w:p>
        </w:tc>
        <w:tc>
          <w:tcPr>
            <w:tcW w:w="1845" w:type="dxa"/>
            <w:tcBorders>
              <w:top w:val="single" w:sz="18" w:space="0" w:color="auto"/>
            </w:tcBorders>
            <w:vAlign w:val="center"/>
          </w:tcPr>
          <w:p w:rsidR="00847BCE" w:rsidRPr="003E335B" w:rsidRDefault="004561EA" w:rsidP="000D70EC">
            <w:pPr>
              <w:spacing w:after="100" w:line="240" w:lineRule="auto"/>
              <w:jc w:val="right"/>
              <w:rPr>
                <w:rFonts w:asciiTheme="minorHAnsi" w:hAnsiTheme="minorHAnsi" w:cs="Arial"/>
                <w:sz w:val="20"/>
                <w:szCs w:val="20"/>
              </w:rPr>
            </w:pPr>
            <w:r>
              <w:rPr>
                <w:rFonts w:asciiTheme="minorHAnsi" w:hAnsiTheme="minorHAnsi" w:cs="Arial"/>
                <w:sz w:val="20"/>
                <w:szCs w:val="20"/>
              </w:rPr>
              <w:t>492</w:t>
            </w:r>
          </w:p>
        </w:tc>
        <w:tc>
          <w:tcPr>
            <w:tcW w:w="1845" w:type="dxa"/>
            <w:tcBorders>
              <w:top w:val="single" w:sz="18" w:space="0" w:color="auto"/>
            </w:tcBorders>
            <w:vAlign w:val="center"/>
            <w:hideMark/>
          </w:tcPr>
          <w:p w:rsidR="00847BCE" w:rsidRPr="003E335B" w:rsidRDefault="00721521"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220</w:t>
            </w:r>
          </w:p>
        </w:tc>
      </w:tr>
      <w:tr w:rsidR="00847BCE" w:rsidRPr="003E335B" w:rsidTr="00C52B12">
        <w:tc>
          <w:tcPr>
            <w:tcW w:w="640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Deposits at call with banks</w:t>
            </w:r>
          </w:p>
        </w:tc>
        <w:tc>
          <w:tcPr>
            <w:tcW w:w="1845" w:type="dxa"/>
            <w:tcBorders>
              <w:bottom w:val="single" w:sz="18" w:space="0" w:color="auto"/>
            </w:tcBorders>
            <w:shd w:val="clear" w:color="auto" w:fill="B8CCE4" w:themeFill="accent1" w:themeFillTint="66"/>
            <w:vAlign w:val="center"/>
          </w:tcPr>
          <w:p w:rsidR="00847BCE" w:rsidRPr="003E335B" w:rsidRDefault="004561EA" w:rsidP="000D70EC">
            <w:pPr>
              <w:spacing w:after="100" w:line="240" w:lineRule="auto"/>
              <w:jc w:val="right"/>
              <w:rPr>
                <w:rFonts w:asciiTheme="minorHAnsi" w:hAnsiTheme="minorHAnsi" w:cs="Arial"/>
                <w:sz w:val="20"/>
                <w:szCs w:val="20"/>
              </w:rPr>
            </w:pPr>
            <w:r>
              <w:rPr>
                <w:rFonts w:asciiTheme="minorHAnsi" w:hAnsiTheme="minorHAnsi" w:cs="Arial"/>
                <w:sz w:val="20"/>
                <w:szCs w:val="20"/>
              </w:rPr>
              <w:t>1,863</w:t>
            </w:r>
          </w:p>
        </w:tc>
        <w:tc>
          <w:tcPr>
            <w:tcW w:w="1845" w:type="dxa"/>
            <w:tcBorders>
              <w:bottom w:val="single" w:sz="18" w:space="0" w:color="auto"/>
            </w:tcBorders>
            <w:shd w:val="clear" w:color="auto" w:fill="B8CCE4" w:themeFill="accent1" w:themeFillTint="66"/>
            <w:vAlign w:val="center"/>
            <w:hideMark/>
          </w:tcPr>
          <w:p w:rsidR="00847BCE" w:rsidRPr="003E335B" w:rsidRDefault="00721521"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1,672</w:t>
            </w:r>
          </w:p>
        </w:tc>
      </w:tr>
      <w:tr w:rsidR="00847BCE" w:rsidRPr="003E335B" w:rsidTr="00C52B12">
        <w:tc>
          <w:tcPr>
            <w:tcW w:w="6408" w:type="dxa"/>
            <w:tcBorders>
              <w:bottom w:val="single" w:sz="18" w:space="0" w:color="auto"/>
            </w:tcBorders>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Total</w:t>
            </w:r>
          </w:p>
        </w:tc>
        <w:tc>
          <w:tcPr>
            <w:tcW w:w="1845" w:type="dxa"/>
            <w:tcBorders>
              <w:top w:val="single" w:sz="18" w:space="0" w:color="auto"/>
              <w:bottom w:val="single" w:sz="18" w:space="0" w:color="auto"/>
            </w:tcBorders>
            <w:vAlign w:val="center"/>
          </w:tcPr>
          <w:p w:rsidR="00847BCE" w:rsidRPr="003E335B" w:rsidRDefault="00721521"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2,355</w:t>
            </w:r>
          </w:p>
        </w:tc>
        <w:tc>
          <w:tcPr>
            <w:tcW w:w="1845" w:type="dxa"/>
            <w:tcBorders>
              <w:top w:val="single" w:sz="18" w:space="0" w:color="auto"/>
              <w:bottom w:val="single" w:sz="18" w:space="0" w:color="auto"/>
            </w:tcBorders>
            <w:vAlign w:val="center"/>
            <w:hideMark/>
          </w:tcPr>
          <w:p w:rsidR="00847BCE" w:rsidRPr="003E335B" w:rsidRDefault="00721521"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1,892</w:t>
            </w:r>
          </w:p>
        </w:tc>
      </w:tr>
    </w:tbl>
    <w:p w:rsidR="00023BB9" w:rsidRPr="003E335B" w:rsidRDefault="00023BB9" w:rsidP="000D70EC">
      <w:pPr>
        <w:spacing w:after="100" w:line="240" w:lineRule="auto"/>
        <w:rPr>
          <w:rFonts w:asciiTheme="minorHAnsi" w:eastAsia="Times New Roman" w:hAnsiTheme="minorHAnsi" w:cs="Arial"/>
          <w:b/>
          <w:smallCaps/>
          <w:color w:val="009CDD"/>
          <w:spacing w:val="5"/>
          <w:sz w:val="20"/>
          <w:szCs w:val="20"/>
          <w:lang w:bidi="en-US"/>
        </w:rPr>
      </w:pPr>
      <w:bookmarkStart w:id="196" w:name="_Toc265058932"/>
      <w:bookmarkStart w:id="197" w:name="_Toc258421348"/>
      <w:bookmarkStart w:id="198" w:name="_Toc257898988"/>
      <w:bookmarkStart w:id="199" w:name="_Toc266868919"/>
      <w:bookmarkStart w:id="200" w:name="_Toc266869135"/>
      <w:bookmarkStart w:id="201" w:name="_Toc266885170"/>
      <w:bookmarkStart w:id="202" w:name="_Toc266886356"/>
    </w:p>
    <w:p w:rsidR="00847BCE" w:rsidRPr="003E335B" w:rsidRDefault="00847BCE" w:rsidP="000D70EC">
      <w:pPr>
        <w:pStyle w:val="Title3"/>
        <w:spacing w:after="100" w:line="240" w:lineRule="auto"/>
        <w:rPr>
          <w:rFonts w:asciiTheme="minorHAnsi" w:hAnsiTheme="minorHAnsi"/>
          <w:sz w:val="20"/>
          <w:szCs w:val="20"/>
        </w:rPr>
      </w:pPr>
      <w:bookmarkStart w:id="203" w:name="_Toc269825401"/>
      <w:bookmarkStart w:id="204" w:name="_Toc297204183"/>
      <w:bookmarkStart w:id="205" w:name="_Toc300834243"/>
      <w:r w:rsidRPr="003E335B">
        <w:rPr>
          <w:rFonts w:asciiTheme="minorHAnsi" w:hAnsiTheme="minorHAnsi"/>
          <w:sz w:val="20"/>
          <w:szCs w:val="20"/>
        </w:rPr>
        <w:t>Cash generated from operations</w:t>
      </w:r>
      <w:bookmarkEnd w:id="196"/>
      <w:bookmarkEnd w:id="197"/>
      <w:bookmarkEnd w:id="198"/>
      <w:bookmarkEnd w:id="199"/>
      <w:bookmarkEnd w:id="200"/>
      <w:bookmarkEnd w:id="201"/>
      <w:bookmarkEnd w:id="202"/>
      <w:bookmarkEnd w:id="203"/>
      <w:bookmarkEnd w:id="204"/>
      <w:bookmarkEnd w:id="205"/>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Cash generated from operations is detailed as follows:</w:t>
      </w:r>
    </w:p>
    <w:tbl>
      <w:tblPr>
        <w:tblW w:w="10098" w:type="dxa"/>
        <w:tblLook w:val="04A0"/>
      </w:tblPr>
      <w:tblGrid>
        <w:gridCol w:w="6408"/>
        <w:gridCol w:w="1845"/>
        <w:gridCol w:w="1845"/>
      </w:tblGrid>
      <w:tr w:rsidR="00572E99" w:rsidRPr="003E335B" w:rsidTr="00C52B12">
        <w:tc>
          <w:tcPr>
            <w:tcW w:w="6408" w:type="dxa"/>
            <w:vMerge w:val="restart"/>
            <w:vAlign w:val="bottom"/>
            <w:hideMark/>
          </w:tcPr>
          <w:p w:rsidR="00572E99" w:rsidRPr="003E335B" w:rsidRDefault="00572E99"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3690" w:type="dxa"/>
            <w:gridSpan w:val="2"/>
            <w:tcBorders>
              <w:bottom w:val="single" w:sz="18" w:space="0" w:color="auto"/>
            </w:tcBorders>
            <w:vAlign w:val="bottom"/>
            <w:hideMark/>
          </w:tcPr>
          <w:p w:rsidR="00572E99" w:rsidRPr="003E335B" w:rsidRDefault="00572E99"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(unaudited)</w:t>
            </w:r>
          </w:p>
        </w:tc>
      </w:tr>
      <w:tr w:rsidR="00E92C57" w:rsidRPr="003E335B" w:rsidTr="00087079">
        <w:tc>
          <w:tcPr>
            <w:tcW w:w="6408" w:type="dxa"/>
            <w:vMerge/>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p>
        </w:tc>
        <w:tc>
          <w:tcPr>
            <w:tcW w:w="1845" w:type="dxa"/>
            <w:tcBorders>
              <w:top w:val="single" w:sz="18" w:space="0" w:color="auto"/>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w:t>
            </w:r>
            <w:r w:rsidR="00BE357C" w:rsidRPr="003E335B">
              <w:rPr>
                <w:rFonts w:asciiTheme="minorHAnsi" w:hAnsiTheme="minorHAnsi" w:cs="Arial"/>
                <w:sz w:val="20"/>
                <w:szCs w:val="20"/>
              </w:rPr>
              <w:t>ly</w:t>
            </w:r>
            <w:r w:rsidRPr="003E335B">
              <w:rPr>
                <w:rFonts w:asciiTheme="minorHAnsi" w:hAnsiTheme="minorHAnsi" w:cs="Arial"/>
                <w:sz w:val="20"/>
                <w:szCs w:val="20"/>
              </w:rPr>
              <w:t xml:space="preserve"> 2, 201</w:t>
            </w:r>
            <w:r w:rsidR="00BE357C" w:rsidRPr="003E335B">
              <w:rPr>
                <w:rFonts w:asciiTheme="minorHAnsi" w:hAnsiTheme="minorHAnsi" w:cs="Arial"/>
                <w:sz w:val="20"/>
                <w:szCs w:val="20"/>
              </w:rPr>
              <w:t>1</w:t>
            </w:r>
          </w:p>
        </w:tc>
        <w:tc>
          <w:tcPr>
            <w:tcW w:w="1845" w:type="dxa"/>
            <w:tcBorders>
              <w:top w:val="single" w:sz="18" w:space="0" w:color="auto"/>
              <w:bottom w:val="single" w:sz="18" w:space="0" w:color="auto"/>
            </w:tcBorders>
            <w:vAlign w:val="bottom"/>
            <w:hideMark/>
          </w:tcPr>
          <w:p w:rsidR="00847BCE" w:rsidRPr="003E335B" w:rsidRDefault="00572E99"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June 2</w:t>
            </w:r>
            <w:r w:rsidR="00BE357C" w:rsidRPr="003E335B">
              <w:rPr>
                <w:rFonts w:asciiTheme="minorHAnsi" w:hAnsiTheme="minorHAnsi" w:cs="Arial"/>
                <w:sz w:val="20"/>
                <w:szCs w:val="20"/>
              </w:rPr>
              <w:t>6</w:t>
            </w:r>
            <w:r w:rsidRPr="003E335B">
              <w:rPr>
                <w:rFonts w:asciiTheme="minorHAnsi" w:hAnsiTheme="minorHAnsi" w:cs="Arial"/>
                <w:sz w:val="20"/>
                <w:szCs w:val="20"/>
              </w:rPr>
              <w:t>, 20</w:t>
            </w:r>
            <w:r w:rsidR="00BE357C" w:rsidRPr="003E335B">
              <w:rPr>
                <w:rFonts w:asciiTheme="minorHAnsi" w:hAnsiTheme="minorHAnsi" w:cs="Arial"/>
                <w:sz w:val="20"/>
                <w:szCs w:val="20"/>
              </w:rPr>
              <w:t>10</w:t>
            </w:r>
          </w:p>
        </w:tc>
      </w:tr>
      <w:tr w:rsidR="00E92C57" w:rsidRPr="003E335B" w:rsidTr="00087079">
        <w:tc>
          <w:tcPr>
            <w:tcW w:w="6408" w:type="dxa"/>
            <w:tcBorders>
              <w:top w:val="single" w:sz="18" w:space="0" w:color="auto"/>
            </w:tcBorders>
            <w:shd w:val="clear" w:color="auto" w:fill="auto"/>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 xml:space="preserve">Net result </w:t>
            </w:r>
          </w:p>
        </w:tc>
        <w:tc>
          <w:tcPr>
            <w:tcW w:w="1845" w:type="dxa"/>
            <w:tcBorders>
              <w:top w:val="single" w:sz="18" w:space="0" w:color="auto"/>
            </w:tcBorders>
            <w:shd w:val="clear" w:color="auto" w:fill="auto"/>
            <w:vAlign w:val="center"/>
          </w:tcPr>
          <w:p w:rsidR="00847BCE" w:rsidRPr="003E335B" w:rsidRDefault="00E92C57"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44</w:t>
            </w:r>
            <w:r w:rsidR="002D10BE">
              <w:rPr>
                <w:rFonts w:asciiTheme="minorHAnsi" w:hAnsiTheme="minorHAnsi" w:cs="Arial"/>
                <w:b/>
                <w:sz w:val="20"/>
                <w:szCs w:val="20"/>
              </w:rPr>
              <w:t>4</w:t>
            </w:r>
          </w:p>
        </w:tc>
        <w:tc>
          <w:tcPr>
            <w:tcW w:w="1845" w:type="dxa"/>
            <w:tcBorders>
              <w:top w:val="single" w:sz="18" w:space="0" w:color="auto"/>
            </w:tcBorders>
            <w:shd w:val="clear" w:color="auto" w:fill="auto"/>
            <w:vAlign w:val="center"/>
            <w:hideMark/>
          </w:tcPr>
          <w:p w:rsidR="00847BCE" w:rsidRPr="003E335B" w:rsidRDefault="0058410C"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214</w:t>
            </w:r>
          </w:p>
        </w:tc>
      </w:tr>
      <w:tr w:rsidR="00E92C57" w:rsidRPr="003E335B" w:rsidTr="00087079">
        <w:tc>
          <w:tcPr>
            <w:tcW w:w="640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Depreciation and amortization</w:t>
            </w:r>
          </w:p>
        </w:tc>
        <w:tc>
          <w:tcPr>
            <w:tcW w:w="1845" w:type="dxa"/>
            <w:shd w:val="clear" w:color="auto" w:fill="B8CCE4" w:themeFill="accent1" w:themeFillTint="66"/>
            <w:vAlign w:val="center"/>
          </w:tcPr>
          <w:p w:rsidR="00847BCE" w:rsidRPr="003E335B" w:rsidRDefault="00E92C57" w:rsidP="000D70EC">
            <w:pPr>
              <w:spacing w:after="100" w:line="240" w:lineRule="auto"/>
              <w:jc w:val="right"/>
              <w:rPr>
                <w:rFonts w:asciiTheme="minorHAnsi" w:hAnsiTheme="minorHAnsi" w:cs="Arial"/>
                <w:sz w:val="20"/>
                <w:szCs w:val="20"/>
              </w:rPr>
            </w:pPr>
            <w:r>
              <w:rPr>
                <w:rFonts w:asciiTheme="minorHAnsi" w:hAnsiTheme="minorHAnsi" w:cs="Arial"/>
                <w:sz w:val="20"/>
                <w:szCs w:val="20"/>
              </w:rPr>
              <w:t>800</w:t>
            </w:r>
          </w:p>
        </w:tc>
        <w:tc>
          <w:tcPr>
            <w:tcW w:w="1845" w:type="dxa"/>
            <w:shd w:val="clear" w:color="auto" w:fill="B8CCE4" w:themeFill="accent1" w:themeFillTint="66"/>
            <w:vAlign w:val="center"/>
            <w:hideMark/>
          </w:tcPr>
          <w:p w:rsidR="00847BCE" w:rsidRPr="003E335B" w:rsidRDefault="00E92C57" w:rsidP="000D70EC">
            <w:pPr>
              <w:spacing w:after="100" w:line="240" w:lineRule="auto"/>
              <w:jc w:val="right"/>
              <w:rPr>
                <w:rFonts w:asciiTheme="minorHAnsi" w:hAnsiTheme="minorHAnsi" w:cs="Arial"/>
                <w:sz w:val="20"/>
                <w:szCs w:val="20"/>
              </w:rPr>
            </w:pPr>
            <w:r>
              <w:rPr>
                <w:rFonts w:asciiTheme="minorHAnsi" w:hAnsiTheme="minorHAnsi" w:cs="Arial"/>
                <w:sz w:val="20"/>
                <w:szCs w:val="20"/>
              </w:rPr>
              <w:t>745</w:t>
            </w:r>
          </w:p>
        </w:tc>
      </w:tr>
      <w:tr w:rsidR="00E92C57" w:rsidRPr="003E335B" w:rsidTr="00087079">
        <w:tc>
          <w:tcPr>
            <w:tcW w:w="6408" w:type="dxa"/>
            <w:shd w:val="clear" w:color="auto" w:fill="auto"/>
            <w:hideMark/>
          </w:tcPr>
          <w:p w:rsidR="00E92C57" w:rsidRPr="003E335B" w:rsidRDefault="00E92C57" w:rsidP="000D70EC">
            <w:pPr>
              <w:spacing w:after="100" w:line="240" w:lineRule="auto"/>
              <w:rPr>
                <w:rFonts w:asciiTheme="minorHAnsi" w:hAnsiTheme="minorHAnsi" w:cs="Arial"/>
                <w:sz w:val="20"/>
                <w:szCs w:val="20"/>
              </w:rPr>
            </w:pPr>
            <w:r>
              <w:rPr>
                <w:rFonts w:asciiTheme="minorHAnsi" w:hAnsiTheme="minorHAnsi" w:cs="Arial"/>
                <w:sz w:val="20"/>
                <w:szCs w:val="20"/>
              </w:rPr>
              <w:t>Impairment charge and realized gain on financial assets</w:t>
            </w:r>
          </w:p>
        </w:tc>
        <w:tc>
          <w:tcPr>
            <w:tcW w:w="1845" w:type="dxa"/>
            <w:shd w:val="clear" w:color="auto" w:fill="auto"/>
            <w:vAlign w:val="center"/>
          </w:tcPr>
          <w:p w:rsidR="00E92C57" w:rsidRPr="003E335B" w:rsidRDefault="00E92C57" w:rsidP="000D70EC">
            <w:pPr>
              <w:spacing w:after="100" w:line="240" w:lineRule="auto"/>
              <w:jc w:val="right"/>
              <w:rPr>
                <w:rFonts w:asciiTheme="minorHAnsi" w:hAnsiTheme="minorHAnsi" w:cs="Arial"/>
                <w:sz w:val="20"/>
                <w:szCs w:val="20"/>
              </w:rPr>
            </w:pPr>
            <w:r>
              <w:rPr>
                <w:rFonts w:asciiTheme="minorHAnsi" w:hAnsiTheme="minorHAnsi" w:cs="Arial"/>
                <w:sz w:val="20"/>
                <w:szCs w:val="20"/>
              </w:rPr>
              <w:t>(318)</w:t>
            </w:r>
          </w:p>
        </w:tc>
        <w:tc>
          <w:tcPr>
            <w:tcW w:w="1845" w:type="dxa"/>
            <w:shd w:val="clear" w:color="auto" w:fill="auto"/>
            <w:vAlign w:val="center"/>
            <w:hideMark/>
          </w:tcPr>
          <w:p w:rsidR="00E92C57" w:rsidRPr="003E335B" w:rsidRDefault="00E92C57"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r>
      <w:tr w:rsidR="00E92C57" w:rsidRPr="003E335B" w:rsidTr="00087079">
        <w:tc>
          <w:tcPr>
            <w:tcW w:w="6408" w:type="dxa"/>
            <w:shd w:val="clear" w:color="auto" w:fill="B8CCE4" w:themeFill="accent1" w:themeFillTint="66"/>
            <w:hideMark/>
          </w:tcPr>
          <w:p w:rsidR="00847BCE" w:rsidRPr="003E335B" w:rsidRDefault="003F3F1F"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Interest expense on</w:t>
            </w:r>
            <w:r w:rsidR="00847BCE" w:rsidRPr="003E335B">
              <w:rPr>
                <w:rFonts w:asciiTheme="minorHAnsi" w:hAnsiTheme="minorHAnsi" w:cs="Arial"/>
                <w:sz w:val="20"/>
                <w:szCs w:val="20"/>
              </w:rPr>
              <w:t xml:space="preserve"> convertible debt</w:t>
            </w:r>
          </w:p>
        </w:tc>
        <w:tc>
          <w:tcPr>
            <w:tcW w:w="1845" w:type="dxa"/>
            <w:shd w:val="clear" w:color="auto" w:fill="B8CCE4" w:themeFill="accent1" w:themeFillTint="66"/>
            <w:vAlign w:val="center"/>
          </w:tcPr>
          <w:p w:rsidR="00847BCE" w:rsidRPr="003E335B" w:rsidRDefault="00E92C57" w:rsidP="000D70EC">
            <w:pPr>
              <w:spacing w:after="100" w:line="240" w:lineRule="auto"/>
              <w:jc w:val="right"/>
              <w:rPr>
                <w:rFonts w:asciiTheme="minorHAnsi" w:hAnsiTheme="minorHAnsi" w:cs="Arial"/>
                <w:sz w:val="20"/>
                <w:szCs w:val="20"/>
              </w:rPr>
            </w:pPr>
            <w:r>
              <w:rPr>
                <w:rFonts w:asciiTheme="minorHAnsi" w:hAnsiTheme="minorHAnsi" w:cs="Arial"/>
                <w:sz w:val="20"/>
                <w:szCs w:val="20"/>
              </w:rPr>
              <w:t>10</w:t>
            </w:r>
          </w:p>
        </w:tc>
        <w:tc>
          <w:tcPr>
            <w:tcW w:w="1845" w:type="dxa"/>
            <w:shd w:val="clear" w:color="auto" w:fill="B8CCE4" w:themeFill="accent1" w:themeFillTint="66"/>
            <w:vAlign w:val="center"/>
            <w:hideMark/>
          </w:tcPr>
          <w:p w:rsidR="00847BCE" w:rsidRPr="003E335B" w:rsidRDefault="00E92C57" w:rsidP="000D70EC">
            <w:pPr>
              <w:spacing w:after="100" w:line="240" w:lineRule="auto"/>
              <w:jc w:val="right"/>
              <w:rPr>
                <w:rFonts w:asciiTheme="minorHAnsi" w:hAnsiTheme="minorHAnsi" w:cs="Arial"/>
                <w:sz w:val="20"/>
                <w:szCs w:val="20"/>
              </w:rPr>
            </w:pPr>
            <w:r>
              <w:rPr>
                <w:rFonts w:asciiTheme="minorHAnsi" w:hAnsiTheme="minorHAnsi" w:cs="Arial"/>
                <w:sz w:val="20"/>
                <w:szCs w:val="20"/>
              </w:rPr>
              <w:t>15</w:t>
            </w:r>
          </w:p>
        </w:tc>
      </w:tr>
      <w:tr w:rsidR="00E92C57" w:rsidRPr="003E335B" w:rsidTr="00087079">
        <w:tc>
          <w:tcPr>
            <w:tcW w:w="6408" w:type="dxa"/>
            <w:shd w:val="clear" w:color="auto" w:fill="auto"/>
            <w:hideMark/>
          </w:tcPr>
          <w:p w:rsidR="00847BCE" w:rsidRPr="003E335B" w:rsidRDefault="00A127F8" w:rsidP="000D70EC">
            <w:pPr>
              <w:spacing w:after="100" w:line="240" w:lineRule="auto"/>
              <w:rPr>
                <w:rFonts w:asciiTheme="minorHAnsi" w:hAnsiTheme="minorHAnsi" w:cs="Arial"/>
                <w:sz w:val="20"/>
                <w:szCs w:val="20"/>
              </w:rPr>
            </w:pPr>
            <w:r>
              <w:rPr>
                <w:rFonts w:asciiTheme="minorHAnsi" w:hAnsiTheme="minorHAnsi" w:cs="Arial"/>
                <w:sz w:val="20"/>
                <w:szCs w:val="20"/>
              </w:rPr>
              <w:t>Gain</w:t>
            </w:r>
            <w:r w:rsidR="00847BCE" w:rsidRPr="003E335B">
              <w:rPr>
                <w:rFonts w:asciiTheme="minorHAnsi" w:hAnsiTheme="minorHAnsi" w:cs="Arial"/>
                <w:sz w:val="20"/>
                <w:szCs w:val="20"/>
              </w:rPr>
              <w:t xml:space="preserve"> on financial assets</w:t>
            </w:r>
          </w:p>
        </w:tc>
        <w:tc>
          <w:tcPr>
            <w:tcW w:w="1845" w:type="dxa"/>
            <w:shd w:val="clear" w:color="auto" w:fill="auto"/>
            <w:vAlign w:val="center"/>
          </w:tcPr>
          <w:p w:rsidR="00847BCE" w:rsidRPr="003E335B" w:rsidRDefault="00E92C57" w:rsidP="000D70EC">
            <w:pPr>
              <w:spacing w:after="100" w:line="240" w:lineRule="auto"/>
              <w:jc w:val="right"/>
              <w:rPr>
                <w:rFonts w:asciiTheme="minorHAnsi" w:hAnsiTheme="minorHAnsi" w:cs="Arial"/>
                <w:sz w:val="20"/>
                <w:szCs w:val="20"/>
              </w:rPr>
            </w:pPr>
            <w:r>
              <w:rPr>
                <w:rFonts w:asciiTheme="minorHAnsi" w:hAnsiTheme="minorHAnsi" w:cs="Arial"/>
                <w:sz w:val="20"/>
                <w:szCs w:val="20"/>
              </w:rPr>
              <w:t>(21)</w:t>
            </w:r>
          </w:p>
        </w:tc>
        <w:tc>
          <w:tcPr>
            <w:tcW w:w="1845" w:type="dxa"/>
            <w:shd w:val="clear" w:color="auto" w:fill="auto"/>
            <w:vAlign w:val="center"/>
            <w:hideMark/>
          </w:tcPr>
          <w:p w:rsidR="00847BCE" w:rsidRPr="003E335B" w:rsidRDefault="00E92C57" w:rsidP="000D70EC">
            <w:pPr>
              <w:spacing w:after="100" w:line="240" w:lineRule="auto"/>
              <w:jc w:val="right"/>
              <w:rPr>
                <w:rFonts w:asciiTheme="minorHAnsi" w:hAnsiTheme="minorHAnsi" w:cs="Arial"/>
                <w:sz w:val="20"/>
                <w:szCs w:val="20"/>
              </w:rPr>
            </w:pPr>
            <w:r>
              <w:rPr>
                <w:rFonts w:asciiTheme="minorHAnsi" w:hAnsiTheme="minorHAnsi" w:cs="Arial"/>
                <w:sz w:val="20"/>
                <w:szCs w:val="20"/>
              </w:rPr>
              <w:t>(4)</w:t>
            </w:r>
          </w:p>
        </w:tc>
      </w:tr>
      <w:tr w:rsidR="00E92C57" w:rsidRPr="003E335B" w:rsidTr="00087079">
        <w:tc>
          <w:tcPr>
            <w:tcW w:w="640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Loss on convertible debt repurchase</w:t>
            </w:r>
          </w:p>
        </w:tc>
        <w:tc>
          <w:tcPr>
            <w:tcW w:w="1845" w:type="dxa"/>
            <w:shd w:val="clear" w:color="auto" w:fill="B8CCE4" w:themeFill="accent1" w:themeFillTint="66"/>
            <w:vAlign w:val="center"/>
          </w:tcPr>
          <w:p w:rsidR="00847BCE" w:rsidRPr="003E335B" w:rsidRDefault="00E92C57" w:rsidP="000D70EC">
            <w:pPr>
              <w:spacing w:after="100" w:line="240" w:lineRule="auto"/>
              <w:jc w:val="right"/>
              <w:rPr>
                <w:rFonts w:asciiTheme="minorHAnsi" w:hAnsiTheme="minorHAnsi" w:cs="Arial"/>
                <w:sz w:val="20"/>
                <w:szCs w:val="20"/>
              </w:rPr>
            </w:pPr>
            <w:r>
              <w:rPr>
                <w:rFonts w:asciiTheme="minorHAnsi" w:hAnsiTheme="minorHAnsi" w:cs="Arial"/>
                <w:sz w:val="20"/>
                <w:szCs w:val="20"/>
              </w:rPr>
              <w:t>4</w:t>
            </w:r>
          </w:p>
        </w:tc>
        <w:tc>
          <w:tcPr>
            <w:tcW w:w="1845" w:type="dxa"/>
            <w:shd w:val="clear" w:color="auto" w:fill="B8CCE4" w:themeFill="accent1" w:themeFillTint="66"/>
            <w:vAlign w:val="center"/>
            <w:hideMark/>
          </w:tcPr>
          <w:p w:rsidR="00847BCE" w:rsidRPr="003E335B" w:rsidRDefault="00E92C57" w:rsidP="000D70EC">
            <w:pPr>
              <w:spacing w:after="100" w:line="240" w:lineRule="auto"/>
              <w:jc w:val="right"/>
              <w:rPr>
                <w:rFonts w:asciiTheme="minorHAnsi" w:hAnsiTheme="minorHAnsi" w:cs="Arial"/>
                <w:sz w:val="20"/>
                <w:szCs w:val="20"/>
              </w:rPr>
            </w:pPr>
            <w:r>
              <w:rPr>
                <w:rFonts w:asciiTheme="minorHAnsi" w:hAnsiTheme="minorHAnsi" w:cs="Arial"/>
                <w:sz w:val="20"/>
                <w:szCs w:val="20"/>
              </w:rPr>
              <w:t>17</w:t>
            </w:r>
          </w:p>
        </w:tc>
      </w:tr>
      <w:tr w:rsidR="00E92C57" w:rsidRPr="003E335B" w:rsidTr="00087079">
        <w:tc>
          <w:tcPr>
            <w:tcW w:w="6408" w:type="dxa"/>
            <w:shd w:val="clear" w:color="auto" w:fill="auto"/>
            <w:hideMark/>
          </w:tcPr>
          <w:p w:rsidR="00E92C57" w:rsidRPr="003E335B" w:rsidRDefault="00E92C57" w:rsidP="000D70EC">
            <w:pPr>
              <w:spacing w:after="100" w:line="240" w:lineRule="auto"/>
              <w:rPr>
                <w:rFonts w:asciiTheme="minorHAnsi" w:hAnsiTheme="minorHAnsi" w:cs="Arial"/>
                <w:sz w:val="20"/>
                <w:szCs w:val="20"/>
              </w:rPr>
            </w:pPr>
            <w:r>
              <w:rPr>
                <w:rFonts w:asciiTheme="minorHAnsi" w:hAnsiTheme="minorHAnsi" w:cs="Arial"/>
                <w:sz w:val="20"/>
                <w:szCs w:val="20"/>
              </w:rPr>
              <w:t>Stock-based compensation</w:t>
            </w:r>
          </w:p>
        </w:tc>
        <w:tc>
          <w:tcPr>
            <w:tcW w:w="1845" w:type="dxa"/>
            <w:shd w:val="clear" w:color="auto" w:fill="auto"/>
            <w:vAlign w:val="center"/>
          </w:tcPr>
          <w:p w:rsidR="00E92C57" w:rsidRPr="003E335B" w:rsidRDefault="00E92C57" w:rsidP="000D70EC">
            <w:pPr>
              <w:spacing w:after="100" w:line="240" w:lineRule="auto"/>
              <w:jc w:val="right"/>
              <w:rPr>
                <w:rFonts w:asciiTheme="minorHAnsi" w:hAnsiTheme="minorHAnsi" w:cs="Arial"/>
                <w:sz w:val="20"/>
                <w:szCs w:val="20"/>
              </w:rPr>
            </w:pPr>
            <w:r>
              <w:rPr>
                <w:rFonts w:asciiTheme="minorHAnsi" w:hAnsiTheme="minorHAnsi" w:cs="Arial"/>
                <w:sz w:val="20"/>
                <w:szCs w:val="20"/>
              </w:rPr>
              <w:t>16</w:t>
            </w:r>
          </w:p>
        </w:tc>
        <w:tc>
          <w:tcPr>
            <w:tcW w:w="1845" w:type="dxa"/>
            <w:shd w:val="clear" w:color="auto" w:fill="auto"/>
            <w:vAlign w:val="center"/>
            <w:hideMark/>
          </w:tcPr>
          <w:p w:rsidR="00E92C57" w:rsidRPr="003E335B" w:rsidRDefault="00E92C57" w:rsidP="000D70EC">
            <w:pPr>
              <w:spacing w:after="100" w:line="240" w:lineRule="auto"/>
              <w:jc w:val="right"/>
              <w:rPr>
                <w:rFonts w:asciiTheme="minorHAnsi" w:hAnsiTheme="minorHAnsi" w:cs="Arial"/>
                <w:sz w:val="20"/>
                <w:szCs w:val="20"/>
              </w:rPr>
            </w:pPr>
            <w:r>
              <w:rPr>
                <w:rFonts w:asciiTheme="minorHAnsi" w:hAnsiTheme="minorHAnsi" w:cs="Arial"/>
                <w:sz w:val="20"/>
                <w:szCs w:val="20"/>
              </w:rPr>
              <w:t>17</w:t>
            </w:r>
          </w:p>
        </w:tc>
      </w:tr>
      <w:tr w:rsidR="00E92C57" w:rsidRPr="003E335B" w:rsidTr="00087079">
        <w:tc>
          <w:tcPr>
            <w:tcW w:w="6408"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Other non-cash items</w:t>
            </w:r>
          </w:p>
        </w:tc>
        <w:tc>
          <w:tcPr>
            <w:tcW w:w="1845" w:type="dxa"/>
            <w:shd w:val="clear" w:color="auto" w:fill="B8CCE4" w:themeFill="accent1" w:themeFillTint="66"/>
            <w:vAlign w:val="center"/>
          </w:tcPr>
          <w:p w:rsidR="00847BCE" w:rsidRPr="003E335B" w:rsidRDefault="002D10BE" w:rsidP="000D70EC">
            <w:pPr>
              <w:spacing w:after="100" w:line="240" w:lineRule="auto"/>
              <w:jc w:val="right"/>
              <w:rPr>
                <w:rFonts w:asciiTheme="minorHAnsi" w:hAnsiTheme="minorHAnsi" w:cs="Arial"/>
                <w:sz w:val="20"/>
                <w:szCs w:val="20"/>
              </w:rPr>
            </w:pPr>
            <w:r>
              <w:rPr>
                <w:rFonts w:asciiTheme="minorHAnsi" w:hAnsiTheme="minorHAnsi" w:cs="Arial"/>
                <w:sz w:val="20"/>
                <w:szCs w:val="20"/>
              </w:rPr>
              <w:t>(6</w:t>
            </w:r>
            <w:r w:rsidR="00E92C57">
              <w:rPr>
                <w:rFonts w:asciiTheme="minorHAnsi" w:hAnsiTheme="minorHAnsi" w:cs="Arial"/>
                <w:sz w:val="20"/>
                <w:szCs w:val="20"/>
              </w:rPr>
              <w:t>)</w:t>
            </w:r>
          </w:p>
        </w:tc>
        <w:tc>
          <w:tcPr>
            <w:tcW w:w="1845" w:type="dxa"/>
            <w:shd w:val="clear" w:color="auto" w:fill="B8CCE4" w:themeFill="accent1" w:themeFillTint="66"/>
            <w:vAlign w:val="center"/>
            <w:hideMark/>
          </w:tcPr>
          <w:p w:rsidR="00847BCE" w:rsidRPr="003E335B" w:rsidRDefault="00E92C57" w:rsidP="000D70EC">
            <w:pPr>
              <w:spacing w:after="100" w:line="240" w:lineRule="auto"/>
              <w:jc w:val="right"/>
              <w:rPr>
                <w:rFonts w:asciiTheme="minorHAnsi" w:hAnsiTheme="minorHAnsi" w:cs="Arial"/>
                <w:sz w:val="20"/>
                <w:szCs w:val="20"/>
              </w:rPr>
            </w:pPr>
            <w:r>
              <w:rPr>
                <w:rFonts w:asciiTheme="minorHAnsi" w:hAnsiTheme="minorHAnsi" w:cs="Arial"/>
                <w:sz w:val="20"/>
                <w:szCs w:val="20"/>
              </w:rPr>
              <w:t>(10)</w:t>
            </w:r>
          </w:p>
        </w:tc>
      </w:tr>
      <w:tr w:rsidR="00E92C57" w:rsidRPr="003E335B" w:rsidTr="00087079">
        <w:tc>
          <w:tcPr>
            <w:tcW w:w="6408" w:type="dxa"/>
            <w:shd w:val="clear" w:color="auto" w:fill="auto"/>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Deferred income tax</w:t>
            </w:r>
          </w:p>
        </w:tc>
        <w:tc>
          <w:tcPr>
            <w:tcW w:w="1845" w:type="dxa"/>
            <w:shd w:val="clear" w:color="auto" w:fill="auto"/>
            <w:vAlign w:val="center"/>
          </w:tcPr>
          <w:p w:rsidR="00847BCE" w:rsidRPr="003E335B" w:rsidRDefault="00E92C57" w:rsidP="000D70EC">
            <w:pPr>
              <w:spacing w:after="100" w:line="240" w:lineRule="auto"/>
              <w:jc w:val="right"/>
              <w:rPr>
                <w:rFonts w:asciiTheme="minorHAnsi" w:hAnsiTheme="minorHAnsi" w:cs="Arial"/>
                <w:sz w:val="20"/>
                <w:szCs w:val="20"/>
              </w:rPr>
            </w:pPr>
            <w:r>
              <w:rPr>
                <w:rFonts w:asciiTheme="minorHAnsi" w:hAnsiTheme="minorHAnsi" w:cs="Arial"/>
                <w:sz w:val="20"/>
                <w:szCs w:val="20"/>
              </w:rPr>
              <w:t>(4)</w:t>
            </w:r>
          </w:p>
        </w:tc>
        <w:tc>
          <w:tcPr>
            <w:tcW w:w="1845" w:type="dxa"/>
            <w:shd w:val="clear" w:color="auto" w:fill="auto"/>
            <w:vAlign w:val="center"/>
            <w:hideMark/>
          </w:tcPr>
          <w:p w:rsidR="00847BCE" w:rsidRPr="003E335B" w:rsidRDefault="00E92C57" w:rsidP="000D70EC">
            <w:pPr>
              <w:spacing w:after="100" w:line="240" w:lineRule="auto"/>
              <w:jc w:val="right"/>
              <w:rPr>
                <w:rFonts w:asciiTheme="minorHAnsi" w:hAnsiTheme="minorHAnsi" w:cs="Arial"/>
                <w:sz w:val="20"/>
                <w:szCs w:val="20"/>
              </w:rPr>
            </w:pPr>
            <w:r>
              <w:rPr>
                <w:rFonts w:asciiTheme="minorHAnsi" w:hAnsiTheme="minorHAnsi" w:cs="Arial"/>
                <w:sz w:val="20"/>
                <w:szCs w:val="20"/>
              </w:rPr>
              <w:t>1</w:t>
            </w:r>
          </w:p>
        </w:tc>
      </w:tr>
      <w:tr w:rsidR="00E92C57" w:rsidRPr="003E335B" w:rsidTr="00087079">
        <w:tc>
          <w:tcPr>
            <w:tcW w:w="6408" w:type="dxa"/>
            <w:shd w:val="clear" w:color="auto" w:fill="B8CCE4" w:themeFill="accent1" w:themeFillTint="66"/>
            <w:hideMark/>
          </w:tcPr>
          <w:p w:rsidR="00847BCE" w:rsidRPr="003E335B" w:rsidRDefault="00023BB9"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 xml:space="preserve">Share of </w:t>
            </w:r>
            <w:r w:rsidR="00E92C57">
              <w:rPr>
                <w:rFonts w:asciiTheme="minorHAnsi" w:hAnsiTheme="minorHAnsi" w:cs="Arial"/>
                <w:sz w:val="20"/>
                <w:szCs w:val="20"/>
              </w:rPr>
              <w:t xml:space="preserve">(gain) / </w:t>
            </w:r>
            <w:r w:rsidRPr="003E335B">
              <w:rPr>
                <w:rFonts w:asciiTheme="minorHAnsi" w:hAnsiTheme="minorHAnsi" w:cs="Arial"/>
                <w:sz w:val="20"/>
                <w:szCs w:val="20"/>
              </w:rPr>
              <w:t>loss of associate</w:t>
            </w:r>
            <w:r w:rsidR="00E92C57">
              <w:rPr>
                <w:rFonts w:asciiTheme="minorHAnsi" w:hAnsiTheme="minorHAnsi" w:cs="Arial"/>
                <w:sz w:val="20"/>
                <w:szCs w:val="20"/>
              </w:rPr>
              <w:t>s and jointly controlled entities</w:t>
            </w:r>
            <w:r w:rsidRPr="003E335B">
              <w:rPr>
                <w:rFonts w:asciiTheme="minorHAnsi" w:hAnsiTheme="minorHAnsi" w:cs="Arial"/>
                <w:sz w:val="20"/>
                <w:szCs w:val="20"/>
              </w:rPr>
              <w:t xml:space="preserve">, </w:t>
            </w:r>
            <w:r w:rsidR="00847BCE" w:rsidRPr="003E335B">
              <w:rPr>
                <w:rFonts w:asciiTheme="minorHAnsi" w:hAnsiTheme="minorHAnsi" w:cs="Arial"/>
                <w:sz w:val="20"/>
                <w:szCs w:val="20"/>
              </w:rPr>
              <w:t>impairments</w:t>
            </w:r>
            <w:r w:rsidRPr="003E335B">
              <w:rPr>
                <w:rFonts w:asciiTheme="minorHAnsi" w:hAnsiTheme="minorHAnsi" w:cs="Arial"/>
                <w:sz w:val="20"/>
                <w:szCs w:val="20"/>
              </w:rPr>
              <w:t xml:space="preserve"> </w:t>
            </w:r>
            <w:r w:rsidR="005E689B" w:rsidRPr="003E335B">
              <w:rPr>
                <w:rFonts w:asciiTheme="minorHAnsi" w:hAnsiTheme="minorHAnsi" w:cs="Arial"/>
                <w:sz w:val="20"/>
                <w:szCs w:val="20"/>
              </w:rPr>
              <w:t>or</w:t>
            </w:r>
            <w:r w:rsidRPr="003E335B">
              <w:rPr>
                <w:rFonts w:asciiTheme="minorHAnsi" w:hAnsiTheme="minorHAnsi" w:cs="Arial"/>
                <w:sz w:val="20"/>
                <w:szCs w:val="20"/>
              </w:rPr>
              <w:t xml:space="preserve"> reversal of impairments</w:t>
            </w:r>
            <w:r w:rsidR="00847BCE" w:rsidRPr="003E335B">
              <w:rPr>
                <w:rFonts w:asciiTheme="minorHAnsi" w:hAnsiTheme="minorHAnsi" w:cs="Arial"/>
                <w:sz w:val="20"/>
                <w:szCs w:val="20"/>
              </w:rPr>
              <w:t xml:space="preserve"> on investments in associates</w:t>
            </w:r>
          </w:p>
        </w:tc>
        <w:tc>
          <w:tcPr>
            <w:tcW w:w="1845" w:type="dxa"/>
            <w:shd w:val="clear" w:color="auto" w:fill="B8CCE4" w:themeFill="accent1" w:themeFillTint="66"/>
            <w:vAlign w:val="center"/>
          </w:tcPr>
          <w:p w:rsidR="00847BCE" w:rsidRPr="003E335B" w:rsidRDefault="00E92C57" w:rsidP="000D70EC">
            <w:pPr>
              <w:spacing w:after="100" w:line="240" w:lineRule="auto"/>
              <w:jc w:val="right"/>
              <w:rPr>
                <w:rFonts w:asciiTheme="minorHAnsi" w:hAnsiTheme="minorHAnsi" w:cs="Arial"/>
                <w:sz w:val="20"/>
                <w:szCs w:val="20"/>
              </w:rPr>
            </w:pPr>
            <w:r>
              <w:rPr>
                <w:rFonts w:asciiTheme="minorHAnsi" w:hAnsiTheme="minorHAnsi" w:cs="Arial"/>
                <w:sz w:val="20"/>
                <w:szCs w:val="20"/>
              </w:rPr>
              <w:t>15</w:t>
            </w:r>
          </w:p>
        </w:tc>
        <w:tc>
          <w:tcPr>
            <w:tcW w:w="1845" w:type="dxa"/>
            <w:shd w:val="clear" w:color="auto" w:fill="B8CCE4" w:themeFill="accent1" w:themeFillTint="66"/>
            <w:vAlign w:val="center"/>
            <w:hideMark/>
          </w:tcPr>
          <w:p w:rsidR="00847BCE" w:rsidRPr="003E335B" w:rsidRDefault="00E92C57" w:rsidP="000D70EC">
            <w:pPr>
              <w:spacing w:after="100" w:line="240" w:lineRule="auto"/>
              <w:jc w:val="right"/>
              <w:rPr>
                <w:rFonts w:asciiTheme="minorHAnsi" w:hAnsiTheme="minorHAnsi" w:cs="Arial"/>
                <w:sz w:val="20"/>
                <w:szCs w:val="20"/>
              </w:rPr>
            </w:pPr>
            <w:r>
              <w:rPr>
                <w:rFonts w:asciiTheme="minorHAnsi" w:hAnsiTheme="minorHAnsi" w:cs="Arial"/>
                <w:sz w:val="20"/>
                <w:szCs w:val="20"/>
              </w:rPr>
              <w:t>(182)</w:t>
            </w:r>
          </w:p>
        </w:tc>
      </w:tr>
      <w:tr w:rsidR="00E92C57" w:rsidRPr="003E335B" w:rsidTr="00087079">
        <w:tc>
          <w:tcPr>
            <w:tcW w:w="6408" w:type="dxa"/>
            <w:shd w:val="clear" w:color="auto" w:fill="auto"/>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Impairment, restructuring and other related closure costs, net of cash payments</w:t>
            </w:r>
          </w:p>
        </w:tc>
        <w:tc>
          <w:tcPr>
            <w:tcW w:w="1845" w:type="dxa"/>
            <w:shd w:val="clear" w:color="auto" w:fill="auto"/>
            <w:vAlign w:val="center"/>
          </w:tcPr>
          <w:p w:rsidR="00847BCE" w:rsidRPr="003E335B" w:rsidRDefault="009B224C" w:rsidP="000D70EC">
            <w:pPr>
              <w:spacing w:after="100" w:line="240" w:lineRule="auto"/>
              <w:jc w:val="right"/>
              <w:rPr>
                <w:rFonts w:asciiTheme="minorHAnsi" w:hAnsiTheme="minorHAnsi" w:cs="Arial"/>
                <w:sz w:val="20"/>
                <w:szCs w:val="20"/>
              </w:rPr>
            </w:pPr>
            <w:r>
              <w:rPr>
                <w:rFonts w:asciiTheme="minorHAnsi" w:hAnsiTheme="minorHAnsi" w:cs="Arial"/>
                <w:sz w:val="20"/>
                <w:szCs w:val="20"/>
              </w:rPr>
              <w:t>(50)</w:t>
            </w:r>
          </w:p>
        </w:tc>
        <w:tc>
          <w:tcPr>
            <w:tcW w:w="1845" w:type="dxa"/>
            <w:shd w:val="clear" w:color="auto" w:fill="auto"/>
            <w:vAlign w:val="center"/>
            <w:hideMark/>
          </w:tcPr>
          <w:p w:rsidR="00847BCE" w:rsidRPr="003E335B" w:rsidRDefault="009B224C" w:rsidP="009B224C">
            <w:pPr>
              <w:spacing w:after="100" w:line="240" w:lineRule="auto"/>
              <w:jc w:val="right"/>
              <w:rPr>
                <w:rFonts w:asciiTheme="minorHAnsi" w:hAnsiTheme="minorHAnsi" w:cs="Arial"/>
                <w:sz w:val="20"/>
                <w:szCs w:val="20"/>
              </w:rPr>
            </w:pPr>
            <w:r>
              <w:rPr>
                <w:rFonts w:asciiTheme="minorHAnsi" w:hAnsiTheme="minorHAnsi" w:cs="Arial"/>
                <w:sz w:val="20"/>
                <w:szCs w:val="20"/>
              </w:rPr>
              <w:t>(19)</w:t>
            </w:r>
          </w:p>
        </w:tc>
      </w:tr>
      <w:tr w:rsidR="009B224C" w:rsidRPr="003E335B" w:rsidTr="00087079">
        <w:tc>
          <w:tcPr>
            <w:tcW w:w="6408" w:type="dxa"/>
            <w:shd w:val="clear" w:color="auto" w:fill="B8CCE4" w:themeFill="accent1" w:themeFillTint="66"/>
            <w:hideMark/>
          </w:tcPr>
          <w:p w:rsidR="009B224C" w:rsidRPr="003E335B" w:rsidRDefault="009B224C" w:rsidP="000D70EC">
            <w:pPr>
              <w:spacing w:after="100" w:line="240" w:lineRule="auto"/>
              <w:rPr>
                <w:rFonts w:asciiTheme="minorHAnsi" w:hAnsiTheme="minorHAnsi" w:cs="Arial"/>
                <w:sz w:val="20"/>
                <w:szCs w:val="20"/>
              </w:rPr>
            </w:pPr>
            <w:r>
              <w:rPr>
                <w:rFonts w:asciiTheme="minorHAnsi" w:hAnsiTheme="minorHAnsi" w:cs="Arial"/>
                <w:sz w:val="20"/>
                <w:szCs w:val="20"/>
              </w:rPr>
              <w:t>Changes in assets and liabilities:</w:t>
            </w:r>
          </w:p>
        </w:tc>
        <w:tc>
          <w:tcPr>
            <w:tcW w:w="1845" w:type="dxa"/>
            <w:shd w:val="clear" w:color="auto" w:fill="B8CCE4" w:themeFill="accent1" w:themeFillTint="66"/>
            <w:vAlign w:val="center"/>
          </w:tcPr>
          <w:p w:rsidR="009B224C" w:rsidRPr="003E335B" w:rsidRDefault="009B224C" w:rsidP="000D70EC">
            <w:pPr>
              <w:spacing w:after="100" w:line="240" w:lineRule="auto"/>
              <w:jc w:val="right"/>
              <w:rPr>
                <w:rFonts w:asciiTheme="minorHAnsi" w:hAnsiTheme="minorHAnsi" w:cs="Arial"/>
                <w:sz w:val="20"/>
                <w:szCs w:val="20"/>
              </w:rPr>
            </w:pPr>
          </w:p>
        </w:tc>
        <w:tc>
          <w:tcPr>
            <w:tcW w:w="1845" w:type="dxa"/>
            <w:shd w:val="clear" w:color="auto" w:fill="B8CCE4" w:themeFill="accent1" w:themeFillTint="66"/>
            <w:vAlign w:val="center"/>
            <w:hideMark/>
          </w:tcPr>
          <w:p w:rsidR="009B224C" w:rsidRPr="003E335B" w:rsidRDefault="009B224C" w:rsidP="000D70EC">
            <w:pPr>
              <w:spacing w:after="100" w:line="240" w:lineRule="auto"/>
              <w:jc w:val="right"/>
              <w:rPr>
                <w:rFonts w:asciiTheme="minorHAnsi" w:hAnsiTheme="minorHAnsi" w:cs="Arial"/>
                <w:sz w:val="20"/>
                <w:szCs w:val="20"/>
              </w:rPr>
            </w:pPr>
          </w:p>
        </w:tc>
      </w:tr>
      <w:tr w:rsidR="00E92C57" w:rsidRPr="003E335B" w:rsidTr="00087079">
        <w:tc>
          <w:tcPr>
            <w:tcW w:w="6408" w:type="dxa"/>
            <w:shd w:val="clear" w:color="auto" w:fill="auto"/>
            <w:hideMark/>
          </w:tcPr>
          <w:p w:rsidR="00847BCE" w:rsidRPr="003E335B" w:rsidRDefault="00847BCE" w:rsidP="009B224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Trade receivables, net</w:t>
            </w:r>
          </w:p>
        </w:tc>
        <w:tc>
          <w:tcPr>
            <w:tcW w:w="1845" w:type="dxa"/>
            <w:shd w:val="clear" w:color="auto" w:fill="auto"/>
            <w:vAlign w:val="center"/>
          </w:tcPr>
          <w:p w:rsidR="00847BCE" w:rsidRPr="003E335B" w:rsidRDefault="009B224C" w:rsidP="000D70EC">
            <w:pPr>
              <w:spacing w:after="100" w:line="240" w:lineRule="auto"/>
              <w:jc w:val="right"/>
              <w:rPr>
                <w:rFonts w:asciiTheme="minorHAnsi" w:hAnsiTheme="minorHAnsi" w:cs="Arial"/>
                <w:sz w:val="20"/>
                <w:szCs w:val="20"/>
              </w:rPr>
            </w:pPr>
            <w:r>
              <w:rPr>
                <w:rFonts w:asciiTheme="minorHAnsi" w:hAnsiTheme="minorHAnsi" w:cs="Arial"/>
                <w:sz w:val="20"/>
                <w:szCs w:val="20"/>
              </w:rPr>
              <w:t>(65)</w:t>
            </w:r>
          </w:p>
        </w:tc>
        <w:tc>
          <w:tcPr>
            <w:tcW w:w="1845" w:type="dxa"/>
            <w:shd w:val="clear" w:color="auto" w:fill="auto"/>
            <w:vAlign w:val="center"/>
            <w:hideMark/>
          </w:tcPr>
          <w:p w:rsidR="00847BCE" w:rsidRPr="003E335B" w:rsidRDefault="002F5240" w:rsidP="000D70EC">
            <w:pPr>
              <w:spacing w:after="100" w:line="240" w:lineRule="auto"/>
              <w:jc w:val="right"/>
              <w:rPr>
                <w:rFonts w:asciiTheme="minorHAnsi" w:hAnsiTheme="minorHAnsi" w:cs="Arial"/>
                <w:sz w:val="20"/>
                <w:szCs w:val="20"/>
              </w:rPr>
            </w:pPr>
            <w:r>
              <w:rPr>
                <w:rFonts w:asciiTheme="minorHAnsi" w:hAnsiTheme="minorHAnsi" w:cs="Arial"/>
                <w:sz w:val="20"/>
                <w:szCs w:val="20"/>
              </w:rPr>
              <w:t>(88)</w:t>
            </w:r>
          </w:p>
        </w:tc>
      </w:tr>
      <w:tr w:rsidR="00E92C57" w:rsidRPr="003E335B" w:rsidTr="00087079">
        <w:tc>
          <w:tcPr>
            <w:tcW w:w="6408" w:type="dxa"/>
            <w:shd w:val="clear" w:color="auto" w:fill="B8CCE4" w:themeFill="accent1" w:themeFillTint="66"/>
            <w:hideMark/>
          </w:tcPr>
          <w:p w:rsidR="00847BCE" w:rsidRPr="003E335B" w:rsidRDefault="00847BCE" w:rsidP="009B224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Inventories, net</w:t>
            </w:r>
          </w:p>
        </w:tc>
        <w:tc>
          <w:tcPr>
            <w:tcW w:w="1845" w:type="dxa"/>
            <w:shd w:val="clear" w:color="auto" w:fill="B8CCE4" w:themeFill="accent1" w:themeFillTint="66"/>
            <w:vAlign w:val="center"/>
          </w:tcPr>
          <w:p w:rsidR="00847BCE" w:rsidRPr="003E335B" w:rsidRDefault="009B224C" w:rsidP="000D70EC">
            <w:pPr>
              <w:spacing w:after="100" w:line="240" w:lineRule="auto"/>
              <w:jc w:val="right"/>
              <w:rPr>
                <w:rFonts w:asciiTheme="minorHAnsi" w:hAnsiTheme="minorHAnsi" w:cs="Arial"/>
                <w:sz w:val="20"/>
                <w:szCs w:val="20"/>
              </w:rPr>
            </w:pPr>
            <w:r>
              <w:rPr>
                <w:rFonts w:asciiTheme="minorHAnsi" w:hAnsiTheme="minorHAnsi" w:cs="Arial"/>
                <w:sz w:val="20"/>
                <w:szCs w:val="20"/>
              </w:rPr>
              <w:t>(199)</w:t>
            </w:r>
          </w:p>
        </w:tc>
        <w:tc>
          <w:tcPr>
            <w:tcW w:w="1845" w:type="dxa"/>
            <w:shd w:val="clear" w:color="auto" w:fill="B8CCE4" w:themeFill="accent1" w:themeFillTint="66"/>
            <w:vAlign w:val="center"/>
            <w:hideMark/>
          </w:tcPr>
          <w:p w:rsidR="00847BCE" w:rsidRPr="003E335B" w:rsidRDefault="002F5240" w:rsidP="000D70EC">
            <w:pPr>
              <w:spacing w:after="100" w:line="240" w:lineRule="auto"/>
              <w:jc w:val="right"/>
              <w:rPr>
                <w:rFonts w:asciiTheme="minorHAnsi" w:hAnsiTheme="minorHAnsi" w:cs="Arial"/>
                <w:sz w:val="20"/>
                <w:szCs w:val="20"/>
              </w:rPr>
            </w:pPr>
            <w:r>
              <w:rPr>
                <w:rFonts w:asciiTheme="minorHAnsi" w:hAnsiTheme="minorHAnsi" w:cs="Arial"/>
                <w:sz w:val="20"/>
                <w:szCs w:val="20"/>
              </w:rPr>
              <w:t>(103)</w:t>
            </w:r>
          </w:p>
        </w:tc>
      </w:tr>
      <w:tr w:rsidR="00E92C57" w:rsidRPr="003E335B" w:rsidTr="00087079">
        <w:tc>
          <w:tcPr>
            <w:tcW w:w="6408" w:type="dxa"/>
            <w:shd w:val="clear" w:color="auto" w:fill="auto"/>
            <w:hideMark/>
          </w:tcPr>
          <w:p w:rsidR="00847BCE" w:rsidRPr="003E335B" w:rsidRDefault="00847BCE" w:rsidP="009B224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Trade payables</w:t>
            </w:r>
          </w:p>
        </w:tc>
        <w:tc>
          <w:tcPr>
            <w:tcW w:w="1845" w:type="dxa"/>
            <w:shd w:val="clear" w:color="auto" w:fill="auto"/>
            <w:vAlign w:val="center"/>
          </w:tcPr>
          <w:p w:rsidR="00847BCE" w:rsidRPr="003E335B" w:rsidRDefault="009B224C" w:rsidP="000D70EC">
            <w:pPr>
              <w:spacing w:after="100" w:line="240" w:lineRule="auto"/>
              <w:jc w:val="right"/>
              <w:rPr>
                <w:rFonts w:asciiTheme="minorHAnsi" w:hAnsiTheme="minorHAnsi" w:cs="Arial"/>
                <w:sz w:val="20"/>
                <w:szCs w:val="20"/>
              </w:rPr>
            </w:pPr>
            <w:r>
              <w:rPr>
                <w:rFonts w:asciiTheme="minorHAnsi" w:hAnsiTheme="minorHAnsi" w:cs="Arial"/>
                <w:sz w:val="20"/>
                <w:szCs w:val="20"/>
              </w:rPr>
              <w:t>31</w:t>
            </w:r>
          </w:p>
        </w:tc>
        <w:tc>
          <w:tcPr>
            <w:tcW w:w="1845" w:type="dxa"/>
            <w:shd w:val="clear" w:color="auto" w:fill="auto"/>
            <w:vAlign w:val="center"/>
            <w:hideMark/>
          </w:tcPr>
          <w:p w:rsidR="00847BCE" w:rsidRPr="003E335B" w:rsidRDefault="002F5240" w:rsidP="000D70EC">
            <w:pPr>
              <w:spacing w:after="100" w:line="240" w:lineRule="auto"/>
              <w:jc w:val="right"/>
              <w:rPr>
                <w:rFonts w:asciiTheme="minorHAnsi" w:hAnsiTheme="minorHAnsi" w:cs="Arial"/>
                <w:sz w:val="20"/>
                <w:szCs w:val="20"/>
              </w:rPr>
            </w:pPr>
            <w:r>
              <w:rPr>
                <w:rFonts w:asciiTheme="minorHAnsi" w:hAnsiTheme="minorHAnsi" w:cs="Arial"/>
                <w:sz w:val="20"/>
                <w:szCs w:val="20"/>
              </w:rPr>
              <w:t>417</w:t>
            </w:r>
          </w:p>
        </w:tc>
      </w:tr>
      <w:tr w:rsidR="00E92C57" w:rsidRPr="003E335B" w:rsidTr="00087079">
        <w:tc>
          <w:tcPr>
            <w:tcW w:w="6408" w:type="dxa"/>
            <w:shd w:val="clear" w:color="auto" w:fill="B8CCE4" w:themeFill="accent1" w:themeFillTint="66"/>
            <w:hideMark/>
          </w:tcPr>
          <w:p w:rsidR="00847BCE" w:rsidRPr="003E335B" w:rsidRDefault="00847BCE" w:rsidP="009B224C">
            <w:pPr>
              <w:spacing w:after="100" w:line="240" w:lineRule="auto"/>
              <w:ind w:left="720"/>
              <w:rPr>
                <w:rFonts w:asciiTheme="minorHAnsi" w:hAnsiTheme="minorHAnsi" w:cs="Arial"/>
                <w:sz w:val="20"/>
                <w:szCs w:val="20"/>
              </w:rPr>
            </w:pPr>
            <w:r w:rsidRPr="003E335B">
              <w:rPr>
                <w:rFonts w:asciiTheme="minorHAnsi" w:hAnsiTheme="minorHAnsi" w:cs="Arial"/>
                <w:sz w:val="20"/>
                <w:szCs w:val="20"/>
              </w:rPr>
              <w:t>Other assets and liabilities net</w:t>
            </w:r>
          </w:p>
        </w:tc>
        <w:tc>
          <w:tcPr>
            <w:tcW w:w="1845" w:type="dxa"/>
            <w:tcBorders>
              <w:bottom w:val="single" w:sz="18" w:space="0" w:color="auto"/>
            </w:tcBorders>
            <w:shd w:val="clear" w:color="auto" w:fill="B8CCE4" w:themeFill="accent1" w:themeFillTint="66"/>
            <w:vAlign w:val="center"/>
          </w:tcPr>
          <w:p w:rsidR="00847BCE" w:rsidRPr="003E335B" w:rsidRDefault="009B224C" w:rsidP="000D70EC">
            <w:pPr>
              <w:spacing w:after="100" w:line="240" w:lineRule="auto"/>
              <w:jc w:val="right"/>
              <w:rPr>
                <w:rFonts w:asciiTheme="minorHAnsi" w:hAnsiTheme="minorHAnsi" w:cs="Arial"/>
                <w:sz w:val="20"/>
                <w:szCs w:val="20"/>
              </w:rPr>
            </w:pPr>
            <w:r>
              <w:rPr>
                <w:rFonts w:asciiTheme="minorHAnsi" w:hAnsiTheme="minorHAnsi" w:cs="Arial"/>
                <w:sz w:val="20"/>
                <w:szCs w:val="20"/>
              </w:rPr>
              <w:t>154</w:t>
            </w:r>
          </w:p>
        </w:tc>
        <w:tc>
          <w:tcPr>
            <w:tcW w:w="1845" w:type="dxa"/>
            <w:tcBorders>
              <w:bottom w:val="single" w:sz="18" w:space="0" w:color="auto"/>
            </w:tcBorders>
            <w:shd w:val="clear" w:color="auto" w:fill="B8CCE4" w:themeFill="accent1" w:themeFillTint="66"/>
            <w:vAlign w:val="center"/>
            <w:hideMark/>
          </w:tcPr>
          <w:p w:rsidR="00847BCE" w:rsidRPr="003E335B" w:rsidRDefault="002F5240" w:rsidP="000D70EC">
            <w:pPr>
              <w:spacing w:after="100" w:line="240" w:lineRule="auto"/>
              <w:jc w:val="right"/>
              <w:rPr>
                <w:rFonts w:asciiTheme="minorHAnsi" w:hAnsiTheme="minorHAnsi" w:cs="Arial"/>
                <w:sz w:val="20"/>
                <w:szCs w:val="20"/>
              </w:rPr>
            </w:pPr>
            <w:r>
              <w:rPr>
                <w:rFonts w:asciiTheme="minorHAnsi" w:hAnsiTheme="minorHAnsi" w:cs="Arial"/>
                <w:sz w:val="20"/>
                <w:szCs w:val="20"/>
              </w:rPr>
              <w:t>(109)</w:t>
            </w:r>
          </w:p>
        </w:tc>
      </w:tr>
      <w:tr w:rsidR="00E92C57" w:rsidRPr="003E335B" w:rsidTr="00087079">
        <w:tc>
          <w:tcPr>
            <w:tcW w:w="6408" w:type="dxa"/>
            <w:tcBorders>
              <w:bottom w:val="single" w:sz="18" w:space="0" w:color="auto"/>
            </w:tcBorders>
            <w:shd w:val="clear" w:color="auto" w:fill="auto"/>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Cash generated from operations</w:t>
            </w:r>
          </w:p>
        </w:tc>
        <w:tc>
          <w:tcPr>
            <w:tcW w:w="1845" w:type="dxa"/>
            <w:tcBorders>
              <w:top w:val="single" w:sz="18" w:space="0" w:color="auto"/>
              <w:bottom w:val="single" w:sz="18" w:space="0" w:color="auto"/>
            </w:tcBorders>
            <w:shd w:val="clear" w:color="auto" w:fill="auto"/>
            <w:vAlign w:val="center"/>
          </w:tcPr>
          <w:p w:rsidR="00847BCE" w:rsidRPr="003E335B" w:rsidRDefault="002F5240"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811</w:t>
            </w:r>
          </w:p>
        </w:tc>
        <w:tc>
          <w:tcPr>
            <w:tcW w:w="1845" w:type="dxa"/>
            <w:tcBorders>
              <w:top w:val="single" w:sz="18" w:space="0" w:color="auto"/>
              <w:bottom w:val="single" w:sz="18" w:space="0" w:color="auto"/>
            </w:tcBorders>
            <w:shd w:val="clear" w:color="auto" w:fill="auto"/>
            <w:vAlign w:val="center"/>
            <w:hideMark/>
          </w:tcPr>
          <w:p w:rsidR="00847BCE" w:rsidRPr="003E335B" w:rsidRDefault="002F5240"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911</w:t>
            </w:r>
          </w:p>
        </w:tc>
      </w:tr>
    </w:tbl>
    <w:p w:rsidR="00847BCE" w:rsidRPr="003E335B" w:rsidRDefault="00847BCE" w:rsidP="000D70EC">
      <w:pPr>
        <w:spacing w:after="100" w:line="240" w:lineRule="auto"/>
        <w:rPr>
          <w:rFonts w:asciiTheme="minorHAnsi" w:hAnsiTheme="minorHAnsi" w:cs="Arial"/>
          <w:sz w:val="20"/>
          <w:szCs w:val="20"/>
        </w:rPr>
      </w:pPr>
    </w:p>
    <w:p w:rsidR="009B305E" w:rsidRPr="003E335B" w:rsidRDefault="009B305E" w:rsidP="000D70EC">
      <w:pPr>
        <w:spacing w:after="100" w:line="240" w:lineRule="auto"/>
        <w:rPr>
          <w:rFonts w:asciiTheme="minorHAnsi" w:eastAsia="Times New Roman" w:hAnsiTheme="minorHAnsi" w:cs="Arial"/>
          <w:b/>
          <w:smallCaps/>
          <w:color w:val="009CDD"/>
          <w:spacing w:val="5"/>
          <w:sz w:val="20"/>
          <w:szCs w:val="20"/>
          <w:lang w:bidi="en-US"/>
        </w:rPr>
      </w:pPr>
      <w:bookmarkStart w:id="206" w:name="_Toc265058933"/>
      <w:bookmarkStart w:id="207" w:name="_Toc258421349"/>
      <w:bookmarkStart w:id="208" w:name="_Toc257898989"/>
      <w:bookmarkStart w:id="209" w:name="_Toc266868920"/>
      <w:bookmarkStart w:id="210" w:name="_Toc266869136"/>
      <w:bookmarkStart w:id="211" w:name="_Toc266885171"/>
      <w:bookmarkStart w:id="212" w:name="_Toc266886357"/>
    </w:p>
    <w:p w:rsidR="002F5240" w:rsidRDefault="002F5240">
      <w:pPr>
        <w:spacing w:after="100" w:line="240" w:lineRule="auto"/>
        <w:rPr>
          <w:rFonts w:asciiTheme="minorHAnsi" w:eastAsia="Times New Roman" w:hAnsiTheme="minorHAnsi" w:cs="Arial"/>
          <w:b/>
          <w:smallCaps/>
          <w:color w:val="009CDD"/>
          <w:spacing w:val="5"/>
          <w:sz w:val="20"/>
          <w:szCs w:val="20"/>
          <w:lang w:bidi="en-US"/>
        </w:rPr>
      </w:pPr>
      <w:bookmarkStart w:id="213" w:name="_Toc269825402"/>
      <w:bookmarkStart w:id="214" w:name="_Toc297204184"/>
      <w:r>
        <w:rPr>
          <w:rFonts w:asciiTheme="minorHAnsi" w:hAnsiTheme="minorHAnsi"/>
          <w:sz w:val="20"/>
          <w:szCs w:val="20"/>
        </w:rPr>
        <w:br w:type="page"/>
      </w:r>
    </w:p>
    <w:p w:rsidR="00847BCE" w:rsidRPr="003E335B" w:rsidRDefault="00847BCE" w:rsidP="000D70EC">
      <w:pPr>
        <w:pStyle w:val="Title3"/>
        <w:spacing w:after="100" w:line="240" w:lineRule="auto"/>
        <w:rPr>
          <w:rFonts w:asciiTheme="minorHAnsi" w:hAnsiTheme="minorHAnsi"/>
          <w:sz w:val="20"/>
          <w:szCs w:val="20"/>
        </w:rPr>
      </w:pPr>
      <w:bookmarkStart w:id="215" w:name="_Toc300834244"/>
      <w:r w:rsidRPr="003E335B">
        <w:rPr>
          <w:rFonts w:asciiTheme="minorHAnsi" w:hAnsiTheme="minorHAnsi"/>
          <w:sz w:val="20"/>
          <w:szCs w:val="20"/>
        </w:rPr>
        <w:lastRenderedPageBreak/>
        <w:t>Equity</w:t>
      </w:r>
      <w:bookmarkEnd w:id="206"/>
      <w:bookmarkEnd w:id="207"/>
      <w:bookmarkEnd w:id="208"/>
      <w:bookmarkEnd w:id="209"/>
      <w:bookmarkEnd w:id="210"/>
      <w:bookmarkEnd w:id="211"/>
      <w:bookmarkEnd w:id="212"/>
      <w:bookmarkEnd w:id="213"/>
      <w:bookmarkEnd w:id="214"/>
      <w:bookmarkEnd w:id="215"/>
    </w:p>
    <w:p w:rsidR="00847BCE" w:rsidRPr="003E335B" w:rsidRDefault="00847BCE" w:rsidP="000D70EC">
      <w:pPr>
        <w:pStyle w:val="Title4"/>
        <w:spacing w:before="0" w:after="100" w:line="240" w:lineRule="auto"/>
        <w:rPr>
          <w:rFonts w:asciiTheme="minorHAnsi" w:hAnsiTheme="minorHAnsi"/>
          <w:sz w:val="20"/>
          <w:szCs w:val="20"/>
        </w:rPr>
      </w:pPr>
      <w:bookmarkStart w:id="216" w:name="_Toc265058934"/>
      <w:r w:rsidRPr="003E335B">
        <w:rPr>
          <w:rFonts w:asciiTheme="minorHAnsi" w:hAnsiTheme="minorHAnsi"/>
          <w:sz w:val="20"/>
          <w:szCs w:val="20"/>
        </w:rPr>
        <w:t>Outstanding shares</w:t>
      </w:r>
      <w:bookmarkEnd w:id="216"/>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 xml:space="preserve">The authorized share capital of STMicroelectronics is EUR 1,810 million consisting of 1,200,000,000 common shares and 540,000,000 preference shares, each with a nominal value of EUR 1.04. As at </w:t>
      </w:r>
      <w:r w:rsidR="00FB3623" w:rsidRPr="003E335B">
        <w:rPr>
          <w:rFonts w:asciiTheme="minorHAnsi" w:hAnsiTheme="minorHAnsi" w:cs="Arial"/>
          <w:sz w:val="20"/>
          <w:szCs w:val="20"/>
        </w:rPr>
        <w:t>July 2</w:t>
      </w:r>
      <w:r w:rsidR="00665D7E" w:rsidRPr="003E335B">
        <w:rPr>
          <w:rFonts w:asciiTheme="minorHAnsi" w:hAnsiTheme="minorHAnsi" w:cs="Arial"/>
          <w:sz w:val="20"/>
          <w:szCs w:val="20"/>
        </w:rPr>
        <w:t>, 201</w:t>
      </w:r>
      <w:r w:rsidR="00FB3623" w:rsidRPr="003E335B">
        <w:rPr>
          <w:rFonts w:asciiTheme="minorHAnsi" w:hAnsiTheme="minorHAnsi" w:cs="Arial"/>
          <w:sz w:val="20"/>
          <w:szCs w:val="20"/>
        </w:rPr>
        <w:t>1</w:t>
      </w:r>
      <w:r w:rsidR="00665D7E" w:rsidRPr="003E335B">
        <w:rPr>
          <w:rFonts w:asciiTheme="minorHAnsi" w:hAnsiTheme="minorHAnsi" w:cs="Arial"/>
          <w:sz w:val="20"/>
          <w:szCs w:val="20"/>
        </w:rPr>
        <w:t>,</w:t>
      </w:r>
      <w:r w:rsidRPr="003E335B">
        <w:rPr>
          <w:rFonts w:asciiTheme="minorHAnsi" w:hAnsiTheme="minorHAnsi" w:cs="Arial"/>
          <w:sz w:val="20"/>
          <w:szCs w:val="20"/>
        </w:rPr>
        <w:t xml:space="preserve"> the number of common shares issued was </w:t>
      </w:r>
      <w:r w:rsidR="00772E5D" w:rsidRPr="003E335B">
        <w:rPr>
          <w:rFonts w:asciiTheme="minorHAnsi" w:hAnsiTheme="minorHAnsi" w:cs="Arial"/>
          <w:sz w:val="20"/>
          <w:szCs w:val="20"/>
        </w:rPr>
        <w:t>910,</w:t>
      </w:r>
      <w:r w:rsidR="00FB3623" w:rsidRPr="003E335B">
        <w:rPr>
          <w:rFonts w:asciiTheme="minorHAnsi" w:hAnsiTheme="minorHAnsi" w:cs="Arial"/>
          <w:sz w:val="20"/>
          <w:szCs w:val="20"/>
        </w:rPr>
        <w:t>544</w:t>
      </w:r>
      <w:r w:rsidR="00772E5D" w:rsidRPr="003E335B">
        <w:rPr>
          <w:rFonts w:asciiTheme="minorHAnsi" w:hAnsiTheme="minorHAnsi" w:cs="Arial"/>
          <w:sz w:val="20"/>
          <w:szCs w:val="20"/>
        </w:rPr>
        <w:t>,</w:t>
      </w:r>
      <w:r w:rsidR="00FB3623" w:rsidRPr="003E335B">
        <w:rPr>
          <w:rFonts w:asciiTheme="minorHAnsi" w:hAnsiTheme="minorHAnsi" w:cs="Arial"/>
          <w:sz w:val="20"/>
          <w:szCs w:val="20"/>
        </w:rPr>
        <w:t>8</w:t>
      </w:r>
      <w:r w:rsidR="00772E5D" w:rsidRPr="003E335B">
        <w:rPr>
          <w:rFonts w:asciiTheme="minorHAnsi" w:hAnsiTheme="minorHAnsi" w:cs="Arial"/>
          <w:sz w:val="20"/>
          <w:szCs w:val="20"/>
        </w:rPr>
        <w:t>05</w:t>
      </w:r>
      <w:r w:rsidRPr="003E335B">
        <w:rPr>
          <w:rFonts w:asciiTheme="minorHAnsi" w:hAnsiTheme="minorHAnsi" w:cs="Arial"/>
          <w:sz w:val="20"/>
          <w:szCs w:val="20"/>
        </w:rPr>
        <w:t xml:space="preserve"> shares (</w:t>
      </w:r>
      <w:r w:rsidR="00772E5D" w:rsidRPr="003E335B">
        <w:rPr>
          <w:rFonts w:asciiTheme="minorHAnsi" w:hAnsiTheme="minorHAnsi" w:cs="Arial"/>
          <w:sz w:val="20"/>
          <w:szCs w:val="20"/>
        </w:rPr>
        <w:t xml:space="preserve">December 31, </w:t>
      </w:r>
      <w:r w:rsidRPr="003E335B">
        <w:rPr>
          <w:rFonts w:asciiTheme="minorHAnsi" w:hAnsiTheme="minorHAnsi" w:cs="Arial"/>
          <w:sz w:val="20"/>
          <w:szCs w:val="20"/>
        </w:rPr>
        <w:t>20</w:t>
      </w:r>
      <w:r w:rsidR="00FB3623" w:rsidRPr="003E335B">
        <w:rPr>
          <w:rFonts w:asciiTheme="minorHAnsi" w:hAnsiTheme="minorHAnsi" w:cs="Arial"/>
          <w:sz w:val="20"/>
          <w:szCs w:val="20"/>
        </w:rPr>
        <w:t>10</w:t>
      </w:r>
      <w:r w:rsidRPr="003E335B">
        <w:rPr>
          <w:rFonts w:asciiTheme="minorHAnsi" w:hAnsiTheme="minorHAnsi" w:cs="Arial"/>
          <w:sz w:val="20"/>
          <w:szCs w:val="20"/>
        </w:rPr>
        <w:t xml:space="preserve">: </w:t>
      </w:r>
      <w:r w:rsidR="00772E5D" w:rsidRPr="003E335B">
        <w:rPr>
          <w:rFonts w:asciiTheme="minorHAnsi" w:hAnsiTheme="minorHAnsi" w:cs="Arial"/>
          <w:sz w:val="20"/>
          <w:szCs w:val="20"/>
        </w:rPr>
        <w:t>910,</w:t>
      </w:r>
      <w:r w:rsidR="003E335B" w:rsidRPr="003E335B">
        <w:rPr>
          <w:rFonts w:asciiTheme="minorHAnsi" w:hAnsiTheme="minorHAnsi" w:cs="Arial"/>
          <w:sz w:val="20"/>
          <w:szCs w:val="20"/>
        </w:rPr>
        <w:t>420,305</w:t>
      </w:r>
      <w:r w:rsidRPr="003E335B">
        <w:rPr>
          <w:rFonts w:asciiTheme="minorHAnsi" w:hAnsiTheme="minorHAnsi" w:cs="Arial"/>
          <w:sz w:val="20"/>
          <w:szCs w:val="20"/>
        </w:rPr>
        <w:t xml:space="preserve"> shares). </w:t>
      </w:r>
    </w:p>
    <w:p w:rsidR="008733F0" w:rsidRDefault="00847BCE">
      <w:pPr>
        <w:spacing w:after="100" w:line="240" w:lineRule="auto"/>
        <w:jc w:val="both"/>
        <w:rPr>
          <w:rFonts w:asciiTheme="minorHAnsi" w:hAnsiTheme="minorHAnsi" w:cs="Arial"/>
          <w:sz w:val="20"/>
          <w:szCs w:val="20"/>
        </w:rPr>
      </w:pPr>
      <w:proofErr w:type="gramStart"/>
      <w:r w:rsidRPr="003E335B">
        <w:rPr>
          <w:rFonts w:asciiTheme="minorHAnsi" w:hAnsiTheme="minorHAnsi" w:cs="Arial"/>
          <w:sz w:val="20"/>
          <w:szCs w:val="20"/>
        </w:rPr>
        <w:t xml:space="preserve">As at </w:t>
      </w:r>
      <w:r w:rsidR="00C24FD9" w:rsidRPr="003E335B">
        <w:rPr>
          <w:rFonts w:asciiTheme="minorHAnsi" w:hAnsiTheme="minorHAnsi" w:cs="Arial"/>
          <w:sz w:val="20"/>
          <w:szCs w:val="20"/>
        </w:rPr>
        <w:t>Ju</w:t>
      </w:r>
      <w:r w:rsidR="003E335B" w:rsidRPr="003E335B">
        <w:rPr>
          <w:rFonts w:asciiTheme="minorHAnsi" w:hAnsiTheme="minorHAnsi" w:cs="Arial"/>
          <w:sz w:val="20"/>
          <w:szCs w:val="20"/>
        </w:rPr>
        <w:t>ly 2</w:t>
      </w:r>
      <w:r w:rsidR="00C24FD9" w:rsidRPr="003E335B">
        <w:rPr>
          <w:rFonts w:asciiTheme="minorHAnsi" w:hAnsiTheme="minorHAnsi" w:cs="Arial"/>
          <w:sz w:val="20"/>
          <w:szCs w:val="20"/>
        </w:rPr>
        <w:t>, 201</w:t>
      </w:r>
      <w:r w:rsidR="003E335B" w:rsidRPr="003E335B">
        <w:rPr>
          <w:rFonts w:asciiTheme="minorHAnsi" w:hAnsiTheme="minorHAnsi" w:cs="Arial"/>
          <w:sz w:val="20"/>
          <w:szCs w:val="20"/>
        </w:rPr>
        <w:t>1</w:t>
      </w:r>
      <w:r w:rsidRPr="003E335B">
        <w:rPr>
          <w:rFonts w:asciiTheme="minorHAnsi" w:hAnsiTheme="minorHAnsi" w:cs="Arial"/>
          <w:sz w:val="20"/>
          <w:szCs w:val="20"/>
        </w:rPr>
        <w:t xml:space="preserve">, the number of common shares outstanding was </w:t>
      </w:r>
      <w:r w:rsidR="00772E5D" w:rsidRPr="003E335B">
        <w:rPr>
          <w:rFonts w:asciiTheme="minorHAnsi" w:hAnsiTheme="minorHAnsi" w:cs="Arial"/>
          <w:sz w:val="20"/>
          <w:szCs w:val="20"/>
        </w:rPr>
        <w:t>88</w:t>
      </w:r>
      <w:r w:rsidR="003E335B" w:rsidRPr="003E335B">
        <w:rPr>
          <w:rFonts w:asciiTheme="minorHAnsi" w:hAnsiTheme="minorHAnsi" w:cs="Arial"/>
          <w:sz w:val="20"/>
          <w:szCs w:val="20"/>
        </w:rPr>
        <w:t>4,345,239</w:t>
      </w:r>
      <w:r w:rsidR="00774E2D" w:rsidRPr="003E335B">
        <w:rPr>
          <w:rFonts w:asciiTheme="minorHAnsi" w:hAnsiTheme="minorHAnsi" w:cs="Arial"/>
          <w:sz w:val="20"/>
          <w:szCs w:val="20"/>
        </w:rPr>
        <w:t xml:space="preserve"> </w:t>
      </w:r>
      <w:r w:rsidRPr="003E335B">
        <w:rPr>
          <w:rFonts w:asciiTheme="minorHAnsi" w:hAnsiTheme="minorHAnsi" w:cs="Arial"/>
          <w:sz w:val="20"/>
          <w:szCs w:val="20"/>
        </w:rPr>
        <w:t>shares (</w:t>
      </w:r>
      <w:r w:rsidR="00772E5D" w:rsidRPr="003E335B">
        <w:rPr>
          <w:rFonts w:asciiTheme="minorHAnsi" w:hAnsiTheme="minorHAnsi" w:cs="Arial"/>
          <w:sz w:val="20"/>
          <w:szCs w:val="20"/>
        </w:rPr>
        <w:t xml:space="preserve">December 31, </w:t>
      </w:r>
      <w:r w:rsidRPr="003E335B">
        <w:rPr>
          <w:rFonts w:asciiTheme="minorHAnsi" w:hAnsiTheme="minorHAnsi" w:cs="Arial"/>
          <w:sz w:val="20"/>
          <w:szCs w:val="20"/>
        </w:rPr>
        <w:t>20</w:t>
      </w:r>
      <w:r w:rsidR="003E335B" w:rsidRPr="003E335B">
        <w:rPr>
          <w:rFonts w:asciiTheme="minorHAnsi" w:hAnsiTheme="minorHAnsi" w:cs="Arial"/>
          <w:sz w:val="20"/>
          <w:szCs w:val="20"/>
        </w:rPr>
        <w:t>10</w:t>
      </w:r>
      <w:r w:rsidRPr="003E335B">
        <w:rPr>
          <w:rFonts w:asciiTheme="minorHAnsi" w:hAnsiTheme="minorHAnsi" w:cs="Arial"/>
          <w:sz w:val="20"/>
          <w:szCs w:val="20"/>
        </w:rPr>
        <w:t xml:space="preserve">: </w:t>
      </w:r>
      <w:r w:rsidR="003E335B" w:rsidRPr="003E335B">
        <w:rPr>
          <w:rFonts w:asciiTheme="minorHAnsi" w:hAnsiTheme="minorHAnsi" w:cs="Arial"/>
          <w:sz w:val="20"/>
          <w:szCs w:val="20"/>
        </w:rPr>
        <w:t>881,686,303</w:t>
      </w:r>
      <w:r w:rsidR="00772E5D" w:rsidRPr="003E335B">
        <w:rPr>
          <w:rFonts w:asciiTheme="minorHAnsi" w:hAnsiTheme="minorHAnsi" w:cs="Arial"/>
          <w:sz w:val="20"/>
          <w:szCs w:val="20"/>
        </w:rPr>
        <w:t xml:space="preserve"> </w:t>
      </w:r>
      <w:r w:rsidRPr="003E335B">
        <w:rPr>
          <w:rFonts w:asciiTheme="minorHAnsi" w:hAnsiTheme="minorHAnsi" w:cs="Arial"/>
          <w:sz w:val="20"/>
          <w:szCs w:val="20"/>
        </w:rPr>
        <w:t>shares).</w:t>
      </w:r>
      <w:proofErr w:type="gramEnd"/>
    </w:p>
    <w:p w:rsidR="00847BCE" w:rsidRPr="003E335B" w:rsidRDefault="00847BCE" w:rsidP="000D70EC">
      <w:pPr>
        <w:pStyle w:val="Title4"/>
        <w:spacing w:before="0" w:after="100" w:line="240" w:lineRule="auto"/>
        <w:rPr>
          <w:rFonts w:asciiTheme="minorHAnsi" w:hAnsiTheme="minorHAnsi"/>
          <w:sz w:val="20"/>
          <w:szCs w:val="20"/>
        </w:rPr>
      </w:pPr>
      <w:bookmarkStart w:id="217" w:name="_Toc265058935"/>
      <w:r w:rsidRPr="003E335B">
        <w:rPr>
          <w:rFonts w:asciiTheme="minorHAnsi" w:hAnsiTheme="minorHAnsi"/>
          <w:sz w:val="20"/>
          <w:szCs w:val="20"/>
        </w:rPr>
        <w:t>Preference shares</w:t>
      </w:r>
      <w:bookmarkEnd w:id="217"/>
    </w:p>
    <w:p w:rsidR="003E335B" w:rsidRPr="003E335B" w:rsidRDefault="003E335B" w:rsidP="000A1B34">
      <w:pPr>
        <w:spacing w:line="240" w:lineRule="auto"/>
        <w:jc w:val="both"/>
        <w:rPr>
          <w:rFonts w:asciiTheme="minorHAnsi" w:hAnsiTheme="minorHAnsi" w:cs="Arial"/>
          <w:sz w:val="20"/>
          <w:szCs w:val="20"/>
        </w:rPr>
      </w:pPr>
      <w:r w:rsidRPr="003E335B">
        <w:rPr>
          <w:rFonts w:asciiTheme="minorHAnsi" w:hAnsiTheme="minorHAnsi" w:cs="Arial"/>
          <w:sz w:val="20"/>
          <w:szCs w:val="20"/>
        </w:rPr>
        <w:t>The 540,000,000 preference shares, when issued, will entitle a holder to full voting rights and to a preferential right to dividends and distributions upon liquidation.</w:t>
      </w:r>
    </w:p>
    <w:p w:rsidR="008733F0" w:rsidRDefault="003E335B">
      <w:pPr>
        <w:spacing w:after="100" w:line="240" w:lineRule="auto"/>
        <w:jc w:val="both"/>
        <w:rPr>
          <w:rFonts w:asciiTheme="minorHAnsi" w:hAnsiTheme="minorHAnsi" w:cs="Arial"/>
          <w:sz w:val="20"/>
          <w:szCs w:val="20"/>
        </w:rPr>
      </w:pPr>
      <w:r w:rsidRPr="003E335B">
        <w:rPr>
          <w:rFonts w:asciiTheme="minorHAnsi" w:hAnsiTheme="minorHAnsi" w:cs="Arial"/>
          <w:sz w:val="20"/>
          <w:szCs w:val="20"/>
        </w:rPr>
        <w:t>On January 22, 2008, an option agreement was concluded between the Company and Stichting Continuïteit ST. This option agreement provides for the issuance of 540,000,000 preference shares. Any such shares should be issued by the Company to the Foundation, upon its request and in its sole discretion, upon payment of at least 25% of the par value of the preference shares to be issued. The issuing of the preference shares is conditional upon (i) the Company receiving an unsolicited offer or there being the threat of such an offer; (ii) the Company’s Managing and Supervisory Boards deciding not to support such an offer and; (iii) the Board of the Foundation determining that such an offer or acquisition would be contrary to the interests of the Company and its stakeholders. The preference shares may remain outstanding for no longer than two years. There w</w:t>
      </w:r>
      <w:r>
        <w:rPr>
          <w:rFonts w:asciiTheme="minorHAnsi" w:hAnsiTheme="minorHAnsi" w:cs="Arial"/>
          <w:sz w:val="20"/>
          <w:szCs w:val="20"/>
        </w:rPr>
        <w:t>as</w:t>
      </w:r>
      <w:r w:rsidRPr="003E335B">
        <w:rPr>
          <w:rFonts w:asciiTheme="minorHAnsi" w:hAnsiTheme="minorHAnsi" w:cs="Arial"/>
          <w:sz w:val="20"/>
          <w:szCs w:val="20"/>
        </w:rPr>
        <w:t xml:space="preserve"> no preference share issued as </w:t>
      </w:r>
      <w:r>
        <w:rPr>
          <w:rFonts w:asciiTheme="minorHAnsi" w:hAnsiTheme="minorHAnsi" w:cs="Arial"/>
          <w:sz w:val="20"/>
          <w:szCs w:val="20"/>
        </w:rPr>
        <w:t>at July 2</w:t>
      </w:r>
      <w:r w:rsidRPr="003E335B">
        <w:rPr>
          <w:rFonts w:asciiTheme="minorHAnsi" w:hAnsiTheme="minorHAnsi" w:cs="Arial"/>
          <w:sz w:val="20"/>
          <w:szCs w:val="20"/>
        </w:rPr>
        <w:t>, 201</w:t>
      </w:r>
      <w:r>
        <w:rPr>
          <w:rFonts w:asciiTheme="minorHAnsi" w:hAnsiTheme="minorHAnsi" w:cs="Arial"/>
          <w:sz w:val="20"/>
          <w:szCs w:val="20"/>
        </w:rPr>
        <w:t>1</w:t>
      </w:r>
      <w:r w:rsidRPr="003E335B">
        <w:rPr>
          <w:rFonts w:asciiTheme="minorHAnsi" w:hAnsiTheme="minorHAnsi" w:cs="Arial"/>
          <w:sz w:val="20"/>
          <w:szCs w:val="20"/>
        </w:rPr>
        <w:t>.</w:t>
      </w:r>
    </w:p>
    <w:p w:rsidR="00847BCE" w:rsidRPr="003E335B" w:rsidRDefault="00847BCE" w:rsidP="000D70EC">
      <w:pPr>
        <w:pStyle w:val="Title4"/>
        <w:spacing w:before="0" w:after="100" w:line="240" w:lineRule="auto"/>
        <w:rPr>
          <w:rFonts w:asciiTheme="minorHAnsi" w:hAnsiTheme="minorHAnsi"/>
          <w:sz w:val="20"/>
          <w:szCs w:val="20"/>
        </w:rPr>
      </w:pPr>
      <w:bookmarkStart w:id="218" w:name="_Toc265058936"/>
      <w:r w:rsidRPr="003E335B">
        <w:rPr>
          <w:rFonts w:asciiTheme="minorHAnsi" w:hAnsiTheme="minorHAnsi"/>
          <w:sz w:val="20"/>
          <w:szCs w:val="20"/>
        </w:rPr>
        <w:t>Treasury shares</w:t>
      </w:r>
      <w:bookmarkEnd w:id="218"/>
    </w:p>
    <w:p w:rsidR="003E335B" w:rsidRPr="003E335B" w:rsidRDefault="003E335B" w:rsidP="000A1B34">
      <w:pPr>
        <w:pStyle w:val="BodyText11"/>
        <w:spacing w:after="160"/>
        <w:rPr>
          <w:color w:val="000000"/>
        </w:rPr>
      </w:pPr>
      <w:r w:rsidRPr="003E335B">
        <w:rPr>
          <w:color w:val="000000"/>
        </w:rPr>
        <w:t xml:space="preserve">The treasury shares have been designated for allocation under the </w:t>
      </w:r>
      <w:r>
        <w:rPr>
          <w:color w:val="000000"/>
        </w:rPr>
        <w:t>Group</w:t>
      </w:r>
      <w:r w:rsidRPr="003E335B">
        <w:rPr>
          <w:color w:val="000000"/>
        </w:rPr>
        <w:t xml:space="preserve">’s share based remuneration programs of non-vested shares including such plans as approved by the 2005, 2006, 2007, 2008, 2009 and 2010 Annual General Meeting of Shareholders. As of July 2, 2011, 16,720,654 of these treasury shares were transferred to employees under the </w:t>
      </w:r>
      <w:r>
        <w:rPr>
          <w:color w:val="000000"/>
        </w:rPr>
        <w:t>Group</w:t>
      </w:r>
      <w:r w:rsidRPr="003E335B">
        <w:rPr>
          <w:color w:val="000000"/>
        </w:rPr>
        <w:t xml:space="preserve">’s share based remuneration programs of which 2,534,436 in the first half of 2011. </w:t>
      </w:r>
    </w:p>
    <w:p w:rsidR="008733F0" w:rsidRDefault="003E335B">
      <w:pPr>
        <w:spacing w:after="100" w:line="240" w:lineRule="auto"/>
        <w:jc w:val="both"/>
        <w:rPr>
          <w:rFonts w:asciiTheme="minorHAnsi" w:hAnsiTheme="minorHAnsi" w:cs="Arial"/>
          <w:sz w:val="20"/>
          <w:szCs w:val="20"/>
        </w:rPr>
      </w:pPr>
      <w:bookmarkStart w:id="219" w:name="_DV_M145"/>
      <w:bookmarkEnd w:id="219"/>
      <w:r w:rsidRPr="003E335B">
        <w:rPr>
          <w:color w:val="000000"/>
          <w:sz w:val="20"/>
          <w:szCs w:val="20"/>
        </w:rPr>
        <w:t xml:space="preserve">As of July 2, 2011, the </w:t>
      </w:r>
      <w:r>
        <w:rPr>
          <w:color w:val="000000"/>
          <w:sz w:val="20"/>
          <w:szCs w:val="20"/>
        </w:rPr>
        <w:t>Group</w:t>
      </w:r>
      <w:r w:rsidRPr="003E335B">
        <w:rPr>
          <w:color w:val="000000"/>
          <w:sz w:val="20"/>
          <w:szCs w:val="20"/>
        </w:rPr>
        <w:t xml:space="preserve"> owned a number of treasury shares equivalent to 26,199,566.</w:t>
      </w:r>
    </w:p>
    <w:p w:rsidR="002F5240" w:rsidRDefault="002F5240">
      <w:pPr>
        <w:spacing w:after="100" w:line="240" w:lineRule="auto"/>
        <w:rPr>
          <w:rFonts w:asciiTheme="minorHAnsi" w:eastAsia="Times New Roman" w:hAnsiTheme="minorHAnsi" w:cs="Arial"/>
          <w:b/>
          <w:smallCaps/>
          <w:color w:val="009CDD"/>
          <w:spacing w:val="10"/>
          <w:sz w:val="20"/>
          <w:szCs w:val="20"/>
          <w:lang w:bidi="en-US"/>
        </w:rPr>
      </w:pPr>
      <w:bookmarkStart w:id="220" w:name="_Toc265058937"/>
      <w:r>
        <w:rPr>
          <w:rFonts w:asciiTheme="minorHAnsi" w:hAnsiTheme="minorHAnsi"/>
          <w:sz w:val="20"/>
          <w:szCs w:val="20"/>
        </w:rPr>
        <w:br w:type="page"/>
      </w:r>
    </w:p>
    <w:p w:rsidR="00847BCE" w:rsidRPr="003E335B" w:rsidRDefault="00847BCE" w:rsidP="000D70EC">
      <w:pPr>
        <w:pStyle w:val="Title4"/>
        <w:spacing w:before="0" w:after="100" w:line="240" w:lineRule="auto"/>
        <w:rPr>
          <w:rFonts w:asciiTheme="minorHAnsi" w:hAnsiTheme="minorHAnsi"/>
          <w:sz w:val="20"/>
          <w:szCs w:val="20"/>
        </w:rPr>
      </w:pPr>
      <w:r w:rsidRPr="003E335B">
        <w:rPr>
          <w:rFonts w:asciiTheme="minorHAnsi" w:hAnsiTheme="minorHAnsi"/>
          <w:sz w:val="20"/>
          <w:szCs w:val="20"/>
        </w:rPr>
        <w:lastRenderedPageBreak/>
        <w:t>Other reserves</w:t>
      </w:r>
      <w:bookmarkEnd w:id="220"/>
    </w:p>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Other reserves include the following co</w:t>
      </w:r>
      <w:r w:rsidR="000C373F" w:rsidRPr="003E335B">
        <w:rPr>
          <w:rFonts w:asciiTheme="minorHAnsi" w:hAnsiTheme="minorHAnsi" w:cs="Arial"/>
          <w:sz w:val="20"/>
          <w:szCs w:val="20"/>
        </w:rPr>
        <w:t>mponents as at Ju</w:t>
      </w:r>
      <w:r w:rsidR="007E6F93" w:rsidRPr="003E335B">
        <w:rPr>
          <w:rFonts w:asciiTheme="minorHAnsi" w:hAnsiTheme="minorHAnsi" w:cs="Arial"/>
          <w:sz w:val="20"/>
          <w:szCs w:val="20"/>
        </w:rPr>
        <w:t>ly 2</w:t>
      </w:r>
      <w:r w:rsidR="000C373F" w:rsidRPr="003E335B">
        <w:rPr>
          <w:rFonts w:asciiTheme="minorHAnsi" w:hAnsiTheme="minorHAnsi" w:cs="Arial"/>
          <w:sz w:val="20"/>
          <w:szCs w:val="20"/>
        </w:rPr>
        <w:t>, 201</w:t>
      </w:r>
      <w:r w:rsidR="007E6F93" w:rsidRPr="003E335B">
        <w:rPr>
          <w:rFonts w:asciiTheme="minorHAnsi" w:hAnsiTheme="minorHAnsi" w:cs="Arial"/>
          <w:sz w:val="20"/>
          <w:szCs w:val="20"/>
        </w:rPr>
        <w:t>1</w:t>
      </w:r>
      <w:r w:rsidR="003E32CF" w:rsidRPr="003E335B">
        <w:rPr>
          <w:rFonts w:asciiTheme="minorHAnsi" w:hAnsiTheme="minorHAnsi" w:cs="Arial"/>
          <w:sz w:val="20"/>
          <w:szCs w:val="20"/>
        </w:rPr>
        <w:t>:</w:t>
      </w:r>
    </w:p>
    <w:tbl>
      <w:tblPr>
        <w:tblW w:w="10098" w:type="dxa"/>
        <w:tblLayout w:type="fixed"/>
        <w:tblLook w:val="04A0"/>
      </w:tblPr>
      <w:tblGrid>
        <w:gridCol w:w="2070"/>
        <w:gridCol w:w="1338"/>
        <w:gridCol w:w="1338"/>
        <w:gridCol w:w="1338"/>
        <w:gridCol w:w="1338"/>
        <w:gridCol w:w="1338"/>
        <w:gridCol w:w="1338"/>
      </w:tblGrid>
      <w:tr w:rsidR="00847BCE" w:rsidRPr="003E335B" w:rsidTr="00D415D2">
        <w:tc>
          <w:tcPr>
            <w:tcW w:w="2070" w:type="dxa"/>
            <w:tcBorders>
              <w:bottom w:val="single" w:sz="18" w:space="0" w:color="auto"/>
            </w:tcBorders>
            <w:vAlign w:val="bottom"/>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1338" w:type="dxa"/>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2016 Share conversion option reserve</w:t>
            </w:r>
          </w:p>
        </w:tc>
        <w:tc>
          <w:tcPr>
            <w:tcW w:w="1338" w:type="dxa"/>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Share-based compen-sation reserve</w:t>
            </w:r>
          </w:p>
        </w:tc>
        <w:tc>
          <w:tcPr>
            <w:tcW w:w="1338" w:type="dxa"/>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Available-for-sale (AFS) reserve</w:t>
            </w:r>
          </w:p>
        </w:tc>
        <w:tc>
          <w:tcPr>
            <w:tcW w:w="1338" w:type="dxa"/>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Cash Flow Hedge (CFH) reserve</w:t>
            </w:r>
          </w:p>
        </w:tc>
        <w:tc>
          <w:tcPr>
            <w:tcW w:w="1338" w:type="dxa"/>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Foreign currency translation reserve</w:t>
            </w:r>
          </w:p>
        </w:tc>
        <w:tc>
          <w:tcPr>
            <w:tcW w:w="1338" w:type="dxa"/>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Total other reserves</w:t>
            </w:r>
          </w:p>
        </w:tc>
      </w:tr>
      <w:tr w:rsidR="00847BCE" w:rsidRPr="003E335B" w:rsidTr="00D415D2">
        <w:tc>
          <w:tcPr>
            <w:tcW w:w="2070" w:type="dxa"/>
            <w:tcBorders>
              <w:top w:val="single" w:sz="18" w:space="0" w:color="auto"/>
            </w:tcBorders>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As at January 1, 201</w:t>
            </w:r>
            <w:r w:rsidR="00BE357C" w:rsidRPr="003E335B">
              <w:rPr>
                <w:rFonts w:asciiTheme="minorHAnsi" w:hAnsiTheme="minorHAnsi" w:cs="Arial"/>
                <w:b/>
                <w:sz w:val="20"/>
                <w:szCs w:val="20"/>
              </w:rPr>
              <w:t>1</w:t>
            </w:r>
            <w:r w:rsidRPr="003E335B">
              <w:rPr>
                <w:rFonts w:asciiTheme="minorHAnsi" w:hAnsiTheme="minorHAnsi" w:cs="Arial"/>
                <w:b/>
                <w:sz w:val="20"/>
                <w:szCs w:val="20"/>
              </w:rPr>
              <w:t xml:space="preserve"> (audited)</w:t>
            </w:r>
          </w:p>
        </w:tc>
        <w:tc>
          <w:tcPr>
            <w:tcW w:w="1338" w:type="dxa"/>
            <w:tcBorders>
              <w:top w:val="single" w:sz="18" w:space="0" w:color="auto"/>
            </w:tcBorders>
            <w:vAlign w:val="center"/>
            <w:hideMark/>
          </w:tcPr>
          <w:p w:rsidR="00847BCE" w:rsidRPr="003E335B" w:rsidRDefault="003E335B"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221</w:t>
            </w:r>
          </w:p>
        </w:tc>
        <w:tc>
          <w:tcPr>
            <w:tcW w:w="1338" w:type="dxa"/>
            <w:tcBorders>
              <w:top w:val="single" w:sz="18" w:space="0" w:color="auto"/>
            </w:tcBorders>
            <w:vAlign w:val="center"/>
            <w:hideMark/>
          </w:tcPr>
          <w:p w:rsidR="00847BCE" w:rsidRPr="003E335B" w:rsidRDefault="003E335B"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466</w:t>
            </w:r>
          </w:p>
        </w:tc>
        <w:tc>
          <w:tcPr>
            <w:tcW w:w="1338" w:type="dxa"/>
            <w:tcBorders>
              <w:top w:val="single" w:sz="18" w:space="0" w:color="auto"/>
            </w:tcBorders>
            <w:vAlign w:val="center"/>
            <w:hideMark/>
          </w:tcPr>
          <w:p w:rsidR="00847BCE" w:rsidRPr="003E335B" w:rsidRDefault="003E335B"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26</w:t>
            </w:r>
          </w:p>
        </w:tc>
        <w:tc>
          <w:tcPr>
            <w:tcW w:w="1338" w:type="dxa"/>
            <w:tcBorders>
              <w:top w:val="single" w:sz="18" w:space="0" w:color="auto"/>
            </w:tcBorders>
            <w:vAlign w:val="center"/>
            <w:hideMark/>
          </w:tcPr>
          <w:p w:rsidR="00847BCE" w:rsidRPr="003E335B" w:rsidRDefault="003E335B"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31</w:t>
            </w:r>
          </w:p>
        </w:tc>
        <w:tc>
          <w:tcPr>
            <w:tcW w:w="1338" w:type="dxa"/>
            <w:tcBorders>
              <w:top w:val="single" w:sz="18" w:space="0" w:color="auto"/>
            </w:tcBorders>
            <w:vAlign w:val="center"/>
            <w:hideMark/>
          </w:tcPr>
          <w:p w:rsidR="00847BCE" w:rsidRPr="003E335B" w:rsidRDefault="003E335B"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887</w:t>
            </w:r>
          </w:p>
        </w:tc>
        <w:tc>
          <w:tcPr>
            <w:tcW w:w="1338" w:type="dxa"/>
            <w:tcBorders>
              <w:top w:val="single" w:sz="18" w:space="0" w:color="auto"/>
            </w:tcBorders>
            <w:vAlign w:val="center"/>
            <w:hideMark/>
          </w:tcPr>
          <w:p w:rsidR="00847BCE" w:rsidRPr="003E335B" w:rsidRDefault="003E335B"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1,631</w:t>
            </w:r>
          </w:p>
        </w:tc>
      </w:tr>
      <w:tr w:rsidR="00B72447" w:rsidRPr="003E335B" w:rsidTr="00D415D2">
        <w:tc>
          <w:tcPr>
            <w:tcW w:w="2070" w:type="dxa"/>
            <w:shd w:val="clear" w:color="auto" w:fill="B8CCE4" w:themeFill="accent1" w:themeFillTint="66"/>
            <w:hideMark/>
          </w:tcPr>
          <w:p w:rsidR="00B72447" w:rsidRPr="003E335B" w:rsidRDefault="006D777B" w:rsidP="000D70EC">
            <w:pPr>
              <w:spacing w:after="100" w:line="240" w:lineRule="auto"/>
              <w:rPr>
                <w:rFonts w:asciiTheme="minorHAnsi" w:hAnsiTheme="minorHAnsi" w:cs="Arial"/>
                <w:sz w:val="20"/>
                <w:szCs w:val="20"/>
              </w:rPr>
            </w:pPr>
            <w:r>
              <w:rPr>
                <w:rFonts w:asciiTheme="minorHAnsi" w:hAnsiTheme="minorHAnsi" w:cs="Arial"/>
                <w:sz w:val="20"/>
                <w:szCs w:val="20"/>
              </w:rPr>
              <w:t>2016 Convertible bond: exercise of put option by bond holders</w:t>
            </w:r>
          </w:p>
        </w:tc>
        <w:tc>
          <w:tcPr>
            <w:tcW w:w="1338" w:type="dxa"/>
            <w:shd w:val="clear" w:color="auto" w:fill="B8CCE4" w:themeFill="accent1" w:themeFillTint="66"/>
            <w:vAlign w:val="center"/>
          </w:tcPr>
          <w:p w:rsidR="00B72447" w:rsidRPr="003E335B" w:rsidRDefault="003E335B" w:rsidP="000D70EC">
            <w:pPr>
              <w:spacing w:after="100" w:line="240" w:lineRule="auto"/>
              <w:jc w:val="right"/>
              <w:rPr>
                <w:rFonts w:asciiTheme="minorHAnsi" w:hAnsiTheme="minorHAnsi" w:cs="Arial"/>
                <w:sz w:val="20"/>
                <w:szCs w:val="20"/>
              </w:rPr>
            </w:pPr>
            <w:r>
              <w:rPr>
                <w:rFonts w:asciiTheme="minorHAnsi" w:hAnsiTheme="minorHAnsi" w:cs="Arial"/>
                <w:sz w:val="20"/>
                <w:szCs w:val="20"/>
              </w:rPr>
              <w:t>(3)</w:t>
            </w:r>
          </w:p>
        </w:tc>
        <w:tc>
          <w:tcPr>
            <w:tcW w:w="1338" w:type="dxa"/>
            <w:shd w:val="clear" w:color="auto" w:fill="B8CCE4" w:themeFill="accent1" w:themeFillTint="66"/>
            <w:vAlign w:val="center"/>
          </w:tcPr>
          <w:p w:rsidR="00B72447" w:rsidRPr="003E335B" w:rsidRDefault="003E335B"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38" w:type="dxa"/>
            <w:shd w:val="clear" w:color="auto" w:fill="B8CCE4" w:themeFill="accent1" w:themeFillTint="66"/>
            <w:vAlign w:val="center"/>
          </w:tcPr>
          <w:p w:rsidR="00B72447" w:rsidRPr="003E335B" w:rsidRDefault="003E335B"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38" w:type="dxa"/>
            <w:shd w:val="clear" w:color="auto" w:fill="B8CCE4" w:themeFill="accent1" w:themeFillTint="66"/>
            <w:vAlign w:val="center"/>
          </w:tcPr>
          <w:p w:rsidR="00B72447" w:rsidRPr="003E335B" w:rsidRDefault="003E335B"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38" w:type="dxa"/>
            <w:shd w:val="clear" w:color="auto" w:fill="B8CCE4" w:themeFill="accent1" w:themeFillTint="66"/>
            <w:vAlign w:val="center"/>
          </w:tcPr>
          <w:p w:rsidR="00B72447" w:rsidRPr="003E335B" w:rsidRDefault="003E335B"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38" w:type="dxa"/>
            <w:shd w:val="clear" w:color="auto" w:fill="B8CCE4" w:themeFill="accent1" w:themeFillTint="66"/>
            <w:vAlign w:val="center"/>
          </w:tcPr>
          <w:p w:rsidR="00B72447" w:rsidRPr="003E335B" w:rsidRDefault="003E335B" w:rsidP="000D70EC">
            <w:pPr>
              <w:spacing w:after="100" w:line="240" w:lineRule="auto"/>
              <w:jc w:val="right"/>
              <w:rPr>
                <w:rFonts w:asciiTheme="minorHAnsi" w:hAnsiTheme="minorHAnsi" w:cs="Arial"/>
                <w:sz w:val="20"/>
                <w:szCs w:val="20"/>
              </w:rPr>
            </w:pPr>
            <w:r>
              <w:rPr>
                <w:rFonts w:asciiTheme="minorHAnsi" w:hAnsiTheme="minorHAnsi" w:cs="Arial"/>
                <w:sz w:val="20"/>
                <w:szCs w:val="20"/>
              </w:rPr>
              <w:t>(3)</w:t>
            </w:r>
          </w:p>
        </w:tc>
      </w:tr>
      <w:tr w:rsidR="00847BCE" w:rsidRPr="003E335B" w:rsidTr="00D415D2">
        <w:tc>
          <w:tcPr>
            <w:tcW w:w="2070" w:type="dxa"/>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 xml:space="preserve">Share-based compensation expense for the </w:t>
            </w:r>
            <w:r w:rsidR="000D1FE3" w:rsidRPr="003E335B">
              <w:rPr>
                <w:rFonts w:asciiTheme="minorHAnsi" w:hAnsiTheme="minorHAnsi" w:cs="Arial"/>
                <w:sz w:val="20"/>
                <w:szCs w:val="20"/>
              </w:rPr>
              <w:t>period</w:t>
            </w:r>
          </w:p>
        </w:tc>
        <w:tc>
          <w:tcPr>
            <w:tcW w:w="1338" w:type="dxa"/>
            <w:vAlign w:val="center"/>
          </w:tcPr>
          <w:p w:rsidR="00847BCE" w:rsidRPr="003E335B" w:rsidRDefault="003E335B"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38" w:type="dxa"/>
            <w:vAlign w:val="center"/>
          </w:tcPr>
          <w:p w:rsidR="00847BCE" w:rsidRPr="003E335B" w:rsidRDefault="003E335B" w:rsidP="000D70EC">
            <w:pPr>
              <w:spacing w:after="100" w:line="240" w:lineRule="auto"/>
              <w:jc w:val="right"/>
              <w:rPr>
                <w:rFonts w:asciiTheme="minorHAnsi" w:hAnsiTheme="minorHAnsi" w:cs="Arial"/>
                <w:sz w:val="20"/>
                <w:szCs w:val="20"/>
              </w:rPr>
            </w:pPr>
            <w:r>
              <w:rPr>
                <w:rFonts w:asciiTheme="minorHAnsi" w:hAnsiTheme="minorHAnsi" w:cs="Arial"/>
                <w:sz w:val="20"/>
                <w:szCs w:val="20"/>
              </w:rPr>
              <w:t>16</w:t>
            </w:r>
          </w:p>
        </w:tc>
        <w:tc>
          <w:tcPr>
            <w:tcW w:w="1338" w:type="dxa"/>
            <w:vAlign w:val="center"/>
          </w:tcPr>
          <w:p w:rsidR="00847BCE" w:rsidRPr="003E335B" w:rsidRDefault="003E335B"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38" w:type="dxa"/>
            <w:vAlign w:val="center"/>
          </w:tcPr>
          <w:p w:rsidR="00847BCE" w:rsidRPr="003E335B" w:rsidRDefault="003E335B"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38" w:type="dxa"/>
            <w:vAlign w:val="center"/>
          </w:tcPr>
          <w:p w:rsidR="00847BCE" w:rsidRPr="003E335B" w:rsidRDefault="003E335B"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38" w:type="dxa"/>
            <w:vAlign w:val="center"/>
          </w:tcPr>
          <w:p w:rsidR="00847BCE" w:rsidRPr="003E335B" w:rsidRDefault="003E335B" w:rsidP="000D70EC">
            <w:pPr>
              <w:spacing w:after="100" w:line="240" w:lineRule="auto"/>
              <w:jc w:val="right"/>
              <w:rPr>
                <w:rFonts w:asciiTheme="minorHAnsi" w:hAnsiTheme="minorHAnsi" w:cs="Arial"/>
                <w:sz w:val="20"/>
                <w:szCs w:val="20"/>
              </w:rPr>
            </w:pPr>
            <w:r>
              <w:rPr>
                <w:rFonts w:asciiTheme="minorHAnsi" w:hAnsiTheme="minorHAnsi" w:cs="Arial"/>
                <w:sz w:val="20"/>
                <w:szCs w:val="20"/>
              </w:rPr>
              <w:t>16</w:t>
            </w:r>
          </w:p>
        </w:tc>
      </w:tr>
      <w:tr w:rsidR="00847BCE" w:rsidRPr="003E335B" w:rsidTr="00D415D2">
        <w:tc>
          <w:tcPr>
            <w:tcW w:w="2070" w:type="dxa"/>
            <w:shd w:val="clear" w:color="auto" w:fill="B8CCE4" w:themeFill="accent1" w:themeFillTint="66"/>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Net movement recognized in the statement of comprehensive income</w:t>
            </w:r>
          </w:p>
        </w:tc>
        <w:tc>
          <w:tcPr>
            <w:tcW w:w="1338" w:type="dxa"/>
            <w:tcBorders>
              <w:bottom w:val="single" w:sz="18" w:space="0" w:color="auto"/>
            </w:tcBorders>
            <w:shd w:val="clear" w:color="auto" w:fill="B8CCE4" w:themeFill="accent1" w:themeFillTint="66"/>
            <w:vAlign w:val="center"/>
          </w:tcPr>
          <w:p w:rsidR="00847BCE" w:rsidRPr="003E335B" w:rsidRDefault="003E335B"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38" w:type="dxa"/>
            <w:tcBorders>
              <w:bottom w:val="single" w:sz="18" w:space="0" w:color="auto"/>
            </w:tcBorders>
            <w:shd w:val="clear" w:color="auto" w:fill="B8CCE4" w:themeFill="accent1" w:themeFillTint="66"/>
            <w:vAlign w:val="center"/>
          </w:tcPr>
          <w:p w:rsidR="00847BCE" w:rsidRPr="003E335B" w:rsidRDefault="003E335B"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338" w:type="dxa"/>
            <w:tcBorders>
              <w:bottom w:val="single" w:sz="18" w:space="0" w:color="auto"/>
            </w:tcBorders>
            <w:shd w:val="clear" w:color="auto" w:fill="B8CCE4" w:themeFill="accent1" w:themeFillTint="66"/>
            <w:vAlign w:val="center"/>
          </w:tcPr>
          <w:p w:rsidR="00847BCE" w:rsidRPr="003E335B" w:rsidRDefault="003E335B" w:rsidP="000D70EC">
            <w:pPr>
              <w:spacing w:after="100" w:line="240" w:lineRule="auto"/>
              <w:jc w:val="right"/>
              <w:rPr>
                <w:rFonts w:asciiTheme="minorHAnsi" w:hAnsiTheme="minorHAnsi" w:cs="Arial"/>
                <w:sz w:val="20"/>
                <w:szCs w:val="20"/>
              </w:rPr>
            </w:pPr>
            <w:r>
              <w:rPr>
                <w:rFonts w:asciiTheme="minorHAnsi" w:hAnsiTheme="minorHAnsi" w:cs="Arial"/>
                <w:sz w:val="20"/>
                <w:szCs w:val="20"/>
              </w:rPr>
              <w:t>(27)</w:t>
            </w:r>
          </w:p>
        </w:tc>
        <w:tc>
          <w:tcPr>
            <w:tcW w:w="1338" w:type="dxa"/>
            <w:tcBorders>
              <w:bottom w:val="single" w:sz="18" w:space="0" w:color="auto"/>
            </w:tcBorders>
            <w:shd w:val="clear" w:color="auto" w:fill="B8CCE4" w:themeFill="accent1" w:themeFillTint="66"/>
            <w:vAlign w:val="center"/>
          </w:tcPr>
          <w:p w:rsidR="00847BCE" w:rsidRPr="003E335B" w:rsidRDefault="002D10BE" w:rsidP="000D70EC">
            <w:pPr>
              <w:spacing w:after="100" w:line="240" w:lineRule="auto"/>
              <w:jc w:val="right"/>
              <w:rPr>
                <w:rFonts w:asciiTheme="minorHAnsi" w:hAnsiTheme="minorHAnsi" w:cs="Arial"/>
                <w:sz w:val="20"/>
                <w:szCs w:val="20"/>
              </w:rPr>
            </w:pPr>
            <w:r>
              <w:rPr>
                <w:rFonts w:asciiTheme="minorHAnsi" w:hAnsiTheme="minorHAnsi" w:cs="Arial"/>
                <w:sz w:val="20"/>
                <w:szCs w:val="20"/>
              </w:rPr>
              <w:t>38</w:t>
            </w:r>
          </w:p>
        </w:tc>
        <w:tc>
          <w:tcPr>
            <w:tcW w:w="1338" w:type="dxa"/>
            <w:tcBorders>
              <w:bottom w:val="single" w:sz="18" w:space="0" w:color="auto"/>
            </w:tcBorders>
            <w:shd w:val="clear" w:color="auto" w:fill="B8CCE4" w:themeFill="accent1" w:themeFillTint="66"/>
            <w:vAlign w:val="center"/>
          </w:tcPr>
          <w:p w:rsidR="00847BCE" w:rsidRPr="003E335B" w:rsidRDefault="003E335B" w:rsidP="000D70EC">
            <w:pPr>
              <w:spacing w:after="100" w:line="240" w:lineRule="auto"/>
              <w:jc w:val="right"/>
              <w:rPr>
                <w:rFonts w:asciiTheme="minorHAnsi" w:hAnsiTheme="minorHAnsi" w:cs="Arial"/>
                <w:sz w:val="20"/>
                <w:szCs w:val="20"/>
              </w:rPr>
            </w:pPr>
            <w:r>
              <w:rPr>
                <w:rFonts w:asciiTheme="minorHAnsi" w:hAnsiTheme="minorHAnsi" w:cs="Arial"/>
                <w:sz w:val="20"/>
                <w:szCs w:val="20"/>
              </w:rPr>
              <w:t>261</w:t>
            </w:r>
          </w:p>
        </w:tc>
        <w:tc>
          <w:tcPr>
            <w:tcW w:w="1338" w:type="dxa"/>
            <w:tcBorders>
              <w:bottom w:val="single" w:sz="18" w:space="0" w:color="auto"/>
            </w:tcBorders>
            <w:shd w:val="clear" w:color="auto" w:fill="B8CCE4" w:themeFill="accent1" w:themeFillTint="66"/>
            <w:vAlign w:val="center"/>
          </w:tcPr>
          <w:p w:rsidR="00847BCE" w:rsidRPr="003E335B" w:rsidRDefault="002F5240" w:rsidP="00335346">
            <w:pPr>
              <w:spacing w:after="100" w:line="240" w:lineRule="auto"/>
              <w:jc w:val="right"/>
              <w:rPr>
                <w:rFonts w:asciiTheme="minorHAnsi" w:hAnsiTheme="minorHAnsi" w:cs="Arial"/>
                <w:sz w:val="20"/>
                <w:szCs w:val="20"/>
              </w:rPr>
            </w:pPr>
            <w:r>
              <w:rPr>
                <w:rFonts w:asciiTheme="minorHAnsi" w:hAnsiTheme="minorHAnsi" w:cs="Arial"/>
                <w:sz w:val="20"/>
                <w:szCs w:val="20"/>
              </w:rPr>
              <w:t>2</w:t>
            </w:r>
            <w:r w:rsidR="00335346">
              <w:rPr>
                <w:rFonts w:asciiTheme="minorHAnsi" w:hAnsiTheme="minorHAnsi" w:cs="Arial"/>
                <w:sz w:val="20"/>
                <w:szCs w:val="20"/>
              </w:rPr>
              <w:t>72</w:t>
            </w:r>
          </w:p>
        </w:tc>
      </w:tr>
      <w:tr w:rsidR="00847BCE" w:rsidRPr="003E335B" w:rsidTr="00D415D2">
        <w:tc>
          <w:tcPr>
            <w:tcW w:w="2070" w:type="dxa"/>
            <w:tcBorders>
              <w:bottom w:val="single" w:sz="18" w:space="0" w:color="auto"/>
            </w:tcBorders>
            <w:hideMark/>
          </w:tcPr>
          <w:p w:rsidR="00847BCE" w:rsidRPr="003E335B" w:rsidRDefault="00847BCE"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As at Ju</w:t>
            </w:r>
            <w:r w:rsidR="00BE357C" w:rsidRPr="003E335B">
              <w:rPr>
                <w:rFonts w:asciiTheme="minorHAnsi" w:hAnsiTheme="minorHAnsi" w:cs="Arial"/>
                <w:b/>
                <w:sz w:val="20"/>
                <w:szCs w:val="20"/>
              </w:rPr>
              <w:t>ly</w:t>
            </w:r>
            <w:r w:rsidRPr="003E335B">
              <w:rPr>
                <w:rFonts w:asciiTheme="minorHAnsi" w:hAnsiTheme="minorHAnsi" w:cs="Arial"/>
                <w:b/>
                <w:sz w:val="20"/>
                <w:szCs w:val="20"/>
              </w:rPr>
              <w:t xml:space="preserve"> 2, 201</w:t>
            </w:r>
            <w:r w:rsidR="00BE357C" w:rsidRPr="003E335B">
              <w:rPr>
                <w:rFonts w:asciiTheme="minorHAnsi" w:hAnsiTheme="minorHAnsi" w:cs="Arial"/>
                <w:b/>
                <w:sz w:val="20"/>
                <w:szCs w:val="20"/>
              </w:rPr>
              <w:t>1</w:t>
            </w:r>
            <w:r w:rsidR="00EF1BC8" w:rsidRPr="003E335B">
              <w:rPr>
                <w:rFonts w:asciiTheme="minorHAnsi" w:hAnsiTheme="minorHAnsi" w:cs="Arial"/>
                <w:b/>
                <w:sz w:val="20"/>
                <w:szCs w:val="20"/>
              </w:rPr>
              <w:t xml:space="preserve"> (unaudited)</w:t>
            </w:r>
          </w:p>
        </w:tc>
        <w:tc>
          <w:tcPr>
            <w:tcW w:w="1338" w:type="dxa"/>
            <w:tcBorders>
              <w:top w:val="single" w:sz="18" w:space="0" w:color="auto"/>
              <w:bottom w:val="single" w:sz="18" w:space="0" w:color="auto"/>
            </w:tcBorders>
            <w:vAlign w:val="center"/>
          </w:tcPr>
          <w:p w:rsidR="00847BCE" w:rsidRPr="003E335B" w:rsidRDefault="003E335B"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218</w:t>
            </w:r>
          </w:p>
        </w:tc>
        <w:tc>
          <w:tcPr>
            <w:tcW w:w="1338" w:type="dxa"/>
            <w:tcBorders>
              <w:top w:val="single" w:sz="18" w:space="0" w:color="auto"/>
              <w:bottom w:val="single" w:sz="18" w:space="0" w:color="auto"/>
            </w:tcBorders>
            <w:vAlign w:val="center"/>
          </w:tcPr>
          <w:p w:rsidR="00847BCE" w:rsidRPr="003E335B" w:rsidRDefault="003E335B"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482</w:t>
            </w:r>
          </w:p>
        </w:tc>
        <w:tc>
          <w:tcPr>
            <w:tcW w:w="1338" w:type="dxa"/>
            <w:tcBorders>
              <w:top w:val="single" w:sz="18" w:space="0" w:color="auto"/>
              <w:bottom w:val="single" w:sz="18" w:space="0" w:color="auto"/>
            </w:tcBorders>
            <w:vAlign w:val="center"/>
          </w:tcPr>
          <w:p w:rsidR="00847BCE" w:rsidRPr="003E335B" w:rsidRDefault="003E335B"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(1)</w:t>
            </w:r>
          </w:p>
        </w:tc>
        <w:tc>
          <w:tcPr>
            <w:tcW w:w="1338" w:type="dxa"/>
            <w:tcBorders>
              <w:top w:val="single" w:sz="18" w:space="0" w:color="auto"/>
              <w:bottom w:val="single" w:sz="18" w:space="0" w:color="auto"/>
            </w:tcBorders>
            <w:vAlign w:val="center"/>
          </w:tcPr>
          <w:p w:rsidR="00847BCE" w:rsidRPr="003E335B" w:rsidRDefault="00335346"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69</w:t>
            </w:r>
          </w:p>
        </w:tc>
        <w:tc>
          <w:tcPr>
            <w:tcW w:w="1338" w:type="dxa"/>
            <w:tcBorders>
              <w:top w:val="single" w:sz="18" w:space="0" w:color="auto"/>
              <w:bottom w:val="single" w:sz="18" w:space="0" w:color="auto"/>
            </w:tcBorders>
            <w:vAlign w:val="center"/>
          </w:tcPr>
          <w:p w:rsidR="00847BCE" w:rsidRPr="003E335B" w:rsidRDefault="003E335B"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1,148</w:t>
            </w:r>
          </w:p>
        </w:tc>
        <w:tc>
          <w:tcPr>
            <w:tcW w:w="1338" w:type="dxa"/>
            <w:tcBorders>
              <w:top w:val="single" w:sz="18" w:space="0" w:color="auto"/>
              <w:bottom w:val="single" w:sz="18" w:space="0" w:color="auto"/>
            </w:tcBorders>
            <w:vAlign w:val="center"/>
          </w:tcPr>
          <w:p w:rsidR="00847BCE" w:rsidRPr="003E335B" w:rsidRDefault="003E335B" w:rsidP="00335346">
            <w:pPr>
              <w:spacing w:after="100" w:line="240" w:lineRule="auto"/>
              <w:jc w:val="right"/>
              <w:rPr>
                <w:rFonts w:asciiTheme="minorHAnsi" w:hAnsiTheme="minorHAnsi" w:cs="Arial"/>
                <w:b/>
                <w:sz w:val="20"/>
                <w:szCs w:val="20"/>
              </w:rPr>
            </w:pPr>
            <w:r>
              <w:rPr>
                <w:rFonts w:asciiTheme="minorHAnsi" w:hAnsiTheme="minorHAnsi" w:cs="Arial"/>
                <w:b/>
                <w:sz w:val="20"/>
                <w:szCs w:val="20"/>
              </w:rPr>
              <w:t>1,</w:t>
            </w:r>
            <w:r w:rsidR="00335346">
              <w:rPr>
                <w:rFonts w:asciiTheme="minorHAnsi" w:hAnsiTheme="minorHAnsi" w:cs="Arial"/>
                <w:b/>
                <w:sz w:val="20"/>
                <w:szCs w:val="20"/>
              </w:rPr>
              <w:t>916</w:t>
            </w:r>
          </w:p>
        </w:tc>
      </w:tr>
    </w:tbl>
    <w:p w:rsidR="008733F0" w:rsidRDefault="008733F0">
      <w:pPr>
        <w:spacing w:after="100" w:line="240" w:lineRule="auto"/>
        <w:jc w:val="both"/>
        <w:rPr>
          <w:rFonts w:asciiTheme="minorHAnsi" w:hAnsiTheme="minorHAnsi" w:cs="Arial"/>
          <w:b/>
          <w:i/>
          <w:sz w:val="20"/>
          <w:szCs w:val="20"/>
        </w:rPr>
      </w:pPr>
    </w:p>
    <w:p w:rsidR="008733F0" w:rsidRDefault="00847BCE">
      <w:pPr>
        <w:spacing w:after="100" w:line="240" w:lineRule="auto"/>
        <w:jc w:val="both"/>
        <w:rPr>
          <w:rFonts w:asciiTheme="minorHAnsi" w:hAnsiTheme="minorHAnsi" w:cs="Arial"/>
          <w:b/>
          <w:i/>
          <w:sz w:val="20"/>
          <w:szCs w:val="20"/>
        </w:rPr>
      </w:pPr>
      <w:r w:rsidRPr="003E335B">
        <w:rPr>
          <w:rFonts w:asciiTheme="minorHAnsi" w:hAnsiTheme="minorHAnsi" w:cs="Arial"/>
          <w:b/>
          <w:i/>
          <w:sz w:val="20"/>
          <w:szCs w:val="20"/>
        </w:rPr>
        <w:t>2016 Share conversion option</w:t>
      </w:r>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The 2016 Share conversion option reserve is used to recognize the equity component of the 2016 Convertible bond.</w:t>
      </w:r>
    </w:p>
    <w:p w:rsidR="008733F0" w:rsidRDefault="00847BCE">
      <w:pPr>
        <w:spacing w:after="100" w:line="240" w:lineRule="auto"/>
        <w:jc w:val="both"/>
        <w:rPr>
          <w:rFonts w:asciiTheme="minorHAnsi" w:hAnsiTheme="minorHAnsi" w:cs="Arial"/>
          <w:b/>
          <w:i/>
          <w:sz w:val="20"/>
          <w:szCs w:val="20"/>
        </w:rPr>
      </w:pPr>
      <w:r w:rsidRPr="003E335B">
        <w:rPr>
          <w:rFonts w:asciiTheme="minorHAnsi" w:hAnsiTheme="minorHAnsi" w:cs="Arial"/>
          <w:b/>
          <w:i/>
          <w:sz w:val="20"/>
          <w:szCs w:val="20"/>
        </w:rPr>
        <w:t>Share-based compensation reserve</w:t>
      </w:r>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 xml:space="preserve">The share-based compensation reserve is used to recognize the value of equity-settled share-based payment transactions provided to employees, including key management personnel, as part of their remuneration. </w:t>
      </w:r>
    </w:p>
    <w:p w:rsidR="008733F0" w:rsidRDefault="00847BCE">
      <w:pPr>
        <w:spacing w:after="100" w:line="240" w:lineRule="auto"/>
        <w:jc w:val="both"/>
        <w:rPr>
          <w:rFonts w:asciiTheme="minorHAnsi" w:hAnsiTheme="minorHAnsi" w:cs="Arial"/>
          <w:b/>
          <w:i/>
          <w:sz w:val="20"/>
          <w:szCs w:val="20"/>
        </w:rPr>
      </w:pPr>
      <w:r w:rsidRPr="003E335B">
        <w:rPr>
          <w:rFonts w:asciiTheme="minorHAnsi" w:hAnsiTheme="minorHAnsi" w:cs="Arial"/>
          <w:b/>
          <w:i/>
          <w:sz w:val="20"/>
          <w:szCs w:val="20"/>
        </w:rPr>
        <w:t>Cash Flow hedge reserve</w:t>
      </w:r>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 xml:space="preserve">The cash flow hedge reserve contains the effective portion of the cash flow hedge relationship incurred as at the reporting date. </w:t>
      </w:r>
    </w:p>
    <w:p w:rsidR="008733F0" w:rsidRDefault="00847BCE">
      <w:pPr>
        <w:spacing w:after="100" w:line="240" w:lineRule="auto"/>
        <w:jc w:val="both"/>
        <w:rPr>
          <w:rFonts w:asciiTheme="minorHAnsi" w:hAnsiTheme="minorHAnsi" w:cs="Arial"/>
          <w:b/>
          <w:i/>
          <w:sz w:val="20"/>
          <w:szCs w:val="20"/>
        </w:rPr>
      </w:pPr>
      <w:r w:rsidRPr="003E335B">
        <w:rPr>
          <w:rFonts w:asciiTheme="minorHAnsi" w:hAnsiTheme="minorHAnsi" w:cs="Arial"/>
          <w:b/>
          <w:i/>
          <w:sz w:val="20"/>
          <w:szCs w:val="20"/>
        </w:rPr>
        <w:t>Available-for-sale (AFS) reserve</w:t>
      </w:r>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This reserve records fair value changes on available-for-sale financial assets.</w:t>
      </w:r>
    </w:p>
    <w:p w:rsidR="00AC396D" w:rsidRDefault="00AC396D">
      <w:pPr>
        <w:spacing w:after="100" w:line="240" w:lineRule="auto"/>
        <w:rPr>
          <w:rFonts w:asciiTheme="minorHAnsi" w:hAnsiTheme="minorHAnsi" w:cs="Arial"/>
          <w:b/>
          <w:i/>
          <w:sz w:val="20"/>
          <w:szCs w:val="20"/>
        </w:rPr>
      </w:pPr>
      <w:r>
        <w:rPr>
          <w:rFonts w:asciiTheme="minorHAnsi" w:hAnsiTheme="minorHAnsi" w:cs="Arial"/>
          <w:b/>
          <w:i/>
          <w:sz w:val="20"/>
          <w:szCs w:val="20"/>
        </w:rPr>
        <w:br w:type="page"/>
      </w:r>
    </w:p>
    <w:p w:rsidR="008733F0" w:rsidRDefault="00847BCE">
      <w:pPr>
        <w:spacing w:after="100" w:line="240" w:lineRule="auto"/>
        <w:jc w:val="both"/>
        <w:rPr>
          <w:rFonts w:asciiTheme="minorHAnsi" w:hAnsiTheme="minorHAnsi" w:cs="Arial"/>
          <w:b/>
          <w:i/>
          <w:sz w:val="20"/>
          <w:szCs w:val="20"/>
        </w:rPr>
      </w:pPr>
      <w:r w:rsidRPr="003E335B">
        <w:rPr>
          <w:rFonts w:asciiTheme="minorHAnsi" w:hAnsiTheme="minorHAnsi" w:cs="Arial"/>
          <w:b/>
          <w:i/>
          <w:sz w:val="20"/>
          <w:szCs w:val="20"/>
        </w:rPr>
        <w:lastRenderedPageBreak/>
        <w:t>Foreign currency translation reserve</w:t>
      </w:r>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The foreign currency translation reserve is used to record exchange differences arising from the translation of the financial statements of foreign subsidiaries.</w:t>
      </w:r>
    </w:p>
    <w:p w:rsidR="00847BCE" w:rsidRPr="003E335B" w:rsidRDefault="00847BCE" w:rsidP="000D70EC">
      <w:pPr>
        <w:pStyle w:val="Title4"/>
        <w:spacing w:before="0" w:after="100" w:line="240" w:lineRule="auto"/>
        <w:rPr>
          <w:rFonts w:asciiTheme="minorHAnsi" w:hAnsiTheme="minorHAnsi"/>
          <w:sz w:val="20"/>
          <w:szCs w:val="20"/>
        </w:rPr>
      </w:pPr>
      <w:bookmarkStart w:id="221" w:name="_Toc265058938"/>
      <w:r w:rsidRPr="003E335B">
        <w:rPr>
          <w:rFonts w:asciiTheme="minorHAnsi" w:hAnsiTheme="minorHAnsi"/>
          <w:sz w:val="20"/>
          <w:szCs w:val="20"/>
        </w:rPr>
        <w:t>Dividends</w:t>
      </w:r>
      <w:bookmarkEnd w:id="221"/>
    </w:p>
    <w:p w:rsidR="003E335B" w:rsidRPr="003E335B" w:rsidRDefault="003E335B" w:rsidP="00AC396D">
      <w:pPr>
        <w:pStyle w:val="BodyText11"/>
        <w:spacing w:before="240"/>
        <w:rPr>
          <w:rFonts w:eastAsia="Calibri" w:cs="Arial"/>
          <w:lang w:bidi="ar-SA"/>
        </w:rPr>
      </w:pPr>
      <w:r w:rsidRPr="003E335B">
        <w:rPr>
          <w:rFonts w:eastAsia="Calibri" w:cs="Arial"/>
          <w:lang w:bidi="ar-SA"/>
        </w:rPr>
        <w:t xml:space="preserve">At the Company’s Annual General Meeting of Shareholders held on May 25, 2010, the distribution of a cash dividend of $0.28 per common share to be paid in four equal installments was adopted by the Company’s shareholders. Through December 31, 2010, three installments were paid for an amount of $186 million including withholding tax. The remaining $0.07 per share cash dividend totaling $62 million was paid in the first </w:t>
      </w:r>
      <w:r w:rsidR="00971D3F">
        <w:rPr>
          <w:rFonts w:eastAsia="Calibri" w:cs="Arial"/>
          <w:lang w:bidi="ar-SA"/>
        </w:rPr>
        <w:t>half</w:t>
      </w:r>
      <w:r w:rsidRPr="003E335B">
        <w:rPr>
          <w:rFonts w:eastAsia="Calibri" w:cs="Arial"/>
          <w:lang w:bidi="ar-SA"/>
        </w:rPr>
        <w:t xml:space="preserve"> of 2011. </w:t>
      </w:r>
      <w:bookmarkStart w:id="222" w:name="_DV_M140"/>
      <w:bookmarkEnd w:id="222"/>
    </w:p>
    <w:p w:rsidR="008733F0" w:rsidRDefault="003E335B">
      <w:pPr>
        <w:spacing w:after="100" w:line="240" w:lineRule="auto"/>
        <w:jc w:val="both"/>
        <w:rPr>
          <w:rFonts w:asciiTheme="minorHAnsi" w:hAnsiTheme="minorHAnsi" w:cs="Arial"/>
          <w:sz w:val="20"/>
          <w:szCs w:val="20"/>
        </w:rPr>
      </w:pPr>
      <w:r w:rsidRPr="003E335B">
        <w:rPr>
          <w:rFonts w:asciiTheme="minorHAnsi" w:hAnsiTheme="minorHAnsi" w:cs="Arial"/>
          <w:sz w:val="20"/>
          <w:szCs w:val="20"/>
        </w:rPr>
        <w:t>At the Company’s Annual General Meeting of Shareholders held on May 3, 2011, the distribution of a cash dividend of $0.40 per common share to be paid in four equal installments was approved by the Company’s shareholders.</w:t>
      </w:r>
      <w:bookmarkStart w:id="223" w:name="_Toc258421350"/>
      <w:bookmarkStart w:id="224" w:name="_Toc257898990"/>
      <w:bookmarkStart w:id="225" w:name="_Toc265058939"/>
      <w:bookmarkStart w:id="226" w:name="_Toc266868921"/>
      <w:bookmarkStart w:id="227" w:name="_Toc266869137"/>
      <w:bookmarkStart w:id="228" w:name="_Toc266885172"/>
      <w:bookmarkStart w:id="229" w:name="_Toc266886358"/>
      <w:bookmarkStart w:id="230" w:name="_Toc269825403"/>
      <w:bookmarkStart w:id="231" w:name="_Toc297204185"/>
      <w:r w:rsidR="00301B18">
        <w:rPr>
          <w:rFonts w:asciiTheme="minorHAnsi" w:hAnsiTheme="minorHAnsi" w:cs="Arial"/>
          <w:sz w:val="20"/>
          <w:szCs w:val="20"/>
        </w:rPr>
        <w:t xml:space="preserve"> The first installment of $0.10 per share cash dividend totaling $89 million was paid in the first half of 2011.</w:t>
      </w:r>
    </w:p>
    <w:p w:rsidR="00847BCE" w:rsidRPr="002F5240" w:rsidRDefault="00847BCE" w:rsidP="002F5240">
      <w:pPr>
        <w:pStyle w:val="Title3"/>
        <w:rPr>
          <w:sz w:val="20"/>
          <w:szCs w:val="20"/>
        </w:rPr>
      </w:pPr>
      <w:bookmarkStart w:id="232" w:name="_Toc300834245"/>
      <w:r w:rsidRPr="002F5240">
        <w:rPr>
          <w:sz w:val="20"/>
          <w:szCs w:val="20"/>
        </w:rPr>
        <w:t>Provisions</w:t>
      </w:r>
      <w:bookmarkEnd w:id="223"/>
      <w:bookmarkEnd w:id="224"/>
      <w:bookmarkEnd w:id="225"/>
      <w:bookmarkEnd w:id="226"/>
      <w:bookmarkEnd w:id="227"/>
      <w:bookmarkEnd w:id="228"/>
      <w:bookmarkEnd w:id="229"/>
      <w:r w:rsidR="00D24D83" w:rsidRPr="002F5240">
        <w:rPr>
          <w:sz w:val="20"/>
          <w:szCs w:val="20"/>
        </w:rPr>
        <w:t xml:space="preserve"> for </w:t>
      </w:r>
      <w:r w:rsidR="00577597" w:rsidRPr="002F5240">
        <w:rPr>
          <w:sz w:val="20"/>
          <w:szCs w:val="20"/>
        </w:rPr>
        <w:t>restructuring</w:t>
      </w:r>
      <w:bookmarkEnd w:id="230"/>
      <w:bookmarkEnd w:id="231"/>
      <w:bookmarkEnd w:id="232"/>
    </w:p>
    <w:p w:rsidR="008733F0" w:rsidRDefault="006D777B">
      <w:pPr>
        <w:spacing w:after="100" w:line="240" w:lineRule="auto"/>
        <w:jc w:val="both"/>
        <w:rPr>
          <w:rFonts w:asciiTheme="minorHAnsi" w:hAnsiTheme="minorHAnsi" w:cs="Arial"/>
          <w:sz w:val="20"/>
          <w:szCs w:val="20"/>
        </w:rPr>
      </w:pPr>
      <w:r>
        <w:rPr>
          <w:rFonts w:asciiTheme="minorHAnsi" w:hAnsiTheme="minorHAnsi" w:cs="Arial"/>
          <w:sz w:val="20"/>
          <w:szCs w:val="20"/>
        </w:rPr>
        <w:t xml:space="preserve">As at July 2, 2011, provisions for restructuring amounted to $94 million (of which </w:t>
      </w:r>
      <w:r w:rsidR="006D01F5">
        <w:rPr>
          <w:rFonts w:asciiTheme="minorHAnsi" w:hAnsiTheme="minorHAnsi" w:cs="Arial"/>
          <w:sz w:val="20"/>
          <w:szCs w:val="20"/>
        </w:rPr>
        <w:t>$74 million was included in Current Provision on the consolidated statement of financial position and $</w:t>
      </w:r>
      <w:r w:rsidR="00A23733">
        <w:rPr>
          <w:rFonts w:asciiTheme="minorHAnsi" w:hAnsiTheme="minorHAnsi" w:cs="Arial"/>
          <w:sz w:val="20"/>
          <w:szCs w:val="20"/>
        </w:rPr>
        <w:t xml:space="preserve">20 </w:t>
      </w:r>
      <w:r w:rsidR="006D01F5">
        <w:rPr>
          <w:rFonts w:asciiTheme="minorHAnsi" w:hAnsiTheme="minorHAnsi" w:cs="Arial"/>
          <w:sz w:val="20"/>
          <w:szCs w:val="20"/>
        </w:rPr>
        <w:t>million in Non-current provisions).</w:t>
      </w:r>
      <w:r>
        <w:rPr>
          <w:rFonts w:asciiTheme="minorHAnsi" w:hAnsiTheme="minorHAnsi" w:cs="Arial"/>
          <w:sz w:val="20"/>
          <w:szCs w:val="20"/>
        </w:rPr>
        <w:t xml:space="preserve"> </w:t>
      </w:r>
      <w:r w:rsidR="00847BCE" w:rsidRPr="003E335B">
        <w:rPr>
          <w:rFonts w:asciiTheme="minorHAnsi" w:hAnsiTheme="minorHAnsi" w:cs="Arial"/>
          <w:sz w:val="20"/>
          <w:szCs w:val="20"/>
        </w:rPr>
        <w:t>M</w:t>
      </w:r>
      <w:r w:rsidR="006974EA" w:rsidRPr="003E335B">
        <w:rPr>
          <w:rFonts w:asciiTheme="minorHAnsi" w:hAnsiTheme="minorHAnsi" w:cs="Arial"/>
          <w:sz w:val="20"/>
          <w:szCs w:val="20"/>
        </w:rPr>
        <w:t>o</w:t>
      </w:r>
      <w:r w:rsidR="00847BCE" w:rsidRPr="003E335B">
        <w:rPr>
          <w:rFonts w:asciiTheme="minorHAnsi" w:hAnsiTheme="minorHAnsi" w:cs="Arial"/>
          <w:sz w:val="20"/>
          <w:szCs w:val="20"/>
        </w:rPr>
        <w:t xml:space="preserve">vements </w:t>
      </w:r>
      <w:r w:rsidR="00D24D83" w:rsidRPr="003E335B">
        <w:rPr>
          <w:rFonts w:asciiTheme="minorHAnsi" w:hAnsiTheme="minorHAnsi" w:cs="Arial"/>
          <w:sz w:val="20"/>
          <w:szCs w:val="20"/>
        </w:rPr>
        <w:t xml:space="preserve">during the first half </w:t>
      </w:r>
      <w:r w:rsidR="00971D3F">
        <w:rPr>
          <w:rFonts w:asciiTheme="minorHAnsi" w:hAnsiTheme="minorHAnsi" w:cs="Arial"/>
          <w:sz w:val="20"/>
          <w:szCs w:val="20"/>
        </w:rPr>
        <w:t xml:space="preserve">of </w:t>
      </w:r>
      <w:r w:rsidR="00D24D83" w:rsidRPr="003E335B">
        <w:rPr>
          <w:rFonts w:asciiTheme="minorHAnsi" w:hAnsiTheme="minorHAnsi" w:cs="Arial"/>
          <w:sz w:val="20"/>
          <w:szCs w:val="20"/>
        </w:rPr>
        <w:t>201</w:t>
      </w:r>
      <w:r w:rsidR="00971D3F">
        <w:rPr>
          <w:rFonts w:asciiTheme="minorHAnsi" w:hAnsiTheme="minorHAnsi" w:cs="Arial"/>
          <w:sz w:val="20"/>
          <w:szCs w:val="20"/>
        </w:rPr>
        <w:t>1</w:t>
      </w:r>
      <w:r w:rsidR="00D24D83" w:rsidRPr="003E335B">
        <w:rPr>
          <w:rFonts w:asciiTheme="minorHAnsi" w:hAnsiTheme="minorHAnsi" w:cs="Arial"/>
          <w:sz w:val="20"/>
          <w:szCs w:val="20"/>
        </w:rPr>
        <w:t xml:space="preserve"> </w:t>
      </w:r>
      <w:r w:rsidR="00847BCE" w:rsidRPr="003E335B">
        <w:rPr>
          <w:rFonts w:asciiTheme="minorHAnsi" w:hAnsiTheme="minorHAnsi" w:cs="Arial"/>
          <w:sz w:val="20"/>
          <w:szCs w:val="20"/>
        </w:rPr>
        <w:t>are detailed as follows:</w:t>
      </w:r>
    </w:p>
    <w:tbl>
      <w:tblPr>
        <w:tblW w:w="10098" w:type="dxa"/>
        <w:tblLayout w:type="fixed"/>
        <w:tblLook w:val="04A0"/>
      </w:tblPr>
      <w:tblGrid>
        <w:gridCol w:w="2178"/>
        <w:gridCol w:w="1548"/>
        <w:gridCol w:w="1548"/>
        <w:gridCol w:w="1548"/>
        <w:gridCol w:w="1548"/>
        <w:gridCol w:w="1728"/>
      </w:tblGrid>
      <w:tr w:rsidR="00147520" w:rsidRPr="003E335B" w:rsidTr="00D415D2">
        <w:tc>
          <w:tcPr>
            <w:tcW w:w="2178" w:type="dxa"/>
            <w:tcBorders>
              <w:bottom w:val="single" w:sz="18" w:space="0" w:color="auto"/>
            </w:tcBorders>
            <w:vAlign w:val="bottom"/>
          </w:tcPr>
          <w:p w:rsidR="00147520" w:rsidRPr="003E335B" w:rsidRDefault="00147520"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1548" w:type="dxa"/>
            <w:tcBorders>
              <w:bottom w:val="single" w:sz="18" w:space="0" w:color="auto"/>
            </w:tcBorders>
            <w:vAlign w:val="bottom"/>
          </w:tcPr>
          <w:p w:rsidR="00147520" w:rsidRPr="003E335B" w:rsidRDefault="00147520"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Manufacturing Restructuring plan</w:t>
            </w:r>
          </w:p>
        </w:tc>
        <w:tc>
          <w:tcPr>
            <w:tcW w:w="1548" w:type="dxa"/>
            <w:tcBorders>
              <w:bottom w:val="single" w:sz="18" w:space="0" w:color="auto"/>
            </w:tcBorders>
            <w:vAlign w:val="bottom"/>
          </w:tcPr>
          <w:p w:rsidR="00147520" w:rsidRPr="003E335B" w:rsidRDefault="00147520"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ST-Ericsson restructuring plan</w:t>
            </w:r>
          </w:p>
        </w:tc>
        <w:tc>
          <w:tcPr>
            <w:tcW w:w="1548" w:type="dxa"/>
            <w:tcBorders>
              <w:bottom w:val="single" w:sz="18" w:space="0" w:color="auto"/>
            </w:tcBorders>
          </w:tcPr>
          <w:p w:rsidR="00147520" w:rsidRPr="003E335B" w:rsidRDefault="00147520" w:rsidP="000D70EC">
            <w:pPr>
              <w:spacing w:after="100" w:line="240" w:lineRule="auto"/>
              <w:jc w:val="center"/>
              <w:rPr>
                <w:rFonts w:asciiTheme="minorHAnsi" w:hAnsiTheme="minorHAnsi" w:cs="Arial"/>
                <w:sz w:val="20"/>
                <w:szCs w:val="20"/>
              </w:rPr>
            </w:pPr>
            <w:r>
              <w:rPr>
                <w:rFonts w:asciiTheme="minorHAnsi" w:hAnsiTheme="minorHAnsi" w:cs="Arial"/>
                <w:sz w:val="20"/>
                <w:szCs w:val="20"/>
              </w:rPr>
              <w:t>ST-Ericsson cost savings plan</w:t>
            </w:r>
          </w:p>
        </w:tc>
        <w:tc>
          <w:tcPr>
            <w:tcW w:w="1548" w:type="dxa"/>
            <w:tcBorders>
              <w:bottom w:val="single" w:sz="18" w:space="0" w:color="auto"/>
            </w:tcBorders>
            <w:vAlign w:val="bottom"/>
          </w:tcPr>
          <w:p w:rsidR="00147520" w:rsidRPr="003E335B" w:rsidRDefault="00147520"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Other restructuring initiatives</w:t>
            </w:r>
          </w:p>
        </w:tc>
        <w:tc>
          <w:tcPr>
            <w:tcW w:w="1728" w:type="dxa"/>
            <w:tcBorders>
              <w:bottom w:val="single" w:sz="18" w:space="0" w:color="auto"/>
            </w:tcBorders>
            <w:vAlign w:val="bottom"/>
          </w:tcPr>
          <w:p w:rsidR="00147520" w:rsidRPr="003E335B" w:rsidRDefault="00147520"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Restructuring provision</w:t>
            </w:r>
          </w:p>
        </w:tc>
      </w:tr>
      <w:tr w:rsidR="00147520" w:rsidRPr="003E335B" w:rsidTr="00D415D2">
        <w:tc>
          <w:tcPr>
            <w:tcW w:w="2178" w:type="dxa"/>
            <w:tcBorders>
              <w:top w:val="single" w:sz="18" w:space="0" w:color="auto"/>
            </w:tcBorders>
            <w:hideMark/>
          </w:tcPr>
          <w:p w:rsidR="00147520" w:rsidRPr="003E335B" w:rsidRDefault="00147520"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As at January 1, 2011 (audited)</w:t>
            </w:r>
          </w:p>
        </w:tc>
        <w:tc>
          <w:tcPr>
            <w:tcW w:w="1548" w:type="dxa"/>
            <w:tcBorders>
              <w:top w:val="single" w:sz="18" w:space="0" w:color="auto"/>
            </w:tcBorders>
            <w:vAlign w:val="center"/>
          </w:tcPr>
          <w:p w:rsidR="00147520" w:rsidRPr="003E335B" w:rsidRDefault="00147520"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59</w:t>
            </w:r>
          </w:p>
        </w:tc>
        <w:tc>
          <w:tcPr>
            <w:tcW w:w="1548" w:type="dxa"/>
            <w:tcBorders>
              <w:top w:val="single" w:sz="18" w:space="0" w:color="auto"/>
            </w:tcBorders>
            <w:vAlign w:val="center"/>
          </w:tcPr>
          <w:p w:rsidR="00147520" w:rsidRPr="003E335B" w:rsidRDefault="00147520"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60</w:t>
            </w:r>
          </w:p>
        </w:tc>
        <w:tc>
          <w:tcPr>
            <w:tcW w:w="1548" w:type="dxa"/>
            <w:tcBorders>
              <w:top w:val="single" w:sz="18" w:space="0" w:color="auto"/>
            </w:tcBorders>
            <w:vAlign w:val="center"/>
          </w:tcPr>
          <w:p w:rsidR="00147520" w:rsidRPr="003E335B" w:rsidRDefault="00147520"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w:t>
            </w:r>
          </w:p>
        </w:tc>
        <w:tc>
          <w:tcPr>
            <w:tcW w:w="1548" w:type="dxa"/>
            <w:tcBorders>
              <w:top w:val="single" w:sz="18" w:space="0" w:color="auto"/>
            </w:tcBorders>
            <w:vAlign w:val="center"/>
          </w:tcPr>
          <w:p w:rsidR="00147520" w:rsidRPr="003E335B" w:rsidRDefault="00147520"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19</w:t>
            </w:r>
          </w:p>
        </w:tc>
        <w:tc>
          <w:tcPr>
            <w:tcW w:w="1728" w:type="dxa"/>
            <w:tcBorders>
              <w:top w:val="single" w:sz="18" w:space="0" w:color="auto"/>
            </w:tcBorders>
            <w:vAlign w:val="center"/>
            <w:hideMark/>
          </w:tcPr>
          <w:p w:rsidR="00147520" w:rsidRPr="003E335B" w:rsidRDefault="00147520"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138</w:t>
            </w:r>
          </w:p>
        </w:tc>
      </w:tr>
      <w:tr w:rsidR="00147520" w:rsidRPr="003E335B" w:rsidTr="00D415D2">
        <w:tc>
          <w:tcPr>
            <w:tcW w:w="2178" w:type="dxa"/>
            <w:shd w:val="clear" w:color="auto" w:fill="B8CCE4" w:themeFill="accent1" w:themeFillTint="66"/>
            <w:hideMark/>
          </w:tcPr>
          <w:p w:rsidR="00147520" w:rsidRPr="003E335B" w:rsidRDefault="00147520"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Expense recognized during the period</w:t>
            </w:r>
          </w:p>
        </w:tc>
        <w:tc>
          <w:tcPr>
            <w:tcW w:w="1548" w:type="dxa"/>
            <w:shd w:val="clear" w:color="auto" w:fill="B8CCE4" w:themeFill="accent1" w:themeFillTint="66"/>
            <w:vAlign w:val="center"/>
          </w:tcPr>
          <w:p w:rsidR="00147520" w:rsidRPr="003E335B" w:rsidRDefault="00147520" w:rsidP="000D70EC">
            <w:pPr>
              <w:spacing w:after="100" w:line="240" w:lineRule="auto"/>
              <w:jc w:val="right"/>
              <w:rPr>
                <w:rFonts w:asciiTheme="minorHAnsi" w:hAnsiTheme="minorHAnsi" w:cs="Arial"/>
                <w:sz w:val="20"/>
                <w:szCs w:val="20"/>
              </w:rPr>
            </w:pPr>
            <w:r>
              <w:rPr>
                <w:rFonts w:asciiTheme="minorHAnsi" w:hAnsiTheme="minorHAnsi" w:cs="Arial"/>
                <w:sz w:val="20"/>
                <w:szCs w:val="20"/>
              </w:rPr>
              <w:t>29</w:t>
            </w:r>
          </w:p>
        </w:tc>
        <w:tc>
          <w:tcPr>
            <w:tcW w:w="1548" w:type="dxa"/>
            <w:shd w:val="clear" w:color="auto" w:fill="B8CCE4" w:themeFill="accent1" w:themeFillTint="66"/>
            <w:vAlign w:val="center"/>
          </w:tcPr>
          <w:p w:rsidR="00147520" w:rsidRPr="003E335B" w:rsidRDefault="00147520" w:rsidP="000D70EC">
            <w:pPr>
              <w:spacing w:after="100" w:line="240" w:lineRule="auto"/>
              <w:jc w:val="right"/>
              <w:rPr>
                <w:rFonts w:asciiTheme="minorHAnsi" w:hAnsiTheme="minorHAnsi" w:cs="Arial"/>
                <w:sz w:val="20"/>
                <w:szCs w:val="20"/>
              </w:rPr>
            </w:pPr>
            <w:r>
              <w:rPr>
                <w:rFonts w:asciiTheme="minorHAnsi" w:hAnsiTheme="minorHAnsi" w:cs="Arial"/>
                <w:sz w:val="20"/>
                <w:szCs w:val="20"/>
              </w:rPr>
              <w:t>5</w:t>
            </w:r>
          </w:p>
        </w:tc>
        <w:tc>
          <w:tcPr>
            <w:tcW w:w="1548" w:type="dxa"/>
            <w:shd w:val="clear" w:color="auto" w:fill="B8CCE4" w:themeFill="accent1" w:themeFillTint="66"/>
            <w:vAlign w:val="center"/>
          </w:tcPr>
          <w:p w:rsidR="00147520" w:rsidRPr="003E335B" w:rsidRDefault="00147520" w:rsidP="000D70EC">
            <w:pPr>
              <w:spacing w:after="100" w:line="240" w:lineRule="auto"/>
              <w:jc w:val="right"/>
              <w:rPr>
                <w:rFonts w:asciiTheme="minorHAnsi" w:hAnsiTheme="minorHAnsi" w:cs="Arial"/>
                <w:sz w:val="20"/>
                <w:szCs w:val="20"/>
              </w:rPr>
            </w:pPr>
            <w:r>
              <w:rPr>
                <w:rFonts w:asciiTheme="minorHAnsi" w:hAnsiTheme="minorHAnsi" w:cs="Arial"/>
                <w:sz w:val="20"/>
                <w:szCs w:val="20"/>
              </w:rPr>
              <w:t>22</w:t>
            </w:r>
          </w:p>
        </w:tc>
        <w:tc>
          <w:tcPr>
            <w:tcW w:w="1548" w:type="dxa"/>
            <w:shd w:val="clear" w:color="auto" w:fill="B8CCE4" w:themeFill="accent1" w:themeFillTint="66"/>
            <w:vAlign w:val="center"/>
          </w:tcPr>
          <w:p w:rsidR="00147520" w:rsidRPr="003E335B" w:rsidRDefault="00147520" w:rsidP="000D70EC">
            <w:pPr>
              <w:spacing w:after="100" w:line="240" w:lineRule="auto"/>
              <w:jc w:val="right"/>
              <w:rPr>
                <w:rFonts w:asciiTheme="minorHAnsi" w:hAnsiTheme="minorHAnsi" w:cs="Arial"/>
                <w:sz w:val="20"/>
                <w:szCs w:val="20"/>
              </w:rPr>
            </w:pPr>
            <w:r>
              <w:rPr>
                <w:rFonts w:asciiTheme="minorHAnsi" w:hAnsiTheme="minorHAnsi" w:cs="Arial"/>
                <w:sz w:val="20"/>
                <w:szCs w:val="20"/>
              </w:rPr>
              <w:t>1</w:t>
            </w:r>
          </w:p>
        </w:tc>
        <w:tc>
          <w:tcPr>
            <w:tcW w:w="1728" w:type="dxa"/>
            <w:shd w:val="clear" w:color="auto" w:fill="B8CCE4" w:themeFill="accent1" w:themeFillTint="66"/>
            <w:vAlign w:val="center"/>
          </w:tcPr>
          <w:p w:rsidR="00147520" w:rsidRPr="003E335B" w:rsidRDefault="00147520" w:rsidP="000D70EC">
            <w:pPr>
              <w:spacing w:after="100" w:line="240" w:lineRule="auto"/>
              <w:jc w:val="right"/>
              <w:rPr>
                <w:rFonts w:asciiTheme="minorHAnsi" w:hAnsiTheme="minorHAnsi" w:cs="Arial"/>
                <w:sz w:val="20"/>
                <w:szCs w:val="20"/>
              </w:rPr>
            </w:pPr>
            <w:r>
              <w:rPr>
                <w:rFonts w:asciiTheme="minorHAnsi" w:hAnsiTheme="minorHAnsi" w:cs="Arial"/>
                <w:sz w:val="20"/>
                <w:szCs w:val="20"/>
              </w:rPr>
              <w:t>57</w:t>
            </w:r>
          </w:p>
        </w:tc>
      </w:tr>
      <w:tr w:rsidR="00147520" w:rsidRPr="003E335B" w:rsidTr="00D415D2">
        <w:tc>
          <w:tcPr>
            <w:tcW w:w="2178" w:type="dxa"/>
            <w:hideMark/>
          </w:tcPr>
          <w:p w:rsidR="00147520" w:rsidRPr="003E335B" w:rsidRDefault="00147520"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Amounts paid</w:t>
            </w:r>
          </w:p>
        </w:tc>
        <w:tc>
          <w:tcPr>
            <w:tcW w:w="1548" w:type="dxa"/>
            <w:vAlign w:val="center"/>
          </w:tcPr>
          <w:p w:rsidR="00147520" w:rsidRPr="003E335B" w:rsidRDefault="00147520" w:rsidP="000D70EC">
            <w:pPr>
              <w:spacing w:after="100" w:line="240" w:lineRule="auto"/>
              <w:jc w:val="right"/>
              <w:rPr>
                <w:rFonts w:asciiTheme="minorHAnsi" w:hAnsiTheme="minorHAnsi" w:cs="Arial"/>
                <w:sz w:val="20"/>
                <w:szCs w:val="20"/>
              </w:rPr>
            </w:pPr>
            <w:r>
              <w:rPr>
                <w:rFonts w:asciiTheme="minorHAnsi" w:hAnsiTheme="minorHAnsi" w:cs="Arial"/>
                <w:sz w:val="20"/>
                <w:szCs w:val="20"/>
              </w:rPr>
              <w:t>(70)</w:t>
            </w:r>
          </w:p>
        </w:tc>
        <w:tc>
          <w:tcPr>
            <w:tcW w:w="1548" w:type="dxa"/>
            <w:vAlign w:val="center"/>
          </w:tcPr>
          <w:p w:rsidR="00147520" w:rsidRPr="003E335B" w:rsidRDefault="00147520" w:rsidP="000D70EC">
            <w:pPr>
              <w:spacing w:after="100" w:line="240" w:lineRule="auto"/>
              <w:jc w:val="right"/>
              <w:rPr>
                <w:rFonts w:asciiTheme="minorHAnsi" w:hAnsiTheme="minorHAnsi" w:cs="Arial"/>
                <w:sz w:val="20"/>
                <w:szCs w:val="20"/>
              </w:rPr>
            </w:pPr>
            <w:r>
              <w:rPr>
                <w:rFonts w:asciiTheme="minorHAnsi" w:hAnsiTheme="minorHAnsi" w:cs="Arial"/>
                <w:sz w:val="20"/>
                <w:szCs w:val="20"/>
              </w:rPr>
              <w:t>(31)</w:t>
            </w:r>
          </w:p>
        </w:tc>
        <w:tc>
          <w:tcPr>
            <w:tcW w:w="1548" w:type="dxa"/>
            <w:vAlign w:val="center"/>
          </w:tcPr>
          <w:p w:rsidR="00147520" w:rsidRPr="003E335B" w:rsidRDefault="00147520"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548" w:type="dxa"/>
            <w:vAlign w:val="center"/>
          </w:tcPr>
          <w:p w:rsidR="00147520" w:rsidRPr="003E335B" w:rsidRDefault="00147520" w:rsidP="000D70EC">
            <w:pPr>
              <w:spacing w:after="100" w:line="240" w:lineRule="auto"/>
              <w:jc w:val="right"/>
              <w:rPr>
                <w:rFonts w:asciiTheme="minorHAnsi" w:hAnsiTheme="minorHAnsi" w:cs="Arial"/>
                <w:sz w:val="20"/>
                <w:szCs w:val="20"/>
              </w:rPr>
            </w:pPr>
            <w:r>
              <w:rPr>
                <w:rFonts w:asciiTheme="minorHAnsi" w:hAnsiTheme="minorHAnsi" w:cs="Arial"/>
                <w:sz w:val="20"/>
                <w:szCs w:val="20"/>
              </w:rPr>
              <w:t>(5)</w:t>
            </w:r>
          </w:p>
        </w:tc>
        <w:tc>
          <w:tcPr>
            <w:tcW w:w="1728" w:type="dxa"/>
            <w:vAlign w:val="center"/>
          </w:tcPr>
          <w:p w:rsidR="00147520" w:rsidRPr="003E335B" w:rsidRDefault="00147520" w:rsidP="000D70EC">
            <w:pPr>
              <w:spacing w:after="100" w:line="240" w:lineRule="auto"/>
              <w:jc w:val="right"/>
              <w:rPr>
                <w:rFonts w:asciiTheme="minorHAnsi" w:hAnsiTheme="minorHAnsi" w:cs="Arial"/>
                <w:sz w:val="20"/>
                <w:szCs w:val="20"/>
              </w:rPr>
            </w:pPr>
            <w:r>
              <w:rPr>
                <w:rFonts w:asciiTheme="minorHAnsi" w:hAnsiTheme="minorHAnsi" w:cs="Arial"/>
                <w:sz w:val="20"/>
                <w:szCs w:val="20"/>
              </w:rPr>
              <w:t>(106)</w:t>
            </w:r>
          </w:p>
        </w:tc>
      </w:tr>
      <w:tr w:rsidR="00147520" w:rsidRPr="003E335B" w:rsidTr="00D415D2">
        <w:tc>
          <w:tcPr>
            <w:tcW w:w="2178" w:type="dxa"/>
            <w:shd w:val="clear" w:color="auto" w:fill="B8CCE4" w:themeFill="accent1" w:themeFillTint="66"/>
            <w:hideMark/>
          </w:tcPr>
          <w:p w:rsidR="00147520" w:rsidRPr="003E335B" w:rsidRDefault="00147520"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Currency translation effect</w:t>
            </w:r>
          </w:p>
        </w:tc>
        <w:tc>
          <w:tcPr>
            <w:tcW w:w="1548" w:type="dxa"/>
            <w:tcBorders>
              <w:bottom w:val="single" w:sz="18" w:space="0" w:color="auto"/>
            </w:tcBorders>
            <w:shd w:val="clear" w:color="auto" w:fill="B8CCE4" w:themeFill="accent1" w:themeFillTint="66"/>
            <w:vAlign w:val="center"/>
          </w:tcPr>
          <w:p w:rsidR="00147520" w:rsidRPr="003E335B" w:rsidRDefault="00147520"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548" w:type="dxa"/>
            <w:tcBorders>
              <w:bottom w:val="single" w:sz="18" w:space="0" w:color="auto"/>
            </w:tcBorders>
            <w:shd w:val="clear" w:color="auto" w:fill="B8CCE4" w:themeFill="accent1" w:themeFillTint="66"/>
            <w:vAlign w:val="center"/>
          </w:tcPr>
          <w:p w:rsidR="00147520" w:rsidRPr="003E335B" w:rsidRDefault="00147520" w:rsidP="000D70EC">
            <w:pPr>
              <w:spacing w:after="100" w:line="240" w:lineRule="auto"/>
              <w:jc w:val="right"/>
              <w:rPr>
                <w:rFonts w:asciiTheme="minorHAnsi" w:hAnsiTheme="minorHAnsi" w:cs="Arial"/>
                <w:sz w:val="20"/>
                <w:szCs w:val="20"/>
              </w:rPr>
            </w:pPr>
            <w:r>
              <w:rPr>
                <w:rFonts w:asciiTheme="minorHAnsi" w:hAnsiTheme="minorHAnsi" w:cs="Arial"/>
                <w:sz w:val="20"/>
                <w:szCs w:val="20"/>
              </w:rPr>
              <w:t>4</w:t>
            </w:r>
          </w:p>
        </w:tc>
        <w:tc>
          <w:tcPr>
            <w:tcW w:w="1548" w:type="dxa"/>
            <w:tcBorders>
              <w:bottom w:val="single" w:sz="18" w:space="0" w:color="auto"/>
            </w:tcBorders>
            <w:shd w:val="clear" w:color="auto" w:fill="B8CCE4" w:themeFill="accent1" w:themeFillTint="66"/>
            <w:vAlign w:val="center"/>
          </w:tcPr>
          <w:p w:rsidR="00147520" w:rsidRPr="003E335B" w:rsidRDefault="00147520"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548" w:type="dxa"/>
            <w:tcBorders>
              <w:bottom w:val="single" w:sz="18" w:space="0" w:color="auto"/>
            </w:tcBorders>
            <w:shd w:val="clear" w:color="auto" w:fill="B8CCE4" w:themeFill="accent1" w:themeFillTint="66"/>
            <w:vAlign w:val="center"/>
          </w:tcPr>
          <w:p w:rsidR="00147520" w:rsidRPr="003E335B" w:rsidRDefault="00147520" w:rsidP="000D70EC">
            <w:pPr>
              <w:spacing w:after="100" w:line="240" w:lineRule="auto"/>
              <w:jc w:val="right"/>
              <w:rPr>
                <w:rFonts w:asciiTheme="minorHAnsi" w:hAnsiTheme="minorHAnsi" w:cs="Arial"/>
                <w:sz w:val="20"/>
                <w:szCs w:val="20"/>
              </w:rPr>
            </w:pPr>
            <w:r>
              <w:rPr>
                <w:rFonts w:asciiTheme="minorHAnsi" w:hAnsiTheme="minorHAnsi" w:cs="Arial"/>
                <w:sz w:val="20"/>
                <w:szCs w:val="20"/>
              </w:rPr>
              <w:t>1</w:t>
            </w:r>
          </w:p>
        </w:tc>
        <w:tc>
          <w:tcPr>
            <w:tcW w:w="1728" w:type="dxa"/>
            <w:tcBorders>
              <w:bottom w:val="single" w:sz="18" w:space="0" w:color="auto"/>
            </w:tcBorders>
            <w:shd w:val="clear" w:color="auto" w:fill="B8CCE4" w:themeFill="accent1" w:themeFillTint="66"/>
            <w:vAlign w:val="center"/>
          </w:tcPr>
          <w:p w:rsidR="00147520" w:rsidRPr="003E335B" w:rsidRDefault="00147520" w:rsidP="000D70EC">
            <w:pPr>
              <w:spacing w:after="100" w:line="240" w:lineRule="auto"/>
              <w:jc w:val="right"/>
              <w:rPr>
                <w:rFonts w:asciiTheme="minorHAnsi" w:hAnsiTheme="minorHAnsi" w:cs="Arial"/>
                <w:sz w:val="20"/>
                <w:szCs w:val="20"/>
              </w:rPr>
            </w:pPr>
            <w:r>
              <w:rPr>
                <w:rFonts w:asciiTheme="minorHAnsi" w:hAnsiTheme="minorHAnsi" w:cs="Arial"/>
                <w:sz w:val="20"/>
                <w:szCs w:val="20"/>
              </w:rPr>
              <w:t>5</w:t>
            </w:r>
          </w:p>
        </w:tc>
      </w:tr>
      <w:tr w:rsidR="00147520" w:rsidRPr="003E335B" w:rsidTr="00D415D2">
        <w:tc>
          <w:tcPr>
            <w:tcW w:w="2178" w:type="dxa"/>
            <w:tcBorders>
              <w:bottom w:val="single" w:sz="18" w:space="0" w:color="auto"/>
            </w:tcBorders>
            <w:shd w:val="clear" w:color="auto" w:fill="auto"/>
            <w:hideMark/>
          </w:tcPr>
          <w:p w:rsidR="00147520" w:rsidRPr="003E335B" w:rsidRDefault="00147520"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As at July 2, 2011 (unaudited)</w:t>
            </w:r>
          </w:p>
        </w:tc>
        <w:tc>
          <w:tcPr>
            <w:tcW w:w="1548" w:type="dxa"/>
            <w:tcBorders>
              <w:top w:val="single" w:sz="18" w:space="0" w:color="auto"/>
              <w:bottom w:val="single" w:sz="18" w:space="0" w:color="auto"/>
            </w:tcBorders>
            <w:shd w:val="clear" w:color="auto" w:fill="auto"/>
            <w:vAlign w:val="center"/>
          </w:tcPr>
          <w:p w:rsidR="00147520" w:rsidRPr="003E335B" w:rsidRDefault="00147520"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18</w:t>
            </w:r>
          </w:p>
        </w:tc>
        <w:tc>
          <w:tcPr>
            <w:tcW w:w="1548" w:type="dxa"/>
            <w:tcBorders>
              <w:top w:val="single" w:sz="18" w:space="0" w:color="auto"/>
              <w:bottom w:val="single" w:sz="18" w:space="0" w:color="auto"/>
            </w:tcBorders>
            <w:shd w:val="clear" w:color="auto" w:fill="auto"/>
            <w:vAlign w:val="center"/>
          </w:tcPr>
          <w:p w:rsidR="00147520" w:rsidRPr="003E335B" w:rsidRDefault="00147520"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38</w:t>
            </w:r>
          </w:p>
        </w:tc>
        <w:tc>
          <w:tcPr>
            <w:tcW w:w="1548" w:type="dxa"/>
            <w:tcBorders>
              <w:top w:val="single" w:sz="18" w:space="0" w:color="auto"/>
              <w:bottom w:val="single" w:sz="18" w:space="0" w:color="auto"/>
            </w:tcBorders>
            <w:shd w:val="clear" w:color="auto" w:fill="auto"/>
            <w:vAlign w:val="center"/>
          </w:tcPr>
          <w:p w:rsidR="00147520" w:rsidRPr="003E335B" w:rsidRDefault="00147520"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22</w:t>
            </w:r>
          </w:p>
        </w:tc>
        <w:tc>
          <w:tcPr>
            <w:tcW w:w="1548" w:type="dxa"/>
            <w:tcBorders>
              <w:top w:val="single" w:sz="18" w:space="0" w:color="auto"/>
              <w:bottom w:val="single" w:sz="18" w:space="0" w:color="auto"/>
            </w:tcBorders>
            <w:shd w:val="clear" w:color="auto" w:fill="auto"/>
            <w:vAlign w:val="center"/>
          </w:tcPr>
          <w:p w:rsidR="00147520" w:rsidRPr="003E335B" w:rsidRDefault="00147520"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16</w:t>
            </w:r>
          </w:p>
        </w:tc>
        <w:tc>
          <w:tcPr>
            <w:tcW w:w="1728" w:type="dxa"/>
            <w:tcBorders>
              <w:top w:val="single" w:sz="18" w:space="0" w:color="auto"/>
              <w:bottom w:val="single" w:sz="18" w:space="0" w:color="auto"/>
            </w:tcBorders>
            <w:shd w:val="clear" w:color="auto" w:fill="auto"/>
            <w:vAlign w:val="center"/>
          </w:tcPr>
          <w:p w:rsidR="00147520" w:rsidRPr="003E335B" w:rsidRDefault="00147520"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94</w:t>
            </w:r>
          </w:p>
        </w:tc>
      </w:tr>
    </w:tbl>
    <w:p w:rsidR="00847BCE" w:rsidRPr="003E335B" w:rsidRDefault="00847BCE" w:rsidP="000D70EC">
      <w:pPr>
        <w:spacing w:after="100" w:line="240" w:lineRule="auto"/>
        <w:rPr>
          <w:rFonts w:asciiTheme="minorHAnsi" w:hAnsiTheme="minorHAnsi" w:cs="Arial"/>
          <w:sz w:val="20"/>
          <w:szCs w:val="20"/>
        </w:rPr>
      </w:pPr>
    </w:p>
    <w:p w:rsidR="008733F0" w:rsidRDefault="00147520">
      <w:pPr>
        <w:spacing w:after="100" w:line="240" w:lineRule="auto"/>
        <w:jc w:val="both"/>
        <w:rPr>
          <w:rFonts w:asciiTheme="minorHAnsi" w:hAnsiTheme="minorHAnsi" w:cs="Arial"/>
          <w:sz w:val="20"/>
          <w:szCs w:val="20"/>
        </w:rPr>
      </w:pPr>
      <w:bookmarkStart w:id="233" w:name="_Toc265058941"/>
      <w:bookmarkStart w:id="234" w:name="_Toc258421356"/>
      <w:bookmarkStart w:id="235" w:name="_Toc257898996"/>
      <w:bookmarkStart w:id="236" w:name="_Toc266868923"/>
      <w:bookmarkStart w:id="237" w:name="_Toc266869139"/>
      <w:bookmarkStart w:id="238" w:name="_Toc266885174"/>
      <w:bookmarkStart w:id="239" w:name="_Toc266886360"/>
      <w:r w:rsidRPr="00147520">
        <w:rPr>
          <w:rFonts w:asciiTheme="minorHAnsi" w:hAnsiTheme="minorHAnsi" w:cs="Arial"/>
          <w:sz w:val="20"/>
          <w:szCs w:val="20"/>
        </w:rPr>
        <w:t>Pursuant to its commitment to a restructuring plan aimed at improving its manufacturing competitiveness</w:t>
      </w:r>
      <w:r w:rsidR="004A3F32">
        <w:rPr>
          <w:rFonts w:asciiTheme="minorHAnsi" w:hAnsiTheme="minorHAnsi" w:cs="Arial"/>
          <w:sz w:val="20"/>
          <w:szCs w:val="20"/>
        </w:rPr>
        <w:t xml:space="preserve"> announced in 2007</w:t>
      </w:r>
      <w:r w:rsidRPr="00147520">
        <w:rPr>
          <w:rFonts w:asciiTheme="minorHAnsi" w:hAnsiTheme="minorHAnsi" w:cs="Arial"/>
          <w:sz w:val="20"/>
          <w:szCs w:val="20"/>
        </w:rPr>
        <w:t xml:space="preserve">, the </w:t>
      </w:r>
      <w:r>
        <w:rPr>
          <w:rFonts w:asciiTheme="minorHAnsi" w:hAnsiTheme="minorHAnsi" w:cs="Arial"/>
          <w:sz w:val="20"/>
          <w:szCs w:val="20"/>
        </w:rPr>
        <w:t>Group</w:t>
      </w:r>
      <w:r w:rsidRPr="00147520">
        <w:rPr>
          <w:rFonts w:asciiTheme="minorHAnsi" w:hAnsiTheme="minorHAnsi" w:cs="Arial"/>
          <w:sz w:val="20"/>
          <w:szCs w:val="20"/>
        </w:rPr>
        <w:t xml:space="preserve"> recorded in the first half of 2011 a total restructuring charge amounting to $</w:t>
      </w:r>
      <w:r>
        <w:rPr>
          <w:rFonts w:asciiTheme="minorHAnsi" w:hAnsiTheme="minorHAnsi" w:cs="Arial"/>
          <w:sz w:val="20"/>
          <w:szCs w:val="20"/>
        </w:rPr>
        <w:t>29</w:t>
      </w:r>
      <w:r w:rsidRPr="00147520">
        <w:rPr>
          <w:rFonts w:asciiTheme="minorHAnsi" w:hAnsiTheme="minorHAnsi" w:cs="Arial"/>
          <w:sz w:val="20"/>
          <w:szCs w:val="20"/>
        </w:rPr>
        <w:t xml:space="preserve"> million. These restructuring charges primarily related to lease contract termination costs and other closure costs and one-time termination benefits to be paid to employees who rendered services until the complete closure of Carrollton and Phoenix fabs, which was almost substantially finalized.</w:t>
      </w:r>
    </w:p>
    <w:p w:rsidR="008733F0" w:rsidRDefault="0056172A">
      <w:pPr>
        <w:spacing w:after="100" w:line="240" w:lineRule="auto"/>
        <w:jc w:val="both"/>
        <w:rPr>
          <w:rFonts w:asciiTheme="minorHAnsi" w:hAnsiTheme="minorHAnsi" w:cs="Arial"/>
          <w:sz w:val="20"/>
          <w:szCs w:val="20"/>
        </w:rPr>
      </w:pPr>
      <w:r w:rsidRPr="0056172A">
        <w:rPr>
          <w:rFonts w:asciiTheme="minorHAnsi" w:hAnsiTheme="minorHAnsi" w:cs="Arial"/>
          <w:sz w:val="20"/>
          <w:szCs w:val="20"/>
        </w:rPr>
        <w:t xml:space="preserve">The </w:t>
      </w:r>
      <w:r>
        <w:rPr>
          <w:rFonts w:asciiTheme="minorHAnsi" w:hAnsiTheme="minorHAnsi" w:cs="Arial"/>
          <w:sz w:val="20"/>
          <w:szCs w:val="20"/>
        </w:rPr>
        <w:t>Group</w:t>
      </w:r>
      <w:r w:rsidRPr="0056172A">
        <w:rPr>
          <w:rFonts w:asciiTheme="minorHAnsi" w:hAnsiTheme="minorHAnsi" w:cs="Arial"/>
          <w:sz w:val="20"/>
          <w:szCs w:val="20"/>
        </w:rPr>
        <w:t xml:space="preserve"> recorded in the first half of 2011 restructuring charges totaling $5 million, pursuant to the STE restructuring plan announced and expanded in 2009, which was substantia</w:t>
      </w:r>
      <w:r>
        <w:rPr>
          <w:rFonts w:asciiTheme="minorHAnsi" w:hAnsiTheme="minorHAnsi" w:cs="Arial"/>
          <w:sz w:val="20"/>
          <w:szCs w:val="20"/>
        </w:rPr>
        <w:t>lly completed during the first half</w:t>
      </w:r>
      <w:r w:rsidRPr="0056172A">
        <w:rPr>
          <w:rFonts w:asciiTheme="minorHAnsi" w:hAnsiTheme="minorHAnsi" w:cs="Arial"/>
          <w:sz w:val="20"/>
          <w:szCs w:val="20"/>
        </w:rPr>
        <w:t xml:space="preserve"> of 2011. These restructuring charges primarily related to lease contract termination costs and other closure costs pursuant to the closure of certain locations.</w:t>
      </w:r>
    </w:p>
    <w:p w:rsidR="008733F0" w:rsidRDefault="0056172A">
      <w:pPr>
        <w:spacing w:after="100" w:line="240" w:lineRule="auto"/>
        <w:jc w:val="both"/>
        <w:rPr>
          <w:rFonts w:ascii="Arial" w:eastAsia="Times New Roman" w:hAnsi="Arial" w:cs="Arial"/>
          <w:b/>
          <w:smallCaps/>
          <w:color w:val="009CDD"/>
          <w:spacing w:val="5"/>
          <w:szCs w:val="20"/>
          <w:lang w:bidi="en-US"/>
        </w:rPr>
      </w:pPr>
      <w:r w:rsidRPr="0056172A">
        <w:rPr>
          <w:rFonts w:asciiTheme="minorHAnsi" w:hAnsiTheme="minorHAnsi" w:cs="Arial"/>
          <w:sz w:val="20"/>
          <w:szCs w:val="20"/>
        </w:rPr>
        <w:lastRenderedPageBreak/>
        <w:t xml:space="preserve">Pursuant to its commitment </w:t>
      </w:r>
      <w:r w:rsidR="004A3F32">
        <w:rPr>
          <w:rFonts w:asciiTheme="minorHAnsi" w:hAnsiTheme="minorHAnsi" w:cs="Arial"/>
          <w:sz w:val="20"/>
          <w:szCs w:val="20"/>
        </w:rPr>
        <w:t xml:space="preserve">of ST-Ericsson </w:t>
      </w:r>
      <w:r w:rsidRPr="0056172A">
        <w:rPr>
          <w:rFonts w:asciiTheme="minorHAnsi" w:hAnsiTheme="minorHAnsi" w:cs="Arial"/>
          <w:sz w:val="20"/>
          <w:szCs w:val="20"/>
        </w:rPr>
        <w:t>to a</w:t>
      </w:r>
      <w:r w:rsidR="004A3F32">
        <w:rPr>
          <w:rFonts w:asciiTheme="minorHAnsi" w:hAnsiTheme="minorHAnsi" w:cs="Arial"/>
          <w:sz w:val="20"/>
          <w:szCs w:val="20"/>
        </w:rPr>
        <w:t xml:space="preserve"> new</w:t>
      </w:r>
      <w:r w:rsidRPr="0056172A">
        <w:rPr>
          <w:rFonts w:asciiTheme="minorHAnsi" w:hAnsiTheme="minorHAnsi" w:cs="Arial"/>
          <w:sz w:val="20"/>
          <w:szCs w:val="20"/>
        </w:rPr>
        <w:t xml:space="preserve"> restructuring plan announced in June 2011 aimed at achieving savings, the </w:t>
      </w:r>
      <w:r>
        <w:rPr>
          <w:rFonts w:asciiTheme="minorHAnsi" w:hAnsiTheme="minorHAnsi" w:cs="Arial"/>
          <w:sz w:val="20"/>
          <w:szCs w:val="20"/>
        </w:rPr>
        <w:t>Group</w:t>
      </w:r>
      <w:r w:rsidRPr="0056172A">
        <w:rPr>
          <w:rFonts w:asciiTheme="minorHAnsi" w:hAnsiTheme="minorHAnsi" w:cs="Arial"/>
          <w:sz w:val="20"/>
          <w:szCs w:val="20"/>
        </w:rPr>
        <w:t xml:space="preserve"> recorded in the first half of 2011 $</w:t>
      </w:r>
      <w:r>
        <w:rPr>
          <w:rFonts w:asciiTheme="minorHAnsi" w:hAnsiTheme="minorHAnsi" w:cs="Arial"/>
          <w:sz w:val="20"/>
          <w:szCs w:val="20"/>
        </w:rPr>
        <w:t>22</w:t>
      </w:r>
      <w:r w:rsidRPr="0056172A">
        <w:rPr>
          <w:rFonts w:asciiTheme="minorHAnsi" w:hAnsiTheme="minorHAnsi" w:cs="Arial"/>
          <w:sz w:val="20"/>
          <w:szCs w:val="20"/>
        </w:rPr>
        <w:t xml:space="preserve"> million restructuring charges. These restructuring charges related to ongoing termination benefits accrued up front at commitment date in certain locations</w:t>
      </w:r>
      <w:r>
        <w:rPr>
          <w:rFonts w:asciiTheme="minorHAnsi" w:hAnsiTheme="minorHAnsi" w:cs="Arial"/>
          <w:sz w:val="20"/>
          <w:szCs w:val="20"/>
        </w:rPr>
        <w:t xml:space="preserve"> and to lease contract termination costs</w:t>
      </w:r>
      <w:r w:rsidRPr="0056172A">
        <w:rPr>
          <w:rFonts w:asciiTheme="minorHAnsi" w:hAnsiTheme="minorHAnsi" w:cs="Arial"/>
          <w:sz w:val="20"/>
          <w:szCs w:val="20"/>
        </w:rPr>
        <w:t>.</w:t>
      </w:r>
    </w:p>
    <w:p w:rsidR="0071517B" w:rsidRDefault="0071517B" w:rsidP="000D70EC">
      <w:pPr>
        <w:pStyle w:val="Title3"/>
        <w:spacing w:line="240" w:lineRule="auto"/>
        <w:rPr>
          <w:szCs w:val="20"/>
        </w:rPr>
      </w:pPr>
      <w:bookmarkStart w:id="240" w:name="_Toc300834246"/>
      <w:r w:rsidRPr="0071517B">
        <w:rPr>
          <w:szCs w:val="20"/>
        </w:rPr>
        <w:t>Contingencies and legal proceedings</w:t>
      </w:r>
      <w:bookmarkEnd w:id="240"/>
    </w:p>
    <w:p w:rsidR="00B6077B" w:rsidRPr="00B6077B" w:rsidRDefault="00B6077B" w:rsidP="00AC396D">
      <w:pPr>
        <w:pStyle w:val="BodyText11"/>
        <w:rPr>
          <w:b/>
          <w:i/>
          <w:color w:val="000000"/>
        </w:rPr>
      </w:pPr>
      <w:r w:rsidRPr="00B6077B">
        <w:rPr>
          <w:b/>
          <w:i/>
          <w:color w:val="000000"/>
        </w:rPr>
        <w:t>Contingencies</w:t>
      </w:r>
    </w:p>
    <w:p w:rsidR="002F5240" w:rsidRPr="002F5240" w:rsidRDefault="002F5240" w:rsidP="00AC396D">
      <w:pPr>
        <w:pStyle w:val="BodyText11"/>
        <w:rPr>
          <w:color w:val="000000"/>
        </w:rPr>
      </w:pPr>
      <w:r w:rsidRPr="002F5240">
        <w:rPr>
          <w:color w:val="000000"/>
        </w:rPr>
        <w:t xml:space="preserve">The </w:t>
      </w:r>
      <w:r w:rsidR="00B6077B">
        <w:rPr>
          <w:color w:val="000000"/>
        </w:rPr>
        <w:t>Group</w:t>
      </w:r>
      <w:r w:rsidRPr="002F5240">
        <w:rPr>
          <w:color w:val="000000"/>
        </w:rPr>
        <w:t xml:space="preserve"> is subject to possible loss contingencies arising in the ordinary course of business. These include but are not limited to: warranty cost on the products of the </w:t>
      </w:r>
      <w:r w:rsidR="00B6077B">
        <w:rPr>
          <w:color w:val="000000"/>
        </w:rPr>
        <w:t>Group</w:t>
      </w:r>
      <w:r w:rsidRPr="002F5240">
        <w:rPr>
          <w:color w:val="000000"/>
        </w:rPr>
        <w:t xml:space="preserve">, breach of contract claims, claims for unauthorized use of third-party intellectual property, tax claims beyond assessed uncertain tax positions as well as claims for environmental damages. In determining loss contingencies, the </w:t>
      </w:r>
      <w:r w:rsidR="00B6077B">
        <w:rPr>
          <w:color w:val="000000"/>
        </w:rPr>
        <w:t>Group</w:t>
      </w:r>
      <w:r w:rsidRPr="002F5240">
        <w:rPr>
          <w:color w:val="000000"/>
        </w:rPr>
        <w:t xml:space="preserve"> considers the likelihood of impairing an asset or the incurrence of a liability at the date of the financial statements as well as the ability to reasonably estimate the amount of such loss. The </w:t>
      </w:r>
      <w:r w:rsidR="00B6077B">
        <w:rPr>
          <w:color w:val="000000"/>
        </w:rPr>
        <w:t>Group</w:t>
      </w:r>
      <w:r w:rsidRPr="002F5240">
        <w:rPr>
          <w:color w:val="000000"/>
        </w:rPr>
        <w:t xml:space="preserve"> records a provision for a loss contingency when information available before the financial statements are issued or are available to be issued indicates that it is probable that an asset has been impaired or a liability has been incurred at the date of the financial statements and the amount of loss can be reasonably estimated. The </w:t>
      </w:r>
      <w:r w:rsidR="00B6077B">
        <w:rPr>
          <w:color w:val="000000"/>
        </w:rPr>
        <w:t>Group</w:t>
      </w:r>
      <w:r w:rsidRPr="002F5240">
        <w:rPr>
          <w:color w:val="000000"/>
        </w:rPr>
        <w:t xml:space="preserve"> regularly reevaluates claims to determine whether provisions need to be readjusted based on the most current information available to the </w:t>
      </w:r>
      <w:r w:rsidR="00B6077B">
        <w:rPr>
          <w:color w:val="000000"/>
        </w:rPr>
        <w:t>Group</w:t>
      </w:r>
      <w:r w:rsidRPr="002F5240">
        <w:rPr>
          <w:color w:val="000000"/>
        </w:rPr>
        <w:t xml:space="preserve">. Changes in these evaluations could result in an adverse material impact on the </w:t>
      </w:r>
      <w:r w:rsidR="00B6077B">
        <w:rPr>
          <w:color w:val="000000"/>
        </w:rPr>
        <w:t>Group</w:t>
      </w:r>
      <w:r w:rsidRPr="002F5240">
        <w:rPr>
          <w:color w:val="000000"/>
        </w:rPr>
        <w:t>’s results of operations, cash flows or its financial position for the period in which they occur.</w:t>
      </w:r>
    </w:p>
    <w:p w:rsidR="00B6077B" w:rsidRPr="00B6077B" w:rsidRDefault="00B6077B" w:rsidP="00AC396D">
      <w:pPr>
        <w:pStyle w:val="BodyText11"/>
        <w:rPr>
          <w:b/>
          <w:i/>
          <w:color w:val="000000"/>
        </w:rPr>
      </w:pPr>
      <w:r w:rsidRPr="00B6077B">
        <w:rPr>
          <w:b/>
          <w:i/>
          <w:color w:val="000000"/>
        </w:rPr>
        <w:t>Claims and legal proceedings</w:t>
      </w:r>
    </w:p>
    <w:p w:rsidR="00254A1E" w:rsidRDefault="002F5240">
      <w:pPr>
        <w:pStyle w:val="BodyText11"/>
        <w:rPr>
          <w:color w:val="000000"/>
        </w:rPr>
      </w:pPr>
      <w:r w:rsidRPr="002F5240">
        <w:rPr>
          <w:color w:val="000000"/>
        </w:rPr>
        <w:t xml:space="preserve">The </w:t>
      </w:r>
      <w:r w:rsidR="00B6077B">
        <w:rPr>
          <w:color w:val="000000"/>
        </w:rPr>
        <w:t>Group</w:t>
      </w:r>
      <w:r w:rsidRPr="002F5240">
        <w:rPr>
          <w:color w:val="000000"/>
        </w:rPr>
        <w:t xml:space="preserve"> has received and may in the future receive communications alleging possible infringements, in particular in the case of patents and similar intellectual property rights of others. Furthermore, the </w:t>
      </w:r>
      <w:r w:rsidR="00B6077B">
        <w:rPr>
          <w:color w:val="000000"/>
        </w:rPr>
        <w:t>Group</w:t>
      </w:r>
      <w:r w:rsidRPr="002F5240">
        <w:rPr>
          <w:color w:val="000000"/>
        </w:rPr>
        <w:t xml:space="preserve"> periodically conducts broad patent cross license discussions with other industry participants which may or not be successfully concluded. The </w:t>
      </w:r>
      <w:r w:rsidR="00B6077B">
        <w:rPr>
          <w:color w:val="000000"/>
        </w:rPr>
        <w:t>Group</w:t>
      </w:r>
      <w:r w:rsidRPr="002F5240">
        <w:rPr>
          <w:color w:val="000000"/>
        </w:rPr>
        <w:t xml:space="preserve"> may become involved in costly litigation brought against the </w:t>
      </w:r>
      <w:r w:rsidR="00B6077B">
        <w:rPr>
          <w:color w:val="000000"/>
        </w:rPr>
        <w:t>Group</w:t>
      </w:r>
      <w:r w:rsidRPr="002F5240">
        <w:rPr>
          <w:color w:val="000000"/>
        </w:rPr>
        <w:t xml:space="preserve"> regarding patents, mask works, copy-rights, trade-marks or trade secrets. In the event that the outcome of any litigation would be unfavorable to the </w:t>
      </w:r>
      <w:r w:rsidR="00B6077B">
        <w:rPr>
          <w:color w:val="000000"/>
        </w:rPr>
        <w:t>Group</w:t>
      </w:r>
      <w:r w:rsidRPr="002F5240">
        <w:rPr>
          <w:color w:val="000000"/>
        </w:rPr>
        <w:t xml:space="preserve">, the </w:t>
      </w:r>
      <w:r w:rsidR="00B6077B">
        <w:rPr>
          <w:color w:val="000000"/>
        </w:rPr>
        <w:t>Group</w:t>
      </w:r>
      <w:r w:rsidRPr="002F5240">
        <w:rPr>
          <w:color w:val="000000"/>
        </w:rPr>
        <w:t xml:space="preserve"> may be required to license patents and/or other intellectual property rights at economically unfavorable terms and conditions, and possibly pay damages for prior use and/or face an injunction, all of which individually or in the aggregate could have a material adverse effect on the </w:t>
      </w:r>
      <w:r w:rsidR="00B6077B">
        <w:rPr>
          <w:color w:val="000000"/>
        </w:rPr>
        <w:t>Group</w:t>
      </w:r>
      <w:r w:rsidRPr="002F5240">
        <w:rPr>
          <w:color w:val="000000"/>
        </w:rPr>
        <w:t xml:space="preserve">’s results of operations, cash flows, financial position and/or ability to compete. </w:t>
      </w:r>
    </w:p>
    <w:p w:rsidR="00254A1E" w:rsidRDefault="002F5240">
      <w:pPr>
        <w:pStyle w:val="BodyText11"/>
        <w:rPr>
          <w:color w:val="000000"/>
        </w:rPr>
      </w:pPr>
      <w:r w:rsidRPr="002F5240">
        <w:rPr>
          <w:color w:val="000000"/>
        </w:rPr>
        <w:t xml:space="preserve">The </w:t>
      </w:r>
      <w:r w:rsidR="00B6077B">
        <w:rPr>
          <w:color w:val="000000"/>
        </w:rPr>
        <w:t>Group</w:t>
      </w:r>
      <w:r w:rsidRPr="002F5240">
        <w:rPr>
          <w:color w:val="000000"/>
        </w:rPr>
        <w:t xml:space="preserve"> is otherwise also involved in various lawsuits, claims, investigations and proceedings incidental to its business and operations.</w:t>
      </w:r>
    </w:p>
    <w:p w:rsidR="00254A1E" w:rsidRDefault="002F5240">
      <w:pPr>
        <w:pStyle w:val="BodyText11"/>
        <w:rPr>
          <w:color w:val="000000"/>
        </w:rPr>
      </w:pPr>
      <w:r w:rsidRPr="002F5240">
        <w:rPr>
          <w:color w:val="000000"/>
        </w:rPr>
        <w:t xml:space="preserve">On April 17, 2007, Tessera Technologies, Inc. filed a complaint against the </w:t>
      </w:r>
      <w:r w:rsidR="00B6077B">
        <w:rPr>
          <w:color w:val="000000"/>
        </w:rPr>
        <w:t>Group</w:t>
      </w:r>
      <w:r w:rsidRPr="002F5240">
        <w:rPr>
          <w:color w:val="000000"/>
        </w:rPr>
        <w:t xml:space="preserve"> and numerous other semiconductor manufacturers before the International Trade Commission (ITC) requesting the ITC to enter an injunction barring the importation of any product containing a device that infringes two identified patents related to ball grid array (BGA) packaging technology.  On May 20, 2009 the ITC issued a final order finding that all the respondents infringe on Tessera’s asserted patents, and granted Tessera’s request for a Limited Exclusion Order prohibiting the importation of respondents’ infringing products. On December 21, 2010, the Federal Circuit Court of </w:t>
      </w:r>
      <w:r w:rsidR="008733F0" w:rsidRPr="002F5240">
        <w:rPr>
          <w:color w:val="000000"/>
        </w:rPr>
        <w:t>Appeals</w:t>
      </w:r>
      <w:r w:rsidRPr="002F5240">
        <w:rPr>
          <w:color w:val="000000"/>
        </w:rPr>
        <w:t xml:space="preserve"> issued an opinion upholding the ITC’s final order. Respondents have requested that the Federal Circuit re-hear the appeal before the entire panel of justices. The appeals concerning the ITC decision of May 20, 2009 are still pending.  In September 2010, the asserted patents have all expired, thus nullifying the Limited Exclusion Order. The filing of the ITC proceedings on April 17, 2007 resulted in the stay of an earlier lawsuit filed by Tessera in January 2006 against the </w:t>
      </w:r>
      <w:r w:rsidR="00B6077B">
        <w:rPr>
          <w:color w:val="000000"/>
        </w:rPr>
        <w:t>Group</w:t>
      </w:r>
      <w:r w:rsidRPr="002F5240">
        <w:rPr>
          <w:color w:val="000000"/>
        </w:rPr>
        <w:t xml:space="preserve"> and other manufacturers in the U.S. District Court for the Northern District of California, pursuant to which Tessera was claiming an injunction as well as an unspecified amount of monetary damages for breach of a 1997 License Agreement by the </w:t>
      </w:r>
      <w:r w:rsidR="00B6077B">
        <w:rPr>
          <w:color w:val="000000"/>
        </w:rPr>
        <w:t>Group</w:t>
      </w:r>
      <w:r w:rsidRPr="002F5240">
        <w:rPr>
          <w:color w:val="000000"/>
        </w:rPr>
        <w:t xml:space="preserve">. The </w:t>
      </w:r>
      <w:r w:rsidR="00B6077B">
        <w:rPr>
          <w:color w:val="000000"/>
        </w:rPr>
        <w:t>Group</w:t>
      </w:r>
      <w:r w:rsidRPr="002F5240">
        <w:rPr>
          <w:color w:val="000000"/>
        </w:rPr>
        <w:t xml:space="preserve"> expects that once the appellate process concerning the ITC ruling is completed, Tessera will seek to lift the </w:t>
      </w:r>
      <w:r w:rsidRPr="002F5240">
        <w:rPr>
          <w:color w:val="000000"/>
        </w:rPr>
        <w:lastRenderedPageBreak/>
        <w:t xml:space="preserve">stay on the pending proceedings in the Federal Court for the Northern District of California. The </w:t>
      </w:r>
      <w:r w:rsidR="00B6077B">
        <w:rPr>
          <w:color w:val="000000"/>
        </w:rPr>
        <w:t>Group</w:t>
      </w:r>
      <w:r w:rsidRPr="002F5240">
        <w:rPr>
          <w:color w:val="000000"/>
        </w:rPr>
        <w:t xml:space="preserve"> continues to assess the merits of all ongoing litigation with Tessera. </w:t>
      </w:r>
    </w:p>
    <w:p w:rsidR="00254A1E" w:rsidRDefault="002F5240">
      <w:pPr>
        <w:pStyle w:val="BodyText11"/>
        <w:rPr>
          <w:color w:val="000000"/>
        </w:rPr>
      </w:pPr>
      <w:r w:rsidRPr="002F5240">
        <w:rPr>
          <w:color w:val="000000"/>
        </w:rPr>
        <w:t xml:space="preserve">On December 1, 2010, Rambus Inc. filed a complaint with the ITC against the </w:t>
      </w:r>
      <w:r w:rsidR="00B6077B">
        <w:rPr>
          <w:color w:val="000000"/>
        </w:rPr>
        <w:t>Group</w:t>
      </w:r>
      <w:r w:rsidRPr="002F5240">
        <w:rPr>
          <w:color w:val="000000"/>
        </w:rPr>
        <w:t xml:space="preserve"> and numerous other parties, asserting that it engaged in unfair trade practices by importing certain memory controllers and devices using certain accused interface technologies that allegedly infringe six patents. The complaint seeks an exclusion order to bar importation into the United States of all semiconductor chips that include memory controllers and/or peripheral interfaces that are manufactured, imported, or sold for importation and that infringe any claim of the asserted patents, and all products incorporating the same. The complaint further seeks a cease and desist order directing the </w:t>
      </w:r>
      <w:r w:rsidR="00B6077B">
        <w:rPr>
          <w:color w:val="000000"/>
        </w:rPr>
        <w:t>Group</w:t>
      </w:r>
      <w:r w:rsidRPr="002F5240">
        <w:rPr>
          <w:color w:val="000000"/>
        </w:rPr>
        <w:t xml:space="preserve"> and other parties to cease and desist from importing, marketing, advertising, demonstrating, sampling, warehousing inventory for distribution, offering for sale, selling, distributing, licensing, or using any semiconductor chips that include memory controllers and/or peripheral interfaces, and products containing such semiconductor chips, that infringe any claim of the asserted patents. On December 29, 2010, the ITC voted to institute an investigation based on Rambus’ complaint.  The </w:t>
      </w:r>
      <w:r w:rsidR="00B6077B">
        <w:rPr>
          <w:color w:val="000000"/>
        </w:rPr>
        <w:t>Group</w:t>
      </w:r>
      <w:r w:rsidRPr="002F5240">
        <w:rPr>
          <w:color w:val="000000"/>
        </w:rPr>
        <w:t xml:space="preserve"> filed </w:t>
      </w:r>
      <w:r w:rsidR="008733F0" w:rsidRPr="002F5240">
        <w:rPr>
          <w:color w:val="000000"/>
        </w:rPr>
        <w:t>its response</w:t>
      </w:r>
      <w:r w:rsidRPr="002F5240">
        <w:rPr>
          <w:color w:val="000000"/>
        </w:rPr>
        <w:t xml:space="preserve"> to the complaint on February 1, 2011. The deadline for fact discovery in the case has now passed, and expert discovery is in process. A pre-trial hearing is scheduled before the ITC on October 11, 2011, trial is scheduled to commence on October 12, 2011, and the target date for a Final Determination by the ITC is currently May 4, 2012.  </w:t>
      </w:r>
    </w:p>
    <w:p w:rsidR="00254A1E" w:rsidRDefault="002F5240">
      <w:pPr>
        <w:pStyle w:val="BodyText11"/>
        <w:rPr>
          <w:color w:val="000000"/>
        </w:rPr>
      </w:pPr>
      <w:r w:rsidRPr="002F5240">
        <w:rPr>
          <w:color w:val="000000"/>
        </w:rPr>
        <w:t xml:space="preserve">Also on December 1, 2010, Rambus filed a lawsuit against the </w:t>
      </w:r>
      <w:r w:rsidR="00B6077B">
        <w:rPr>
          <w:color w:val="000000"/>
        </w:rPr>
        <w:t>Group</w:t>
      </w:r>
      <w:r w:rsidRPr="002F5240">
        <w:rPr>
          <w:color w:val="000000"/>
        </w:rPr>
        <w:t xml:space="preserve"> in the U.S. District Court for the Northern District of California alleging infringement of nineteen Rambus patents. On June 13, 2011, the District Court issued an order granting in part and denying in part defendants’ motion to stay the action concerning Rambus patent infringement claims pending completion of the aforementioned ITC proceedings. The case will be stayed as to nine of the asserted patents, and will move forward as to the remaining patents. No trial date has yet been set. The </w:t>
      </w:r>
      <w:r w:rsidR="00B6077B">
        <w:rPr>
          <w:color w:val="000000"/>
        </w:rPr>
        <w:t>Group</w:t>
      </w:r>
      <w:r w:rsidRPr="002F5240">
        <w:rPr>
          <w:color w:val="000000"/>
        </w:rPr>
        <w:t xml:space="preserve"> intends to vigorously defend its position in these matters. </w:t>
      </w:r>
    </w:p>
    <w:p w:rsidR="00254A1E" w:rsidRDefault="002F5240">
      <w:pPr>
        <w:pStyle w:val="BodyText11"/>
        <w:rPr>
          <w:color w:val="000000"/>
        </w:rPr>
      </w:pPr>
      <w:r w:rsidRPr="002F5240">
        <w:rPr>
          <w:color w:val="000000"/>
        </w:rPr>
        <w:t xml:space="preserve">On December 4, 2009, the </w:t>
      </w:r>
      <w:r w:rsidR="00B6077B">
        <w:rPr>
          <w:color w:val="000000"/>
        </w:rPr>
        <w:t>Group</w:t>
      </w:r>
      <w:r w:rsidRPr="002F5240">
        <w:rPr>
          <w:color w:val="000000"/>
        </w:rPr>
        <w:t xml:space="preserve"> received from the International Chamber of Commerce the notification of a request for arbitration filed by NXP Semiconductors Netherlands BV “NXP” against the </w:t>
      </w:r>
      <w:r w:rsidR="00B6077B">
        <w:rPr>
          <w:color w:val="000000"/>
        </w:rPr>
        <w:t>Group</w:t>
      </w:r>
      <w:r w:rsidRPr="002F5240">
        <w:rPr>
          <w:color w:val="000000"/>
        </w:rPr>
        <w:t xml:space="preserve">, claiming compensation for so called underloading costs of approximately $59 million pursuant to a Manufacturing Services Agreement entered into between NXP and ST-NXP Wireless, at the time of the creation of ST-NXP Wireless, the </w:t>
      </w:r>
      <w:r w:rsidR="00B6077B">
        <w:rPr>
          <w:color w:val="000000"/>
        </w:rPr>
        <w:t>Group</w:t>
      </w:r>
      <w:r w:rsidRPr="002F5240">
        <w:rPr>
          <w:color w:val="000000"/>
        </w:rPr>
        <w:t xml:space="preserve">’s wireless semiconductor products joint venture with NXP. During the second quarter of </w:t>
      </w:r>
      <w:r w:rsidRPr="004A3F32">
        <w:rPr>
          <w:color w:val="000000"/>
        </w:rPr>
        <w:t xml:space="preserve">2011, an arbitration hearing was held in Paris regarding this claim and the </w:t>
      </w:r>
      <w:r w:rsidR="00B6077B" w:rsidRPr="004A3F32">
        <w:rPr>
          <w:color w:val="000000"/>
        </w:rPr>
        <w:t>Group</w:t>
      </w:r>
      <w:r w:rsidRPr="004A3F32">
        <w:rPr>
          <w:color w:val="000000"/>
        </w:rPr>
        <w:t xml:space="preserve"> is now awaiting the decision from the arbitral panel. The </w:t>
      </w:r>
      <w:r w:rsidR="00B6077B" w:rsidRPr="004A3F32">
        <w:rPr>
          <w:color w:val="000000"/>
        </w:rPr>
        <w:t>Group</w:t>
      </w:r>
      <w:r w:rsidRPr="004A3F32">
        <w:rPr>
          <w:color w:val="000000"/>
        </w:rPr>
        <w:t xml:space="preserve"> remains confident in the strength of its legal position regarding this claim.</w:t>
      </w:r>
    </w:p>
    <w:p w:rsidR="00254A1E" w:rsidRDefault="002F5240">
      <w:pPr>
        <w:pStyle w:val="BodyText11"/>
        <w:rPr>
          <w:color w:val="000000"/>
        </w:rPr>
      </w:pPr>
      <w:r w:rsidRPr="002F5240">
        <w:rPr>
          <w:color w:val="000000"/>
        </w:rPr>
        <w:t xml:space="preserve">As a result of a settlement agreement with Credit Suisse, the </w:t>
      </w:r>
      <w:r w:rsidR="00B6077B">
        <w:rPr>
          <w:color w:val="000000"/>
        </w:rPr>
        <w:t>Group</w:t>
      </w:r>
      <w:r w:rsidRPr="002F5240">
        <w:rPr>
          <w:color w:val="000000"/>
        </w:rPr>
        <w:t xml:space="preserve"> received a cash payment on June 9, 2011, of $356.8 million from Credit Suisse </w:t>
      </w:r>
      <w:r w:rsidRPr="004A3F32">
        <w:rPr>
          <w:color w:val="000000"/>
        </w:rPr>
        <w:t xml:space="preserve">as the full and final payment for the settlement of all outstanding litigation concerning auction rate securities. This amount was slightly higher than the full amount initially invested plus lost interest and expenses. The </w:t>
      </w:r>
      <w:r w:rsidR="00B6077B" w:rsidRPr="004A3F32">
        <w:rPr>
          <w:color w:val="000000"/>
        </w:rPr>
        <w:t>Group</w:t>
      </w:r>
      <w:r w:rsidRPr="004A3F32">
        <w:rPr>
          <w:color w:val="000000"/>
        </w:rPr>
        <w:t xml:space="preserve"> recorded a pre-tax profit of approximately $329 million in the income statement of the second quarter of 2011 as a result of the settlement.</w:t>
      </w:r>
    </w:p>
    <w:p w:rsidR="00254A1E" w:rsidRDefault="002F5240">
      <w:pPr>
        <w:pStyle w:val="BodyText11"/>
        <w:rPr>
          <w:color w:val="000000"/>
        </w:rPr>
      </w:pPr>
      <w:r w:rsidRPr="002F5240">
        <w:rPr>
          <w:color w:val="000000"/>
        </w:rPr>
        <w:t xml:space="preserve">The pending proceedings which the </w:t>
      </w:r>
      <w:r w:rsidR="00B6077B">
        <w:rPr>
          <w:color w:val="000000"/>
        </w:rPr>
        <w:t>Group</w:t>
      </w:r>
      <w:r w:rsidRPr="002F5240">
        <w:rPr>
          <w:color w:val="000000"/>
        </w:rPr>
        <w:t xml:space="preserve"> faces involve complex questions of fact and law. The results of legal proceedings are uncertain and material adverse outcomes are possible.</w:t>
      </w:r>
    </w:p>
    <w:p w:rsidR="008733F0" w:rsidRDefault="002F5240">
      <w:pPr>
        <w:spacing w:line="240" w:lineRule="auto"/>
        <w:jc w:val="both"/>
        <w:rPr>
          <w:rFonts w:asciiTheme="minorHAnsi" w:hAnsiTheme="minorHAnsi"/>
          <w:color w:val="000000"/>
          <w:sz w:val="20"/>
          <w:szCs w:val="20"/>
        </w:rPr>
      </w:pPr>
      <w:r w:rsidRPr="002F5240">
        <w:rPr>
          <w:rFonts w:asciiTheme="minorHAnsi" w:hAnsiTheme="minorHAnsi"/>
          <w:color w:val="000000"/>
          <w:sz w:val="20"/>
          <w:szCs w:val="20"/>
        </w:rPr>
        <w:t xml:space="preserve">The </w:t>
      </w:r>
      <w:r w:rsidR="00B6077B">
        <w:rPr>
          <w:rFonts w:asciiTheme="minorHAnsi" w:hAnsiTheme="minorHAnsi"/>
          <w:color w:val="000000"/>
          <w:sz w:val="20"/>
          <w:szCs w:val="20"/>
        </w:rPr>
        <w:t>Group</w:t>
      </w:r>
      <w:r w:rsidRPr="002F5240">
        <w:rPr>
          <w:rFonts w:asciiTheme="minorHAnsi" w:hAnsiTheme="minorHAnsi"/>
          <w:color w:val="000000"/>
          <w:sz w:val="20"/>
          <w:szCs w:val="20"/>
        </w:rPr>
        <w:t xml:space="preserve"> regularly evaluates claims and legal proceedings together with their related probable losses to determine whether they need to be adjusted based on the current information available to the </w:t>
      </w:r>
      <w:r w:rsidR="00B6077B">
        <w:rPr>
          <w:rFonts w:asciiTheme="minorHAnsi" w:hAnsiTheme="minorHAnsi"/>
          <w:color w:val="000000"/>
          <w:sz w:val="20"/>
          <w:szCs w:val="20"/>
        </w:rPr>
        <w:t>Group</w:t>
      </w:r>
      <w:r w:rsidRPr="002F5240">
        <w:rPr>
          <w:rFonts w:asciiTheme="minorHAnsi" w:hAnsiTheme="minorHAnsi"/>
          <w:color w:val="000000"/>
          <w:sz w:val="20"/>
          <w:szCs w:val="20"/>
        </w:rPr>
        <w:t xml:space="preserve">. There can be no assurance that its recorded reserves will be sufficient to cover the extent of its potential liabilities. Legal costs associated with claims are expensed as incurred. In the event of litigation which is adversely determined with respect to the </w:t>
      </w:r>
      <w:r w:rsidR="00B6077B">
        <w:rPr>
          <w:rFonts w:asciiTheme="minorHAnsi" w:hAnsiTheme="minorHAnsi"/>
          <w:color w:val="000000"/>
          <w:sz w:val="20"/>
          <w:szCs w:val="20"/>
        </w:rPr>
        <w:t>Group</w:t>
      </w:r>
      <w:r w:rsidRPr="002F5240">
        <w:rPr>
          <w:rFonts w:asciiTheme="minorHAnsi" w:hAnsiTheme="minorHAnsi"/>
          <w:color w:val="000000"/>
          <w:sz w:val="20"/>
          <w:szCs w:val="20"/>
        </w:rPr>
        <w:t xml:space="preserve">’s interests, or in the event the </w:t>
      </w:r>
      <w:r w:rsidR="00B6077B">
        <w:rPr>
          <w:rFonts w:asciiTheme="minorHAnsi" w:hAnsiTheme="minorHAnsi"/>
          <w:color w:val="000000"/>
          <w:sz w:val="20"/>
          <w:szCs w:val="20"/>
        </w:rPr>
        <w:t>Group</w:t>
      </w:r>
      <w:r w:rsidRPr="002F5240">
        <w:rPr>
          <w:rFonts w:asciiTheme="minorHAnsi" w:hAnsiTheme="minorHAnsi"/>
          <w:color w:val="000000"/>
          <w:sz w:val="20"/>
          <w:szCs w:val="20"/>
        </w:rPr>
        <w:t xml:space="preserve"> needs to change its evaluation of a potential third-party claim, based on new evidence or communications, a material adverse effect could impact its operations or financial condition at the time it were to materialize. As of July 2, 2011, provisions for estimated losses with respect to legal proceedings were not </w:t>
      </w:r>
      <w:r w:rsidRPr="002F5240">
        <w:rPr>
          <w:rFonts w:asciiTheme="minorHAnsi" w:hAnsiTheme="minorHAnsi"/>
          <w:color w:val="000000"/>
          <w:sz w:val="20"/>
          <w:szCs w:val="20"/>
        </w:rPr>
        <w:lastRenderedPageBreak/>
        <w:t xml:space="preserve">considered material. Additionally, at this time and on the basis of available information, the </w:t>
      </w:r>
      <w:r w:rsidR="00B6077B">
        <w:rPr>
          <w:rFonts w:asciiTheme="minorHAnsi" w:hAnsiTheme="minorHAnsi"/>
          <w:color w:val="000000"/>
          <w:sz w:val="20"/>
          <w:szCs w:val="20"/>
        </w:rPr>
        <w:t>Group</w:t>
      </w:r>
      <w:r w:rsidRPr="002F5240">
        <w:rPr>
          <w:rFonts w:asciiTheme="minorHAnsi" w:hAnsiTheme="minorHAnsi"/>
          <w:color w:val="000000"/>
          <w:sz w:val="20"/>
          <w:szCs w:val="20"/>
        </w:rPr>
        <w:t xml:space="preserve"> believes that the possible loss contingencies in aggregate, as they can be reasonably estimated, do not represent a material amount to the financial statements as a whole, including results of operations, cash flows and financial position.</w:t>
      </w:r>
    </w:p>
    <w:p w:rsidR="00847BCE" w:rsidRPr="003E335B" w:rsidRDefault="00847BCE" w:rsidP="000D70EC">
      <w:pPr>
        <w:pStyle w:val="Title3"/>
        <w:spacing w:after="100" w:line="240" w:lineRule="auto"/>
        <w:rPr>
          <w:rFonts w:asciiTheme="minorHAnsi" w:hAnsiTheme="minorHAnsi"/>
          <w:sz w:val="20"/>
          <w:szCs w:val="20"/>
        </w:rPr>
      </w:pPr>
      <w:bookmarkStart w:id="241" w:name="_Toc269825404"/>
      <w:bookmarkStart w:id="242" w:name="_Toc297204186"/>
      <w:bookmarkStart w:id="243" w:name="_Toc300834247"/>
      <w:r w:rsidRPr="003E335B">
        <w:rPr>
          <w:rFonts w:asciiTheme="minorHAnsi" w:hAnsiTheme="minorHAnsi"/>
          <w:sz w:val="20"/>
          <w:szCs w:val="20"/>
        </w:rPr>
        <w:t>Expenses by nature</w:t>
      </w:r>
      <w:bookmarkEnd w:id="233"/>
      <w:bookmarkEnd w:id="234"/>
      <w:bookmarkEnd w:id="235"/>
      <w:bookmarkEnd w:id="236"/>
      <w:bookmarkEnd w:id="237"/>
      <w:bookmarkEnd w:id="238"/>
      <w:bookmarkEnd w:id="239"/>
      <w:bookmarkEnd w:id="241"/>
      <w:bookmarkEnd w:id="242"/>
      <w:bookmarkEnd w:id="243"/>
    </w:p>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Expenses recorded as cost of sales and research and development and selling, general and administrative are detailed as follows:</w:t>
      </w:r>
    </w:p>
    <w:tbl>
      <w:tblPr>
        <w:tblW w:w="10098" w:type="dxa"/>
        <w:tblLook w:val="04A0"/>
      </w:tblPr>
      <w:tblGrid>
        <w:gridCol w:w="6138"/>
        <w:gridCol w:w="1980"/>
        <w:gridCol w:w="1980"/>
      </w:tblGrid>
      <w:tr w:rsidR="00847BCE" w:rsidRPr="003E335B" w:rsidTr="00D415D2">
        <w:tc>
          <w:tcPr>
            <w:tcW w:w="6138" w:type="dxa"/>
            <w:vAlign w:val="bottom"/>
            <w:hideMark/>
          </w:tcPr>
          <w:p w:rsidR="00847BCE" w:rsidRPr="003E335B" w:rsidRDefault="00847BCE" w:rsidP="000D70EC">
            <w:pPr>
              <w:spacing w:after="100" w:line="240" w:lineRule="auto"/>
              <w:jc w:val="center"/>
              <w:rPr>
                <w:rFonts w:asciiTheme="minorHAnsi" w:hAnsiTheme="minorHAnsi" w:cs="Arial"/>
                <w:sz w:val="20"/>
                <w:szCs w:val="20"/>
              </w:rPr>
            </w:pPr>
          </w:p>
        </w:tc>
        <w:tc>
          <w:tcPr>
            <w:tcW w:w="3960" w:type="dxa"/>
            <w:gridSpan w:val="2"/>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(unaudited)</w:t>
            </w:r>
          </w:p>
        </w:tc>
      </w:tr>
      <w:tr w:rsidR="00BE357C" w:rsidRPr="003E335B" w:rsidTr="00D415D2">
        <w:tc>
          <w:tcPr>
            <w:tcW w:w="6138" w:type="dxa"/>
            <w:tcBorders>
              <w:bottom w:val="single" w:sz="18" w:space="0" w:color="auto"/>
            </w:tcBorders>
            <w:vAlign w:val="bottom"/>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1980" w:type="dxa"/>
            <w:tcBorders>
              <w:top w:val="single" w:sz="18" w:space="0" w:color="auto"/>
              <w:bottom w:val="single" w:sz="18" w:space="0" w:color="auto"/>
            </w:tcBorders>
            <w:vAlign w:val="bottom"/>
            <w:hideMark/>
          </w:tcPr>
          <w:p w:rsidR="00BE357C" w:rsidRPr="003E335B" w:rsidRDefault="00BE357C"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July 2, 2011</w:t>
            </w:r>
          </w:p>
        </w:tc>
        <w:tc>
          <w:tcPr>
            <w:tcW w:w="1980" w:type="dxa"/>
            <w:tcBorders>
              <w:top w:val="single" w:sz="18" w:space="0" w:color="auto"/>
              <w:bottom w:val="single" w:sz="18" w:space="0" w:color="auto"/>
            </w:tcBorders>
            <w:vAlign w:val="bottom"/>
            <w:hideMark/>
          </w:tcPr>
          <w:p w:rsidR="00BE357C" w:rsidRPr="003E335B" w:rsidRDefault="00BE357C"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June 26, 2010</w:t>
            </w:r>
          </w:p>
        </w:tc>
      </w:tr>
      <w:tr w:rsidR="00BE357C" w:rsidRPr="003E335B" w:rsidTr="00D415D2">
        <w:tc>
          <w:tcPr>
            <w:tcW w:w="6138" w:type="dxa"/>
            <w:tcBorders>
              <w:top w:val="single" w:sz="18" w:space="0" w:color="auto"/>
            </w:tcBorders>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Depreciation and amortization</w:t>
            </w:r>
          </w:p>
        </w:tc>
        <w:tc>
          <w:tcPr>
            <w:tcW w:w="1980" w:type="dxa"/>
            <w:tcBorders>
              <w:top w:val="single" w:sz="18" w:space="0" w:color="auto"/>
            </w:tcBorders>
            <w:vAlign w:val="center"/>
          </w:tcPr>
          <w:p w:rsidR="00BE357C" w:rsidRPr="003E335B" w:rsidRDefault="002C6E16" w:rsidP="000D70EC">
            <w:pPr>
              <w:spacing w:after="100" w:line="240" w:lineRule="auto"/>
              <w:jc w:val="right"/>
              <w:rPr>
                <w:rFonts w:asciiTheme="minorHAnsi" w:hAnsiTheme="minorHAnsi" w:cs="Arial"/>
                <w:sz w:val="20"/>
                <w:szCs w:val="20"/>
              </w:rPr>
            </w:pPr>
            <w:r>
              <w:rPr>
                <w:rFonts w:asciiTheme="minorHAnsi" w:hAnsiTheme="minorHAnsi" w:cs="Arial"/>
                <w:sz w:val="20"/>
                <w:szCs w:val="20"/>
              </w:rPr>
              <w:t>800</w:t>
            </w:r>
          </w:p>
        </w:tc>
        <w:tc>
          <w:tcPr>
            <w:tcW w:w="1980" w:type="dxa"/>
            <w:tcBorders>
              <w:top w:val="single" w:sz="18" w:space="0" w:color="auto"/>
            </w:tcBorders>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745</w:t>
            </w:r>
          </w:p>
        </w:tc>
      </w:tr>
      <w:tr w:rsidR="00BE357C" w:rsidRPr="003E335B" w:rsidTr="00D415D2">
        <w:tc>
          <w:tcPr>
            <w:tcW w:w="6138" w:type="dxa"/>
            <w:shd w:val="clear" w:color="auto" w:fill="B8CCE4" w:themeFill="accent1" w:themeFillTint="66"/>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Employee benefit expenses</w:t>
            </w:r>
          </w:p>
        </w:tc>
        <w:tc>
          <w:tcPr>
            <w:tcW w:w="1980" w:type="dxa"/>
            <w:shd w:val="clear" w:color="auto" w:fill="B8CCE4" w:themeFill="accent1" w:themeFillTint="66"/>
            <w:vAlign w:val="center"/>
          </w:tcPr>
          <w:p w:rsidR="00BE357C" w:rsidRPr="003E335B" w:rsidRDefault="002C6E16" w:rsidP="000D70EC">
            <w:pPr>
              <w:spacing w:after="100" w:line="240" w:lineRule="auto"/>
              <w:jc w:val="right"/>
              <w:rPr>
                <w:rFonts w:asciiTheme="minorHAnsi" w:hAnsiTheme="minorHAnsi" w:cs="Arial"/>
                <w:sz w:val="20"/>
                <w:szCs w:val="20"/>
              </w:rPr>
            </w:pPr>
            <w:r>
              <w:rPr>
                <w:rFonts w:asciiTheme="minorHAnsi" w:hAnsiTheme="minorHAnsi" w:cs="Arial"/>
                <w:sz w:val="20"/>
                <w:szCs w:val="20"/>
              </w:rPr>
              <w:t>1,780</w:t>
            </w:r>
          </w:p>
        </w:tc>
        <w:tc>
          <w:tcPr>
            <w:tcW w:w="1980" w:type="dxa"/>
            <w:shd w:val="clear" w:color="auto" w:fill="B8CCE4" w:themeFill="accent1" w:themeFillTint="66"/>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1,602</w:t>
            </w:r>
          </w:p>
        </w:tc>
      </w:tr>
      <w:tr w:rsidR="00BE357C" w:rsidRPr="003E335B" w:rsidTr="00D415D2">
        <w:tc>
          <w:tcPr>
            <w:tcW w:w="6138" w:type="dxa"/>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Purchase of materials and subcontracting services</w:t>
            </w:r>
          </w:p>
        </w:tc>
        <w:tc>
          <w:tcPr>
            <w:tcW w:w="1980" w:type="dxa"/>
            <w:vAlign w:val="center"/>
          </w:tcPr>
          <w:p w:rsidR="00BE357C" w:rsidRPr="003E335B" w:rsidRDefault="002C6E16" w:rsidP="000D70EC">
            <w:pPr>
              <w:spacing w:after="100" w:line="240" w:lineRule="auto"/>
              <w:jc w:val="right"/>
              <w:rPr>
                <w:rFonts w:asciiTheme="minorHAnsi" w:hAnsiTheme="minorHAnsi" w:cs="Arial"/>
                <w:sz w:val="20"/>
                <w:szCs w:val="20"/>
              </w:rPr>
            </w:pPr>
            <w:r>
              <w:rPr>
                <w:rFonts w:asciiTheme="minorHAnsi" w:hAnsiTheme="minorHAnsi" w:cs="Arial"/>
                <w:sz w:val="20"/>
                <w:szCs w:val="20"/>
              </w:rPr>
              <w:t>2,067</w:t>
            </w:r>
          </w:p>
        </w:tc>
        <w:tc>
          <w:tcPr>
            <w:tcW w:w="1980" w:type="dxa"/>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1,892</w:t>
            </w:r>
          </w:p>
        </w:tc>
      </w:tr>
      <w:tr w:rsidR="00BE357C" w:rsidRPr="003E335B" w:rsidTr="00D415D2">
        <w:tc>
          <w:tcPr>
            <w:tcW w:w="6138" w:type="dxa"/>
            <w:shd w:val="clear" w:color="auto" w:fill="B8CCE4" w:themeFill="accent1" w:themeFillTint="66"/>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Changes in inventories</w:t>
            </w:r>
          </w:p>
        </w:tc>
        <w:tc>
          <w:tcPr>
            <w:tcW w:w="1980" w:type="dxa"/>
            <w:shd w:val="clear" w:color="auto" w:fill="B8CCE4" w:themeFill="accent1" w:themeFillTint="66"/>
            <w:vAlign w:val="center"/>
          </w:tcPr>
          <w:p w:rsidR="00BE357C" w:rsidRPr="003E335B" w:rsidRDefault="002C6E16" w:rsidP="000D70EC">
            <w:pPr>
              <w:spacing w:after="100" w:line="240" w:lineRule="auto"/>
              <w:jc w:val="right"/>
              <w:rPr>
                <w:rFonts w:asciiTheme="minorHAnsi" w:hAnsiTheme="minorHAnsi" w:cs="Arial"/>
                <w:sz w:val="20"/>
                <w:szCs w:val="20"/>
              </w:rPr>
            </w:pPr>
            <w:r>
              <w:rPr>
                <w:rFonts w:asciiTheme="minorHAnsi" w:hAnsiTheme="minorHAnsi" w:cs="Arial"/>
                <w:sz w:val="20"/>
                <w:szCs w:val="20"/>
              </w:rPr>
              <w:t>(199)</w:t>
            </w:r>
          </w:p>
        </w:tc>
        <w:tc>
          <w:tcPr>
            <w:tcW w:w="1980" w:type="dxa"/>
            <w:shd w:val="clear" w:color="auto" w:fill="B8CCE4" w:themeFill="accent1" w:themeFillTint="66"/>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(103)</w:t>
            </w:r>
          </w:p>
        </w:tc>
      </w:tr>
      <w:tr w:rsidR="00BE357C" w:rsidRPr="003E335B" w:rsidTr="00D415D2">
        <w:tc>
          <w:tcPr>
            <w:tcW w:w="6138" w:type="dxa"/>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Transportation</w:t>
            </w:r>
          </w:p>
        </w:tc>
        <w:tc>
          <w:tcPr>
            <w:tcW w:w="1980" w:type="dxa"/>
            <w:vAlign w:val="center"/>
          </w:tcPr>
          <w:p w:rsidR="00BE357C" w:rsidRPr="003E335B" w:rsidRDefault="002C6E16" w:rsidP="000D70EC">
            <w:pPr>
              <w:spacing w:after="100" w:line="240" w:lineRule="auto"/>
              <w:jc w:val="right"/>
              <w:rPr>
                <w:rFonts w:asciiTheme="minorHAnsi" w:hAnsiTheme="minorHAnsi" w:cs="Arial"/>
                <w:sz w:val="20"/>
                <w:szCs w:val="20"/>
              </w:rPr>
            </w:pPr>
            <w:r>
              <w:rPr>
                <w:rFonts w:asciiTheme="minorHAnsi" w:hAnsiTheme="minorHAnsi" w:cs="Arial"/>
                <w:sz w:val="20"/>
                <w:szCs w:val="20"/>
              </w:rPr>
              <w:t>70</w:t>
            </w:r>
          </w:p>
        </w:tc>
        <w:tc>
          <w:tcPr>
            <w:tcW w:w="1980" w:type="dxa"/>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63</w:t>
            </w:r>
          </w:p>
        </w:tc>
      </w:tr>
      <w:tr w:rsidR="00BE357C" w:rsidRPr="003E335B" w:rsidTr="00D415D2">
        <w:tc>
          <w:tcPr>
            <w:tcW w:w="6138" w:type="dxa"/>
            <w:shd w:val="clear" w:color="auto" w:fill="B8CCE4" w:themeFill="accent1" w:themeFillTint="66"/>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Royalties and patents</w:t>
            </w:r>
          </w:p>
        </w:tc>
        <w:tc>
          <w:tcPr>
            <w:tcW w:w="1980" w:type="dxa"/>
            <w:shd w:val="clear" w:color="auto" w:fill="B8CCE4" w:themeFill="accent1" w:themeFillTint="66"/>
            <w:vAlign w:val="center"/>
          </w:tcPr>
          <w:p w:rsidR="00BE357C" w:rsidRPr="003E335B" w:rsidRDefault="002C6E16" w:rsidP="000D70EC">
            <w:pPr>
              <w:spacing w:after="100" w:line="240" w:lineRule="auto"/>
              <w:jc w:val="right"/>
              <w:rPr>
                <w:rFonts w:asciiTheme="minorHAnsi" w:hAnsiTheme="minorHAnsi" w:cs="Arial"/>
                <w:sz w:val="20"/>
                <w:szCs w:val="20"/>
              </w:rPr>
            </w:pPr>
            <w:r>
              <w:rPr>
                <w:rFonts w:asciiTheme="minorHAnsi" w:hAnsiTheme="minorHAnsi" w:cs="Arial"/>
                <w:sz w:val="20"/>
                <w:szCs w:val="20"/>
              </w:rPr>
              <w:t>56</w:t>
            </w:r>
          </w:p>
        </w:tc>
        <w:tc>
          <w:tcPr>
            <w:tcW w:w="1980" w:type="dxa"/>
            <w:shd w:val="clear" w:color="auto" w:fill="B8CCE4" w:themeFill="accent1" w:themeFillTint="66"/>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57</w:t>
            </w:r>
          </w:p>
        </w:tc>
      </w:tr>
      <w:tr w:rsidR="00BE357C" w:rsidRPr="003E335B" w:rsidTr="00D415D2">
        <w:tc>
          <w:tcPr>
            <w:tcW w:w="6138" w:type="dxa"/>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Advertising costs</w:t>
            </w:r>
          </w:p>
        </w:tc>
        <w:tc>
          <w:tcPr>
            <w:tcW w:w="1980" w:type="dxa"/>
            <w:vAlign w:val="center"/>
          </w:tcPr>
          <w:p w:rsidR="00BE357C" w:rsidRPr="003E335B" w:rsidRDefault="002C6E16" w:rsidP="000D70EC">
            <w:pPr>
              <w:spacing w:after="100" w:line="240" w:lineRule="auto"/>
              <w:jc w:val="right"/>
              <w:rPr>
                <w:rFonts w:asciiTheme="minorHAnsi" w:hAnsiTheme="minorHAnsi" w:cs="Arial"/>
                <w:sz w:val="20"/>
                <w:szCs w:val="20"/>
              </w:rPr>
            </w:pPr>
            <w:r>
              <w:rPr>
                <w:rFonts w:asciiTheme="minorHAnsi" w:hAnsiTheme="minorHAnsi" w:cs="Arial"/>
                <w:sz w:val="20"/>
                <w:szCs w:val="20"/>
              </w:rPr>
              <w:t>6</w:t>
            </w:r>
          </w:p>
        </w:tc>
        <w:tc>
          <w:tcPr>
            <w:tcW w:w="1980" w:type="dxa"/>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6</w:t>
            </w:r>
          </w:p>
        </w:tc>
      </w:tr>
      <w:tr w:rsidR="00BE357C" w:rsidRPr="003E335B" w:rsidTr="00D415D2">
        <w:tc>
          <w:tcPr>
            <w:tcW w:w="6138" w:type="dxa"/>
            <w:shd w:val="clear" w:color="auto" w:fill="B8CCE4" w:themeFill="accent1" w:themeFillTint="66"/>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Other expenses</w:t>
            </w:r>
          </w:p>
        </w:tc>
        <w:tc>
          <w:tcPr>
            <w:tcW w:w="1980" w:type="dxa"/>
            <w:tcBorders>
              <w:bottom w:val="single" w:sz="18" w:space="0" w:color="auto"/>
            </w:tcBorders>
            <w:shd w:val="clear" w:color="auto" w:fill="B8CCE4" w:themeFill="accent1" w:themeFillTint="66"/>
            <w:vAlign w:val="center"/>
          </w:tcPr>
          <w:p w:rsidR="00BE357C" w:rsidRPr="003E335B" w:rsidRDefault="002C6E16" w:rsidP="000D70EC">
            <w:pPr>
              <w:spacing w:after="100" w:line="240" w:lineRule="auto"/>
              <w:jc w:val="right"/>
              <w:rPr>
                <w:rFonts w:asciiTheme="minorHAnsi" w:hAnsiTheme="minorHAnsi" w:cs="Arial"/>
                <w:sz w:val="20"/>
                <w:szCs w:val="20"/>
              </w:rPr>
            </w:pPr>
            <w:r>
              <w:rPr>
                <w:rFonts w:asciiTheme="minorHAnsi" w:hAnsiTheme="minorHAnsi" w:cs="Arial"/>
                <w:sz w:val="20"/>
                <w:szCs w:val="20"/>
              </w:rPr>
              <w:t>341</w:t>
            </w:r>
          </w:p>
        </w:tc>
        <w:tc>
          <w:tcPr>
            <w:tcW w:w="1980" w:type="dxa"/>
            <w:tcBorders>
              <w:bottom w:val="single" w:sz="18" w:space="0" w:color="auto"/>
            </w:tcBorders>
            <w:shd w:val="clear" w:color="auto" w:fill="B8CCE4" w:themeFill="accent1" w:themeFillTint="66"/>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440</w:t>
            </w:r>
          </w:p>
        </w:tc>
      </w:tr>
      <w:tr w:rsidR="00BE357C" w:rsidRPr="003E335B" w:rsidTr="00D415D2">
        <w:tc>
          <w:tcPr>
            <w:tcW w:w="6138" w:type="dxa"/>
            <w:tcBorders>
              <w:bottom w:val="single" w:sz="18" w:space="0" w:color="auto"/>
            </w:tcBorders>
            <w:hideMark/>
          </w:tcPr>
          <w:p w:rsidR="00BE357C" w:rsidRPr="003E335B" w:rsidRDefault="00BE357C"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Total  cost of sales, research and development, and selling, general and administrative</w:t>
            </w:r>
          </w:p>
        </w:tc>
        <w:tc>
          <w:tcPr>
            <w:tcW w:w="1980" w:type="dxa"/>
            <w:tcBorders>
              <w:top w:val="single" w:sz="18" w:space="0" w:color="auto"/>
              <w:bottom w:val="single" w:sz="18" w:space="0" w:color="auto"/>
            </w:tcBorders>
            <w:vAlign w:val="center"/>
          </w:tcPr>
          <w:p w:rsidR="00BE357C" w:rsidRPr="003E335B" w:rsidRDefault="002C6E16"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4,921</w:t>
            </w:r>
          </w:p>
        </w:tc>
        <w:tc>
          <w:tcPr>
            <w:tcW w:w="1980" w:type="dxa"/>
            <w:tcBorders>
              <w:top w:val="single" w:sz="18" w:space="0" w:color="auto"/>
              <w:bottom w:val="single" w:sz="18" w:space="0" w:color="auto"/>
            </w:tcBorders>
            <w:vAlign w:val="center"/>
            <w:hideMark/>
          </w:tcPr>
          <w:p w:rsidR="00BE357C" w:rsidRPr="003E335B" w:rsidRDefault="00BE357C"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4,702</w:t>
            </w:r>
          </w:p>
        </w:tc>
      </w:tr>
    </w:tbl>
    <w:p w:rsidR="00847BCE" w:rsidRPr="003E335B" w:rsidRDefault="00847BCE" w:rsidP="000D70EC">
      <w:pPr>
        <w:spacing w:after="100" w:line="240" w:lineRule="auto"/>
        <w:rPr>
          <w:rFonts w:asciiTheme="minorHAnsi" w:hAnsiTheme="minorHAnsi" w:cs="Arial"/>
          <w:sz w:val="20"/>
          <w:szCs w:val="20"/>
        </w:rPr>
      </w:pPr>
    </w:p>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Employee benefit expenses are detailed as follows:</w:t>
      </w:r>
    </w:p>
    <w:tbl>
      <w:tblPr>
        <w:tblW w:w="10098" w:type="dxa"/>
        <w:tblLook w:val="04A0"/>
      </w:tblPr>
      <w:tblGrid>
        <w:gridCol w:w="6228"/>
        <w:gridCol w:w="1935"/>
        <w:gridCol w:w="1935"/>
      </w:tblGrid>
      <w:tr w:rsidR="00847BCE" w:rsidRPr="003E335B" w:rsidTr="00D415D2">
        <w:tc>
          <w:tcPr>
            <w:tcW w:w="6228" w:type="dxa"/>
            <w:vAlign w:val="bottom"/>
            <w:hideMark/>
          </w:tcPr>
          <w:p w:rsidR="00847BCE" w:rsidRPr="003E335B" w:rsidRDefault="00847BCE" w:rsidP="000D70EC">
            <w:pPr>
              <w:spacing w:after="100" w:line="240" w:lineRule="auto"/>
              <w:jc w:val="center"/>
              <w:rPr>
                <w:rFonts w:asciiTheme="minorHAnsi" w:hAnsiTheme="minorHAnsi" w:cs="Arial"/>
                <w:sz w:val="20"/>
                <w:szCs w:val="20"/>
              </w:rPr>
            </w:pPr>
          </w:p>
        </w:tc>
        <w:tc>
          <w:tcPr>
            <w:tcW w:w="3870" w:type="dxa"/>
            <w:gridSpan w:val="2"/>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(unaudited)</w:t>
            </w:r>
          </w:p>
        </w:tc>
      </w:tr>
      <w:tr w:rsidR="00BE357C" w:rsidRPr="003E335B" w:rsidTr="00D415D2">
        <w:tc>
          <w:tcPr>
            <w:tcW w:w="6228" w:type="dxa"/>
            <w:tcBorders>
              <w:bottom w:val="single" w:sz="18" w:space="0" w:color="auto"/>
            </w:tcBorders>
            <w:vAlign w:val="bottom"/>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1935" w:type="dxa"/>
            <w:tcBorders>
              <w:top w:val="single" w:sz="18" w:space="0" w:color="auto"/>
              <w:bottom w:val="single" w:sz="18" w:space="0" w:color="auto"/>
            </w:tcBorders>
            <w:vAlign w:val="bottom"/>
            <w:hideMark/>
          </w:tcPr>
          <w:p w:rsidR="00BE357C" w:rsidRPr="003E335B" w:rsidRDefault="00BE357C"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July 2, 2011</w:t>
            </w:r>
          </w:p>
        </w:tc>
        <w:tc>
          <w:tcPr>
            <w:tcW w:w="1935" w:type="dxa"/>
            <w:tcBorders>
              <w:top w:val="single" w:sz="18" w:space="0" w:color="auto"/>
              <w:bottom w:val="single" w:sz="18" w:space="0" w:color="auto"/>
            </w:tcBorders>
            <w:vAlign w:val="bottom"/>
            <w:hideMark/>
          </w:tcPr>
          <w:p w:rsidR="00BE357C" w:rsidRPr="003E335B" w:rsidRDefault="00BE357C"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June 26, 2010</w:t>
            </w:r>
          </w:p>
        </w:tc>
      </w:tr>
      <w:tr w:rsidR="00BE357C" w:rsidRPr="003E335B" w:rsidTr="00D415D2">
        <w:tc>
          <w:tcPr>
            <w:tcW w:w="6228" w:type="dxa"/>
            <w:tcBorders>
              <w:top w:val="single" w:sz="18" w:space="0" w:color="auto"/>
            </w:tcBorders>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Wages and salaries</w:t>
            </w:r>
          </w:p>
        </w:tc>
        <w:tc>
          <w:tcPr>
            <w:tcW w:w="1935" w:type="dxa"/>
            <w:tcBorders>
              <w:top w:val="single" w:sz="18" w:space="0" w:color="auto"/>
            </w:tcBorders>
            <w:vAlign w:val="center"/>
          </w:tcPr>
          <w:p w:rsidR="00BE357C" w:rsidRPr="003E335B" w:rsidRDefault="002C6E16" w:rsidP="000D70EC">
            <w:pPr>
              <w:spacing w:after="100" w:line="240" w:lineRule="auto"/>
              <w:jc w:val="right"/>
              <w:rPr>
                <w:rFonts w:asciiTheme="minorHAnsi" w:hAnsiTheme="minorHAnsi" w:cs="Arial"/>
                <w:sz w:val="20"/>
                <w:szCs w:val="20"/>
              </w:rPr>
            </w:pPr>
            <w:r>
              <w:rPr>
                <w:rFonts w:asciiTheme="minorHAnsi" w:hAnsiTheme="minorHAnsi" w:cs="Arial"/>
                <w:sz w:val="20"/>
                <w:szCs w:val="20"/>
              </w:rPr>
              <w:t>1,337</w:t>
            </w:r>
          </w:p>
        </w:tc>
        <w:tc>
          <w:tcPr>
            <w:tcW w:w="1935" w:type="dxa"/>
            <w:tcBorders>
              <w:top w:val="single" w:sz="18" w:space="0" w:color="auto"/>
            </w:tcBorders>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1,211</w:t>
            </w:r>
          </w:p>
        </w:tc>
      </w:tr>
      <w:tr w:rsidR="00BE357C" w:rsidRPr="003E335B" w:rsidTr="00D415D2">
        <w:tc>
          <w:tcPr>
            <w:tcW w:w="6228" w:type="dxa"/>
            <w:shd w:val="clear" w:color="auto" w:fill="B8CCE4" w:themeFill="accent1" w:themeFillTint="66"/>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Social security costs</w:t>
            </w:r>
          </w:p>
        </w:tc>
        <w:tc>
          <w:tcPr>
            <w:tcW w:w="1935" w:type="dxa"/>
            <w:shd w:val="clear" w:color="auto" w:fill="B8CCE4" w:themeFill="accent1" w:themeFillTint="66"/>
            <w:vAlign w:val="center"/>
          </w:tcPr>
          <w:p w:rsidR="00BE357C" w:rsidRPr="003E335B" w:rsidRDefault="002C6E16" w:rsidP="000D70EC">
            <w:pPr>
              <w:spacing w:after="100" w:line="240" w:lineRule="auto"/>
              <w:jc w:val="right"/>
              <w:rPr>
                <w:rFonts w:asciiTheme="minorHAnsi" w:hAnsiTheme="minorHAnsi" w:cs="Arial"/>
                <w:sz w:val="20"/>
                <w:szCs w:val="20"/>
              </w:rPr>
            </w:pPr>
            <w:r>
              <w:rPr>
                <w:rFonts w:asciiTheme="minorHAnsi" w:hAnsiTheme="minorHAnsi" w:cs="Arial"/>
                <w:sz w:val="20"/>
                <w:szCs w:val="20"/>
              </w:rPr>
              <w:t>358</w:t>
            </w:r>
          </w:p>
        </w:tc>
        <w:tc>
          <w:tcPr>
            <w:tcW w:w="1935" w:type="dxa"/>
            <w:shd w:val="clear" w:color="auto" w:fill="B8CCE4" w:themeFill="accent1" w:themeFillTint="66"/>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310</w:t>
            </w:r>
          </w:p>
        </w:tc>
      </w:tr>
      <w:tr w:rsidR="00BE357C" w:rsidRPr="003E335B" w:rsidTr="00D415D2">
        <w:tc>
          <w:tcPr>
            <w:tcW w:w="6228" w:type="dxa"/>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Share-based compensation expense</w:t>
            </w:r>
          </w:p>
        </w:tc>
        <w:tc>
          <w:tcPr>
            <w:tcW w:w="1935" w:type="dxa"/>
            <w:vAlign w:val="center"/>
          </w:tcPr>
          <w:p w:rsidR="00BE357C" w:rsidRPr="003E335B" w:rsidRDefault="002C6E16" w:rsidP="000D70EC">
            <w:pPr>
              <w:spacing w:after="100" w:line="240" w:lineRule="auto"/>
              <w:jc w:val="right"/>
              <w:rPr>
                <w:rFonts w:asciiTheme="minorHAnsi" w:hAnsiTheme="minorHAnsi" w:cs="Arial"/>
                <w:sz w:val="20"/>
                <w:szCs w:val="20"/>
              </w:rPr>
            </w:pPr>
            <w:r>
              <w:rPr>
                <w:rFonts w:asciiTheme="minorHAnsi" w:hAnsiTheme="minorHAnsi" w:cs="Arial"/>
                <w:sz w:val="20"/>
                <w:szCs w:val="20"/>
              </w:rPr>
              <w:t>16</w:t>
            </w:r>
          </w:p>
        </w:tc>
        <w:tc>
          <w:tcPr>
            <w:tcW w:w="1935" w:type="dxa"/>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14</w:t>
            </w:r>
          </w:p>
        </w:tc>
      </w:tr>
      <w:tr w:rsidR="00BE357C" w:rsidRPr="003E335B" w:rsidTr="00D415D2">
        <w:tc>
          <w:tcPr>
            <w:tcW w:w="6228" w:type="dxa"/>
            <w:shd w:val="clear" w:color="auto" w:fill="B8CCE4" w:themeFill="accent1" w:themeFillTint="66"/>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Pension costs</w:t>
            </w:r>
          </w:p>
        </w:tc>
        <w:tc>
          <w:tcPr>
            <w:tcW w:w="1935" w:type="dxa"/>
            <w:tcBorders>
              <w:bottom w:val="single" w:sz="18" w:space="0" w:color="auto"/>
            </w:tcBorders>
            <w:shd w:val="clear" w:color="auto" w:fill="B8CCE4" w:themeFill="accent1" w:themeFillTint="66"/>
            <w:vAlign w:val="center"/>
          </w:tcPr>
          <w:p w:rsidR="00BE357C" w:rsidRPr="003E335B" w:rsidRDefault="002C6E16" w:rsidP="000D70EC">
            <w:pPr>
              <w:spacing w:after="100" w:line="240" w:lineRule="auto"/>
              <w:jc w:val="right"/>
              <w:rPr>
                <w:rFonts w:asciiTheme="minorHAnsi" w:hAnsiTheme="minorHAnsi" w:cs="Arial"/>
                <w:sz w:val="20"/>
                <w:szCs w:val="20"/>
              </w:rPr>
            </w:pPr>
            <w:r>
              <w:rPr>
                <w:rFonts w:asciiTheme="minorHAnsi" w:hAnsiTheme="minorHAnsi" w:cs="Arial"/>
                <w:sz w:val="20"/>
                <w:szCs w:val="20"/>
              </w:rPr>
              <w:t>69</w:t>
            </w:r>
          </w:p>
        </w:tc>
        <w:tc>
          <w:tcPr>
            <w:tcW w:w="1935" w:type="dxa"/>
            <w:tcBorders>
              <w:bottom w:val="single" w:sz="18" w:space="0" w:color="auto"/>
            </w:tcBorders>
            <w:shd w:val="clear" w:color="auto" w:fill="B8CCE4" w:themeFill="accent1" w:themeFillTint="66"/>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67</w:t>
            </w:r>
          </w:p>
        </w:tc>
      </w:tr>
      <w:tr w:rsidR="00BE357C" w:rsidRPr="003E335B" w:rsidTr="00D415D2">
        <w:tc>
          <w:tcPr>
            <w:tcW w:w="6228" w:type="dxa"/>
            <w:hideMark/>
          </w:tcPr>
          <w:p w:rsidR="00BE357C" w:rsidRPr="003E335B" w:rsidRDefault="00BE357C"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Total employee benefit expenses</w:t>
            </w:r>
          </w:p>
        </w:tc>
        <w:tc>
          <w:tcPr>
            <w:tcW w:w="1935" w:type="dxa"/>
            <w:tcBorders>
              <w:top w:val="single" w:sz="18" w:space="0" w:color="auto"/>
            </w:tcBorders>
            <w:vAlign w:val="center"/>
          </w:tcPr>
          <w:p w:rsidR="00BE357C" w:rsidRPr="003E335B" w:rsidRDefault="002C6E16"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1,780</w:t>
            </w:r>
          </w:p>
        </w:tc>
        <w:tc>
          <w:tcPr>
            <w:tcW w:w="1935" w:type="dxa"/>
            <w:tcBorders>
              <w:top w:val="single" w:sz="18" w:space="0" w:color="auto"/>
            </w:tcBorders>
            <w:vAlign w:val="center"/>
            <w:hideMark/>
          </w:tcPr>
          <w:p w:rsidR="00BE357C" w:rsidRPr="003E335B" w:rsidRDefault="00BE357C"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1,602</w:t>
            </w:r>
          </w:p>
        </w:tc>
      </w:tr>
      <w:tr w:rsidR="00BE357C" w:rsidRPr="003E335B" w:rsidTr="00D415D2">
        <w:tc>
          <w:tcPr>
            <w:tcW w:w="6228" w:type="dxa"/>
            <w:shd w:val="clear" w:color="auto" w:fill="B8CCE4" w:themeFill="accent1" w:themeFillTint="66"/>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Of which included in:</w:t>
            </w:r>
          </w:p>
        </w:tc>
        <w:tc>
          <w:tcPr>
            <w:tcW w:w="1935" w:type="dxa"/>
            <w:shd w:val="clear" w:color="auto" w:fill="B8CCE4" w:themeFill="accent1" w:themeFillTint="66"/>
            <w:vAlign w:val="center"/>
          </w:tcPr>
          <w:p w:rsidR="00BE357C" w:rsidRPr="003E335B" w:rsidRDefault="00BE357C" w:rsidP="000D70EC">
            <w:pPr>
              <w:spacing w:after="100" w:line="240" w:lineRule="auto"/>
              <w:jc w:val="right"/>
              <w:rPr>
                <w:rFonts w:asciiTheme="minorHAnsi" w:hAnsiTheme="minorHAnsi" w:cs="Arial"/>
                <w:sz w:val="20"/>
                <w:szCs w:val="20"/>
              </w:rPr>
            </w:pPr>
          </w:p>
        </w:tc>
        <w:tc>
          <w:tcPr>
            <w:tcW w:w="1935" w:type="dxa"/>
            <w:shd w:val="clear" w:color="auto" w:fill="B8CCE4" w:themeFill="accent1" w:themeFillTint="66"/>
            <w:vAlign w:val="center"/>
          </w:tcPr>
          <w:p w:rsidR="00BE357C" w:rsidRPr="003E335B" w:rsidRDefault="00BE357C" w:rsidP="000D70EC">
            <w:pPr>
              <w:spacing w:after="100" w:line="240" w:lineRule="auto"/>
              <w:jc w:val="right"/>
              <w:rPr>
                <w:rFonts w:asciiTheme="minorHAnsi" w:hAnsiTheme="minorHAnsi" w:cs="Arial"/>
                <w:sz w:val="20"/>
                <w:szCs w:val="20"/>
              </w:rPr>
            </w:pPr>
          </w:p>
        </w:tc>
      </w:tr>
      <w:tr w:rsidR="00BE357C" w:rsidRPr="003E335B" w:rsidTr="00D415D2">
        <w:tc>
          <w:tcPr>
            <w:tcW w:w="6228" w:type="dxa"/>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Cost of sales</w:t>
            </w:r>
          </w:p>
        </w:tc>
        <w:tc>
          <w:tcPr>
            <w:tcW w:w="1935" w:type="dxa"/>
            <w:vAlign w:val="center"/>
          </w:tcPr>
          <w:p w:rsidR="00BE357C" w:rsidRPr="003E335B" w:rsidRDefault="002C6E16" w:rsidP="000D70EC">
            <w:pPr>
              <w:spacing w:after="100" w:line="240" w:lineRule="auto"/>
              <w:jc w:val="right"/>
              <w:rPr>
                <w:rFonts w:asciiTheme="minorHAnsi" w:hAnsiTheme="minorHAnsi" w:cs="Arial"/>
                <w:sz w:val="20"/>
                <w:szCs w:val="20"/>
              </w:rPr>
            </w:pPr>
            <w:r>
              <w:rPr>
                <w:rFonts w:asciiTheme="minorHAnsi" w:hAnsiTheme="minorHAnsi" w:cs="Arial"/>
                <w:sz w:val="20"/>
                <w:szCs w:val="20"/>
              </w:rPr>
              <w:t>710</w:t>
            </w:r>
          </w:p>
        </w:tc>
        <w:tc>
          <w:tcPr>
            <w:tcW w:w="1935" w:type="dxa"/>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638</w:t>
            </w:r>
          </w:p>
        </w:tc>
      </w:tr>
      <w:tr w:rsidR="00BE357C" w:rsidRPr="003E335B" w:rsidTr="00D415D2">
        <w:tc>
          <w:tcPr>
            <w:tcW w:w="6228" w:type="dxa"/>
            <w:shd w:val="clear" w:color="auto" w:fill="B8CCE4" w:themeFill="accent1" w:themeFillTint="66"/>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Selling, general and administrative</w:t>
            </w:r>
          </w:p>
        </w:tc>
        <w:tc>
          <w:tcPr>
            <w:tcW w:w="1935" w:type="dxa"/>
            <w:shd w:val="clear" w:color="auto" w:fill="B8CCE4" w:themeFill="accent1" w:themeFillTint="66"/>
            <w:vAlign w:val="center"/>
          </w:tcPr>
          <w:p w:rsidR="00BE357C" w:rsidRPr="003E335B" w:rsidRDefault="002C6E16" w:rsidP="000D70EC">
            <w:pPr>
              <w:spacing w:after="100" w:line="240" w:lineRule="auto"/>
              <w:jc w:val="right"/>
              <w:rPr>
                <w:rFonts w:asciiTheme="minorHAnsi" w:hAnsiTheme="minorHAnsi" w:cs="Arial"/>
                <w:sz w:val="20"/>
                <w:szCs w:val="20"/>
              </w:rPr>
            </w:pPr>
            <w:r>
              <w:rPr>
                <w:rFonts w:asciiTheme="minorHAnsi" w:hAnsiTheme="minorHAnsi" w:cs="Arial"/>
                <w:sz w:val="20"/>
                <w:szCs w:val="20"/>
              </w:rPr>
              <w:t>411</w:t>
            </w:r>
          </w:p>
        </w:tc>
        <w:tc>
          <w:tcPr>
            <w:tcW w:w="1935" w:type="dxa"/>
            <w:shd w:val="clear" w:color="auto" w:fill="B8CCE4" w:themeFill="accent1" w:themeFillTint="66"/>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358</w:t>
            </w:r>
          </w:p>
        </w:tc>
      </w:tr>
      <w:tr w:rsidR="00BE357C" w:rsidRPr="003E335B" w:rsidTr="00D415D2">
        <w:tc>
          <w:tcPr>
            <w:tcW w:w="6228" w:type="dxa"/>
            <w:tcBorders>
              <w:bottom w:val="single" w:sz="18" w:space="0" w:color="auto"/>
            </w:tcBorders>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Research and development</w:t>
            </w:r>
          </w:p>
        </w:tc>
        <w:tc>
          <w:tcPr>
            <w:tcW w:w="1935" w:type="dxa"/>
            <w:tcBorders>
              <w:bottom w:val="single" w:sz="18" w:space="0" w:color="auto"/>
            </w:tcBorders>
            <w:vAlign w:val="center"/>
          </w:tcPr>
          <w:p w:rsidR="00BE357C" w:rsidRPr="003E335B" w:rsidRDefault="002C6E16" w:rsidP="000D70EC">
            <w:pPr>
              <w:spacing w:after="100" w:line="240" w:lineRule="auto"/>
              <w:jc w:val="right"/>
              <w:rPr>
                <w:rFonts w:asciiTheme="minorHAnsi" w:hAnsiTheme="minorHAnsi" w:cs="Arial"/>
                <w:sz w:val="20"/>
                <w:szCs w:val="20"/>
              </w:rPr>
            </w:pPr>
            <w:r>
              <w:rPr>
                <w:rFonts w:asciiTheme="minorHAnsi" w:hAnsiTheme="minorHAnsi" w:cs="Arial"/>
                <w:sz w:val="20"/>
                <w:szCs w:val="20"/>
              </w:rPr>
              <w:t>659</w:t>
            </w:r>
          </w:p>
        </w:tc>
        <w:tc>
          <w:tcPr>
            <w:tcW w:w="1935" w:type="dxa"/>
            <w:tcBorders>
              <w:bottom w:val="single" w:sz="18" w:space="0" w:color="auto"/>
            </w:tcBorders>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606</w:t>
            </w:r>
          </w:p>
        </w:tc>
      </w:tr>
    </w:tbl>
    <w:p w:rsidR="00847BCE" w:rsidRPr="003E335B" w:rsidRDefault="00847BCE" w:rsidP="000D70EC">
      <w:pPr>
        <w:spacing w:after="100" w:line="240" w:lineRule="auto"/>
        <w:rPr>
          <w:rFonts w:asciiTheme="minorHAnsi" w:hAnsiTheme="minorHAnsi" w:cs="Arial"/>
          <w:sz w:val="20"/>
          <w:szCs w:val="20"/>
        </w:rPr>
      </w:pPr>
    </w:p>
    <w:p w:rsidR="00847BCE" w:rsidRPr="003E335B" w:rsidRDefault="00847BCE" w:rsidP="000D70EC">
      <w:pPr>
        <w:spacing w:after="100" w:line="240" w:lineRule="auto"/>
        <w:rPr>
          <w:rFonts w:asciiTheme="minorHAnsi" w:hAnsiTheme="minorHAnsi" w:cs="Arial"/>
          <w:sz w:val="20"/>
          <w:szCs w:val="20"/>
        </w:rPr>
      </w:pPr>
    </w:p>
    <w:p w:rsidR="006974EA" w:rsidRPr="003E335B" w:rsidRDefault="006974EA" w:rsidP="000D70EC">
      <w:pPr>
        <w:spacing w:after="100" w:line="240" w:lineRule="auto"/>
        <w:rPr>
          <w:rFonts w:asciiTheme="minorHAnsi" w:eastAsia="Times New Roman" w:hAnsiTheme="minorHAnsi" w:cs="Arial"/>
          <w:b/>
          <w:smallCaps/>
          <w:color w:val="009CDD"/>
          <w:spacing w:val="5"/>
          <w:sz w:val="20"/>
          <w:szCs w:val="20"/>
          <w:lang w:bidi="en-US"/>
        </w:rPr>
      </w:pPr>
      <w:bookmarkStart w:id="244" w:name="_Toc265058942"/>
      <w:bookmarkStart w:id="245" w:name="_Toc258421357"/>
      <w:bookmarkStart w:id="246" w:name="_Toc257898997"/>
      <w:bookmarkStart w:id="247" w:name="_Toc266868924"/>
      <w:bookmarkStart w:id="248" w:name="_Toc266869140"/>
      <w:bookmarkStart w:id="249" w:name="_Toc266885175"/>
      <w:bookmarkStart w:id="250" w:name="_Toc266886361"/>
      <w:r w:rsidRPr="003E335B">
        <w:rPr>
          <w:rFonts w:asciiTheme="minorHAnsi" w:hAnsiTheme="minorHAnsi"/>
          <w:sz w:val="20"/>
          <w:szCs w:val="20"/>
        </w:rPr>
        <w:br w:type="page"/>
      </w:r>
    </w:p>
    <w:p w:rsidR="00847BCE" w:rsidRPr="003E335B" w:rsidRDefault="00847BCE" w:rsidP="000D70EC">
      <w:pPr>
        <w:pStyle w:val="Title3"/>
        <w:spacing w:after="100" w:line="240" w:lineRule="auto"/>
        <w:rPr>
          <w:rFonts w:asciiTheme="minorHAnsi" w:hAnsiTheme="minorHAnsi"/>
          <w:sz w:val="20"/>
          <w:szCs w:val="20"/>
        </w:rPr>
      </w:pPr>
      <w:bookmarkStart w:id="251" w:name="_Toc269825405"/>
      <w:bookmarkStart w:id="252" w:name="_Toc297204187"/>
      <w:bookmarkStart w:id="253" w:name="_Toc300834248"/>
      <w:r w:rsidRPr="003E335B">
        <w:rPr>
          <w:rFonts w:asciiTheme="minorHAnsi" w:hAnsiTheme="minorHAnsi"/>
          <w:sz w:val="20"/>
          <w:szCs w:val="20"/>
        </w:rPr>
        <w:lastRenderedPageBreak/>
        <w:t>Other income / expenses</w:t>
      </w:r>
      <w:bookmarkEnd w:id="244"/>
      <w:bookmarkEnd w:id="245"/>
      <w:bookmarkEnd w:id="246"/>
      <w:bookmarkEnd w:id="247"/>
      <w:bookmarkEnd w:id="248"/>
      <w:bookmarkEnd w:id="249"/>
      <w:bookmarkEnd w:id="250"/>
      <w:bookmarkEnd w:id="251"/>
      <w:bookmarkEnd w:id="252"/>
      <w:bookmarkEnd w:id="253"/>
    </w:p>
    <w:p w:rsidR="00847BCE" w:rsidRPr="003E335B" w:rsidRDefault="00847BCE" w:rsidP="000D70EC">
      <w:pPr>
        <w:spacing w:after="100" w:line="240" w:lineRule="auto"/>
        <w:rPr>
          <w:rFonts w:asciiTheme="minorHAnsi" w:hAnsiTheme="minorHAnsi" w:cs="Arial"/>
          <w:sz w:val="20"/>
          <w:szCs w:val="20"/>
        </w:rPr>
      </w:pPr>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Other income consisted of the following:</w:t>
      </w:r>
    </w:p>
    <w:tbl>
      <w:tblPr>
        <w:tblW w:w="10098" w:type="dxa"/>
        <w:tblLook w:val="04A0"/>
      </w:tblPr>
      <w:tblGrid>
        <w:gridCol w:w="6228"/>
        <w:gridCol w:w="1980"/>
        <w:gridCol w:w="1890"/>
      </w:tblGrid>
      <w:tr w:rsidR="00847BCE" w:rsidRPr="003E335B" w:rsidTr="00D415D2">
        <w:tc>
          <w:tcPr>
            <w:tcW w:w="6228" w:type="dxa"/>
            <w:vAlign w:val="bottom"/>
            <w:hideMark/>
          </w:tcPr>
          <w:p w:rsidR="00847BCE" w:rsidRPr="003E335B" w:rsidRDefault="00847BCE" w:rsidP="000D70EC">
            <w:pPr>
              <w:spacing w:after="100" w:line="240" w:lineRule="auto"/>
              <w:jc w:val="center"/>
              <w:rPr>
                <w:rFonts w:asciiTheme="minorHAnsi" w:hAnsiTheme="minorHAnsi" w:cs="Arial"/>
                <w:sz w:val="20"/>
                <w:szCs w:val="20"/>
              </w:rPr>
            </w:pPr>
          </w:p>
        </w:tc>
        <w:tc>
          <w:tcPr>
            <w:tcW w:w="3870" w:type="dxa"/>
            <w:gridSpan w:val="2"/>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(unaudited)</w:t>
            </w:r>
          </w:p>
        </w:tc>
      </w:tr>
      <w:tr w:rsidR="00BE357C" w:rsidRPr="003E335B" w:rsidTr="00D415D2">
        <w:tc>
          <w:tcPr>
            <w:tcW w:w="6228" w:type="dxa"/>
            <w:tcBorders>
              <w:bottom w:val="single" w:sz="18" w:space="0" w:color="auto"/>
            </w:tcBorders>
            <w:vAlign w:val="bottom"/>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1980" w:type="dxa"/>
            <w:tcBorders>
              <w:top w:val="single" w:sz="18" w:space="0" w:color="auto"/>
              <w:bottom w:val="single" w:sz="18" w:space="0" w:color="auto"/>
            </w:tcBorders>
            <w:vAlign w:val="bottom"/>
            <w:hideMark/>
          </w:tcPr>
          <w:p w:rsidR="00BE357C" w:rsidRPr="003E335B" w:rsidRDefault="00BE357C"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July 2, 2011</w:t>
            </w:r>
          </w:p>
        </w:tc>
        <w:tc>
          <w:tcPr>
            <w:tcW w:w="1890" w:type="dxa"/>
            <w:tcBorders>
              <w:top w:val="single" w:sz="18" w:space="0" w:color="auto"/>
              <w:bottom w:val="single" w:sz="18" w:space="0" w:color="auto"/>
            </w:tcBorders>
            <w:vAlign w:val="bottom"/>
            <w:hideMark/>
          </w:tcPr>
          <w:p w:rsidR="00BE357C" w:rsidRPr="003E335B" w:rsidRDefault="00BE357C"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June 26, 2010</w:t>
            </w:r>
          </w:p>
        </w:tc>
      </w:tr>
      <w:tr w:rsidR="00BE357C" w:rsidRPr="003E335B" w:rsidTr="00D415D2">
        <w:tc>
          <w:tcPr>
            <w:tcW w:w="6228" w:type="dxa"/>
            <w:tcBorders>
              <w:top w:val="single" w:sz="18" w:space="0" w:color="auto"/>
            </w:tcBorders>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Research and development funding</w:t>
            </w:r>
          </w:p>
        </w:tc>
        <w:tc>
          <w:tcPr>
            <w:tcW w:w="1980" w:type="dxa"/>
            <w:tcBorders>
              <w:top w:val="single" w:sz="18" w:space="0" w:color="auto"/>
            </w:tcBorders>
            <w:vAlign w:val="center"/>
          </w:tcPr>
          <w:p w:rsidR="00BE357C" w:rsidRPr="003E335B" w:rsidRDefault="0056172A" w:rsidP="000D70EC">
            <w:pPr>
              <w:spacing w:after="100" w:line="240" w:lineRule="auto"/>
              <w:jc w:val="right"/>
              <w:rPr>
                <w:rFonts w:asciiTheme="minorHAnsi" w:hAnsiTheme="minorHAnsi" w:cs="Arial"/>
                <w:sz w:val="20"/>
                <w:szCs w:val="20"/>
              </w:rPr>
            </w:pPr>
            <w:r>
              <w:rPr>
                <w:rFonts w:asciiTheme="minorHAnsi" w:hAnsiTheme="minorHAnsi" w:cs="Arial"/>
                <w:sz w:val="20"/>
                <w:szCs w:val="20"/>
              </w:rPr>
              <w:t>6</w:t>
            </w:r>
            <w:r w:rsidR="00E758C1">
              <w:rPr>
                <w:rFonts w:asciiTheme="minorHAnsi" w:hAnsiTheme="minorHAnsi" w:cs="Arial"/>
                <w:sz w:val="20"/>
                <w:szCs w:val="20"/>
              </w:rPr>
              <w:t>3</w:t>
            </w:r>
          </w:p>
        </w:tc>
        <w:tc>
          <w:tcPr>
            <w:tcW w:w="1890" w:type="dxa"/>
            <w:tcBorders>
              <w:top w:val="single" w:sz="18" w:space="0" w:color="auto"/>
            </w:tcBorders>
            <w:vAlign w:val="center"/>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49</w:t>
            </w:r>
          </w:p>
        </w:tc>
      </w:tr>
      <w:tr w:rsidR="00BE357C" w:rsidRPr="003E335B" w:rsidTr="00D415D2">
        <w:tc>
          <w:tcPr>
            <w:tcW w:w="6228" w:type="dxa"/>
            <w:shd w:val="clear" w:color="auto" w:fill="B8CCE4" w:themeFill="accent1" w:themeFillTint="66"/>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Foreign exchange forward contracts</w:t>
            </w:r>
          </w:p>
        </w:tc>
        <w:tc>
          <w:tcPr>
            <w:tcW w:w="1980" w:type="dxa"/>
            <w:shd w:val="clear" w:color="auto" w:fill="B8CCE4" w:themeFill="accent1" w:themeFillTint="66"/>
            <w:vAlign w:val="center"/>
          </w:tcPr>
          <w:p w:rsidR="00BE357C" w:rsidRPr="003E335B" w:rsidRDefault="00E015A3" w:rsidP="000D70EC">
            <w:pPr>
              <w:spacing w:after="100" w:line="240" w:lineRule="auto"/>
              <w:jc w:val="right"/>
              <w:rPr>
                <w:rFonts w:asciiTheme="minorHAnsi" w:hAnsiTheme="minorHAnsi" w:cs="Arial"/>
                <w:sz w:val="20"/>
                <w:szCs w:val="20"/>
              </w:rPr>
            </w:pPr>
            <w:r>
              <w:rPr>
                <w:rFonts w:asciiTheme="minorHAnsi" w:hAnsiTheme="minorHAnsi" w:cs="Arial"/>
                <w:sz w:val="20"/>
                <w:szCs w:val="20"/>
              </w:rPr>
              <w:t>56</w:t>
            </w:r>
          </w:p>
        </w:tc>
        <w:tc>
          <w:tcPr>
            <w:tcW w:w="1890" w:type="dxa"/>
            <w:shd w:val="clear" w:color="auto" w:fill="B8CCE4" w:themeFill="accent1" w:themeFillTint="66"/>
            <w:vAlign w:val="center"/>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r>
      <w:tr w:rsidR="00BE357C" w:rsidRPr="003E335B" w:rsidTr="00D415D2">
        <w:tc>
          <w:tcPr>
            <w:tcW w:w="6228" w:type="dxa"/>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Net foreign exchange gain</w:t>
            </w:r>
          </w:p>
        </w:tc>
        <w:tc>
          <w:tcPr>
            <w:tcW w:w="1980" w:type="dxa"/>
            <w:vAlign w:val="center"/>
          </w:tcPr>
          <w:p w:rsidR="00BE357C" w:rsidRPr="003E335B" w:rsidRDefault="00E758C1" w:rsidP="00E758C1">
            <w:pPr>
              <w:spacing w:after="100" w:line="240" w:lineRule="auto"/>
              <w:jc w:val="right"/>
              <w:rPr>
                <w:rFonts w:asciiTheme="minorHAnsi" w:hAnsiTheme="minorHAnsi" w:cs="Arial"/>
                <w:sz w:val="20"/>
                <w:szCs w:val="20"/>
              </w:rPr>
            </w:pPr>
            <w:r>
              <w:rPr>
                <w:rFonts w:asciiTheme="minorHAnsi" w:hAnsiTheme="minorHAnsi" w:cs="Arial"/>
                <w:sz w:val="20"/>
                <w:szCs w:val="20"/>
              </w:rPr>
              <w:t>5</w:t>
            </w:r>
          </w:p>
        </w:tc>
        <w:tc>
          <w:tcPr>
            <w:tcW w:w="1890" w:type="dxa"/>
            <w:vAlign w:val="center"/>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w:t>
            </w:r>
          </w:p>
        </w:tc>
      </w:tr>
      <w:tr w:rsidR="00BE357C" w:rsidRPr="003E335B" w:rsidTr="00D415D2">
        <w:tc>
          <w:tcPr>
            <w:tcW w:w="6228" w:type="dxa"/>
            <w:shd w:val="clear" w:color="auto" w:fill="B8CCE4" w:themeFill="accent1" w:themeFillTint="66"/>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Gain on sale of non-current assets</w:t>
            </w:r>
          </w:p>
        </w:tc>
        <w:tc>
          <w:tcPr>
            <w:tcW w:w="1980" w:type="dxa"/>
            <w:shd w:val="clear" w:color="auto" w:fill="B8CCE4" w:themeFill="accent1" w:themeFillTint="66"/>
            <w:vAlign w:val="center"/>
          </w:tcPr>
          <w:p w:rsidR="00BE357C" w:rsidRPr="003E335B" w:rsidRDefault="0056172A" w:rsidP="000D70EC">
            <w:pPr>
              <w:spacing w:after="100" w:line="240" w:lineRule="auto"/>
              <w:jc w:val="right"/>
              <w:rPr>
                <w:rFonts w:asciiTheme="minorHAnsi" w:hAnsiTheme="minorHAnsi" w:cs="Arial"/>
                <w:sz w:val="20"/>
                <w:szCs w:val="20"/>
              </w:rPr>
            </w:pPr>
            <w:r>
              <w:rPr>
                <w:rFonts w:asciiTheme="minorHAnsi" w:hAnsiTheme="minorHAnsi" w:cs="Arial"/>
                <w:sz w:val="20"/>
                <w:szCs w:val="20"/>
              </w:rPr>
              <w:t>14</w:t>
            </w:r>
          </w:p>
        </w:tc>
        <w:tc>
          <w:tcPr>
            <w:tcW w:w="1890" w:type="dxa"/>
            <w:shd w:val="clear" w:color="auto" w:fill="B8CCE4" w:themeFill="accent1" w:themeFillTint="66"/>
            <w:vAlign w:val="center"/>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w:t>
            </w:r>
          </w:p>
        </w:tc>
      </w:tr>
      <w:tr w:rsidR="00BE357C" w:rsidRPr="003E335B" w:rsidTr="00D415D2">
        <w:tc>
          <w:tcPr>
            <w:tcW w:w="6228" w:type="dxa"/>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Other</w:t>
            </w:r>
          </w:p>
        </w:tc>
        <w:tc>
          <w:tcPr>
            <w:tcW w:w="1980" w:type="dxa"/>
            <w:tcBorders>
              <w:bottom w:val="single" w:sz="18" w:space="0" w:color="auto"/>
            </w:tcBorders>
            <w:vAlign w:val="center"/>
          </w:tcPr>
          <w:p w:rsidR="00BE357C" w:rsidRPr="003E335B" w:rsidRDefault="0056172A"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890" w:type="dxa"/>
            <w:tcBorders>
              <w:bottom w:val="single" w:sz="18" w:space="0" w:color="auto"/>
            </w:tcBorders>
            <w:vAlign w:val="center"/>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w:t>
            </w:r>
          </w:p>
        </w:tc>
      </w:tr>
      <w:tr w:rsidR="00BE357C" w:rsidRPr="003E335B" w:rsidTr="00D415D2">
        <w:tc>
          <w:tcPr>
            <w:tcW w:w="6228" w:type="dxa"/>
            <w:tcBorders>
              <w:bottom w:val="single" w:sz="18" w:space="0" w:color="auto"/>
            </w:tcBorders>
            <w:shd w:val="clear" w:color="auto" w:fill="B8CCE4" w:themeFill="accent1" w:themeFillTint="66"/>
            <w:hideMark/>
          </w:tcPr>
          <w:p w:rsidR="00BE357C" w:rsidRPr="003E335B" w:rsidRDefault="00BE357C"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Total other income</w:t>
            </w:r>
          </w:p>
        </w:tc>
        <w:tc>
          <w:tcPr>
            <w:tcW w:w="1980" w:type="dxa"/>
            <w:tcBorders>
              <w:top w:val="single" w:sz="18" w:space="0" w:color="auto"/>
              <w:bottom w:val="single" w:sz="18" w:space="0" w:color="auto"/>
            </w:tcBorders>
            <w:shd w:val="clear" w:color="auto" w:fill="B8CCE4" w:themeFill="accent1" w:themeFillTint="66"/>
            <w:vAlign w:val="center"/>
          </w:tcPr>
          <w:p w:rsidR="00BE357C" w:rsidRPr="003E335B" w:rsidRDefault="0056172A"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1</w:t>
            </w:r>
            <w:r w:rsidR="00E015A3">
              <w:rPr>
                <w:rFonts w:asciiTheme="minorHAnsi" w:hAnsiTheme="minorHAnsi" w:cs="Arial"/>
                <w:b/>
                <w:sz w:val="20"/>
                <w:szCs w:val="20"/>
              </w:rPr>
              <w:t>38</w:t>
            </w:r>
          </w:p>
        </w:tc>
        <w:tc>
          <w:tcPr>
            <w:tcW w:w="1890" w:type="dxa"/>
            <w:tcBorders>
              <w:top w:val="single" w:sz="18" w:space="0" w:color="auto"/>
              <w:bottom w:val="single" w:sz="18" w:space="0" w:color="auto"/>
            </w:tcBorders>
            <w:shd w:val="clear" w:color="auto" w:fill="B8CCE4" w:themeFill="accent1" w:themeFillTint="66"/>
            <w:vAlign w:val="center"/>
          </w:tcPr>
          <w:p w:rsidR="00BE357C" w:rsidRPr="003E335B" w:rsidRDefault="00BE357C"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55</w:t>
            </w:r>
          </w:p>
        </w:tc>
      </w:tr>
    </w:tbl>
    <w:p w:rsidR="00847BCE" w:rsidRPr="003E335B" w:rsidRDefault="00847BCE" w:rsidP="000D70EC">
      <w:pPr>
        <w:spacing w:after="100" w:line="240" w:lineRule="auto"/>
        <w:rPr>
          <w:rFonts w:asciiTheme="minorHAnsi" w:hAnsiTheme="minorHAnsi" w:cs="Arial"/>
          <w:sz w:val="20"/>
          <w:szCs w:val="20"/>
        </w:rPr>
      </w:pPr>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Other expenses consisted of the following:</w:t>
      </w:r>
    </w:p>
    <w:tbl>
      <w:tblPr>
        <w:tblW w:w="10098" w:type="dxa"/>
        <w:tblLook w:val="04A0"/>
      </w:tblPr>
      <w:tblGrid>
        <w:gridCol w:w="6228"/>
        <w:gridCol w:w="2070"/>
        <w:gridCol w:w="1800"/>
      </w:tblGrid>
      <w:tr w:rsidR="00847BCE" w:rsidRPr="003E335B" w:rsidTr="00D415D2">
        <w:tc>
          <w:tcPr>
            <w:tcW w:w="6228" w:type="dxa"/>
            <w:hideMark/>
          </w:tcPr>
          <w:p w:rsidR="00847BCE" w:rsidRPr="003E335B" w:rsidRDefault="00847BCE" w:rsidP="000D70EC">
            <w:pPr>
              <w:spacing w:after="100" w:line="240" w:lineRule="auto"/>
              <w:rPr>
                <w:rFonts w:asciiTheme="minorHAnsi" w:hAnsiTheme="minorHAnsi" w:cs="Arial"/>
                <w:sz w:val="20"/>
                <w:szCs w:val="20"/>
              </w:rPr>
            </w:pPr>
          </w:p>
        </w:tc>
        <w:tc>
          <w:tcPr>
            <w:tcW w:w="3870" w:type="dxa"/>
            <w:gridSpan w:val="2"/>
            <w:tcBorders>
              <w:bottom w:val="single" w:sz="18" w:space="0" w:color="auto"/>
            </w:tcBorders>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(unaudited)</w:t>
            </w:r>
          </w:p>
        </w:tc>
      </w:tr>
      <w:tr w:rsidR="00BE357C" w:rsidRPr="003E335B" w:rsidTr="00D415D2">
        <w:tc>
          <w:tcPr>
            <w:tcW w:w="6228" w:type="dxa"/>
            <w:tcBorders>
              <w:bottom w:val="single" w:sz="18" w:space="0" w:color="auto"/>
            </w:tcBorders>
            <w:vAlign w:val="bottom"/>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2070" w:type="dxa"/>
            <w:tcBorders>
              <w:top w:val="single" w:sz="18" w:space="0" w:color="auto"/>
              <w:bottom w:val="single" w:sz="18" w:space="0" w:color="auto"/>
            </w:tcBorders>
            <w:vAlign w:val="bottom"/>
            <w:hideMark/>
          </w:tcPr>
          <w:p w:rsidR="00BE357C" w:rsidRPr="003E335B" w:rsidRDefault="00BE357C"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July 2, 2011</w:t>
            </w:r>
          </w:p>
        </w:tc>
        <w:tc>
          <w:tcPr>
            <w:tcW w:w="1800" w:type="dxa"/>
            <w:tcBorders>
              <w:top w:val="single" w:sz="18" w:space="0" w:color="auto"/>
              <w:bottom w:val="single" w:sz="18" w:space="0" w:color="auto"/>
            </w:tcBorders>
            <w:vAlign w:val="bottom"/>
            <w:hideMark/>
          </w:tcPr>
          <w:p w:rsidR="00BE357C" w:rsidRPr="003E335B" w:rsidRDefault="00BE357C"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June 26, 2010</w:t>
            </w:r>
          </w:p>
        </w:tc>
      </w:tr>
      <w:tr w:rsidR="00BE357C" w:rsidRPr="003E335B" w:rsidTr="00D415D2">
        <w:tc>
          <w:tcPr>
            <w:tcW w:w="6228" w:type="dxa"/>
            <w:tcBorders>
              <w:top w:val="single" w:sz="18" w:space="0" w:color="auto"/>
            </w:tcBorders>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Start-up / Phase out costs</w:t>
            </w:r>
          </w:p>
        </w:tc>
        <w:tc>
          <w:tcPr>
            <w:tcW w:w="2070" w:type="dxa"/>
            <w:tcBorders>
              <w:top w:val="single" w:sz="18" w:space="0" w:color="auto"/>
            </w:tcBorders>
            <w:vAlign w:val="center"/>
          </w:tcPr>
          <w:p w:rsidR="00BE357C" w:rsidRPr="003E335B" w:rsidRDefault="0056172A" w:rsidP="000D70EC">
            <w:pPr>
              <w:spacing w:after="100" w:line="240" w:lineRule="auto"/>
              <w:jc w:val="right"/>
              <w:rPr>
                <w:rFonts w:asciiTheme="minorHAnsi" w:hAnsiTheme="minorHAnsi" w:cs="Arial"/>
                <w:sz w:val="20"/>
                <w:szCs w:val="20"/>
              </w:rPr>
            </w:pPr>
            <w:r>
              <w:rPr>
                <w:rFonts w:asciiTheme="minorHAnsi" w:hAnsiTheme="minorHAnsi" w:cs="Arial"/>
                <w:sz w:val="20"/>
                <w:szCs w:val="20"/>
              </w:rPr>
              <w:t>8</w:t>
            </w:r>
          </w:p>
        </w:tc>
        <w:tc>
          <w:tcPr>
            <w:tcW w:w="1800" w:type="dxa"/>
            <w:tcBorders>
              <w:top w:val="single" w:sz="18" w:space="0" w:color="auto"/>
            </w:tcBorders>
            <w:vAlign w:val="center"/>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5</w:t>
            </w:r>
          </w:p>
        </w:tc>
      </w:tr>
      <w:tr w:rsidR="00BE357C" w:rsidRPr="003E335B" w:rsidTr="00D415D2">
        <w:tc>
          <w:tcPr>
            <w:tcW w:w="6228" w:type="dxa"/>
            <w:shd w:val="clear" w:color="auto" w:fill="B8CCE4" w:themeFill="accent1" w:themeFillTint="66"/>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Patent litigation costs</w:t>
            </w:r>
          </w:p>
        </w:tc>
        <w:tc>
          <w:tcPr>
            <w:tcW w:w="2070" w:type="dxa"/>
            <w:shd w:val="clear" w:color="auto" w:fill="B8CCE4" w:themeFill="accent1" w:themeFillTint="66"/>
            <w:vAlign w:val="center"/>
          </w:tcPr>
          <w:p w:rsidR="00BE357C" w:rsidRPr="003E335B" w:rsidRDefault="0056172A" w:rsidP="000D70EC">
            <w:pPr>
              <w:spacing w:after="100" w:line="240" w:lineRule="auto"/>
              <w:jc w:val="right"/>
              <w:rPr>
                <w:rFonts w:asciiTheme="minorHAnsi" w:hAnsiTheme="minorHAnsi" w:cs="Arial"/>
                <w:sz w:val="20"/>
                <w:szCs w:val="20"/>
              </w:rPr>
            </w:pPr>
            <w:r>
              <w:rPr>
                <w:rFonts w:asciiTheme="minorHAnsi" w:hAnsiTheme="minorHAnsi" w:cs="Arial"/>
                <w:sz w:val="20"/>
                <w:szCs w:val="20"/>
              </w:rPr>
              <w:t>13</w:t>
            </w:r>
          </w:p>
        </w:tc>
        <w:tc>
          <w:tcPr>
            <w:tcW w:w="1800" w:type="dxa"/>
            <w:shd w:val="clear" w:color="auto" w:fill="B8CCE4" w:themeFill="accent1" w:themeFillTint="66"/>
            <w:vAlign w:val="center"/>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5</w:t>
            </w:r>
          </w:p>
        </w:tc>
      </w:tr>
      <w:tr w:rsidR="00BE357C" w:rsidRPr="003E335B" w:rsidTr="00D415D2">
        <w:tc>
          <w:tcPr>
            <w:tcW w:w="6228" w:type="dxa"/>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Foreign exchange forward contracts</w:t>
            </w:r>
          </w:p>
        </w:tc>
        <w:tc>
          <w:tcPr>
            <w:tcW w:w="2070" w:type="dxa"/>
            <w:vAlign w:val="center"/>
          </w:tcPr>
          <w:p w:rsidR="00BE357C" w:rsidRPr="003E335B" w:rsidRDefault="0056172A"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800" w:type="dxa"/>
            <w:vAlign w:val="center"/>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90</w:t>
            </w:r>
          </w:p>
        </w:tc>
      </w:tr>
      <w:tr w:rsidR="00BE357C" w:rsidRPr="003E335B" w:rsidTr="00D415D2">
        <w:tc>
          <w:tcPr>
            <w:tcW w:w="6228" w:type="dxa"/>
            <w:shd w:val="clear" w:color="auto" w:fill="B8CCE4" w:themeFill="accent1" w:themeFillTint="66"/>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Other expenses</w:t>
            </w:r>
          </w:p>
        </w:tc>
        <w:tc>
          <w:tcPr>
            <w:tcW w:w="2070" w:type="dxa"/>
            <w:tcBorders>
              <w:bottom w:val="single" w:sz="18" w:space="0" w:color="auto"/>
            </w:tcBorders>
            <w:shd w:val="clear" w:color="auto" w:fill="B8CCE4" w:themeFill="accent1" w:themeFillTint="66"/>
            <w:vAlign w:val="center"/>
          </w:tcPr>
          <w:p w:rsidR="0056172A" w:rsidRPr="003E335B" w:rsidRDefault="0056172A" w:rsidP="000D70EC">
            <w:pPr>
              <w:spacing w:after="100" w:line="240" w:lineRule="auto"/>
              <w:jc w:val="right"/>
              <w:rPr>
                <w:rFonts w:asciiTheme="minorHAnsi" w:hAnsiTheme="minorHAnsi" w:cs="Arial"/>
                <w:sz w:val="20"/>
                <w:szCs w:val="20"/>
              </w:rPr>
            </w:pPr>
            <w:r>
              <w:rPr>
                <w:rFonts w:asciiTheme="minorHAnsi" w:hAnsiTheme="minorHAnsi" w:cs="Arial"/>
                <w:sz w:val="20"/>
                <w:szCs w:val="20"/>
              </w:rPr>
              <w:t>3</w:t>
            </w:r>
          </w:p>
        </w:tc>
        <w:tc>
          <w:tcPr>
            <w:tcW w:w="1800" w:type="dxa"/>
            <w:tcBorders>
              <w:bottom w:val="single" w:sz="18" w:space="0" w:color="auto"/>
            </w:tcBorders>
            <w:shd w:val="clear" w:color="auto" w:fill="B8CCE4" w:themeFill="accent1" w:themeFillTint="66"/>
            <w:vAlign w:val="center"/>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w:t>
            </w:r>
          </w:p>
        </w:tc>
      </w:tr>
      <w:tr w:rsidR="00BE357C" w:rsidRPr="003E335B" w:rsidTr="00D415D2">
        <w:tc>
          <w:tcPr>
            <w:tcW w:w="6228" w:type="dxa"/>
            <w:tcBorders>
              <w:bottom w:val="single" w:sz="18" w:space="0" w:color="auto"/>
            </w:tcBorders>
            <w:shd w:val="clear" w:color="auto" w:fill="auto"/>
            <w:hideMark/>
          </w:tcPr>
          <w:p w:rsidR="00BE357C" w:rsidRPr="003E335B" w:rsidRDefault="00BE357C"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Total other expenses</w:t>
            </w:r>
          </w:p>
        </w:tc>
        <w:tc>
          <w:tcPr>
            <w:tcW w:w="2070" w:type="dxa"/>
            <w:tcBorders>
              <w:top w:val="single" w:sz="18" w:space="0" w:color="auto"/>
              <w:bottom w:val="single" w:sz="18" w:space="0" w:color="auto"/>
            </w:tcBorders>
            <w:shd w:val="clear" w:color="auto" w:fill="auto"/>
            <w:vAlign w:val="center"/>
          </w:tcPr>
          <w:p w:rsidR="00BE357C" w:rsidRPr="003E335B" w:rsidRDefault="0056172A"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24</w:t>
            </w:r>
          </w:p>
        </w:tc>
        <w:tc>
          <w:tcPr>
            <w:tcW w:w="1800" w:type="dxa"/>
            <w:tcBorders>
              <w:top w:val="single" w:sz="18" w:space="0" w:color="auto"/>
              <w:bottom w:val="single" w:sz="18" w:space="0" w:color="auto"/>
            </w:tcBorders>
            <w:shd w:val="clear" w:color="auto" w:fill="auto"/>
            <w:vAlign w:val="center"/>
          </w:tcPr>
          <w:p w:rsidR="00BE357C" w:rsidRPr="003E335B" w:rsidRDefault="00BE357C"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102</w:t>
            </w:r>
          </w:p>
        </w:tc>
      </w:tr>
    </w:tbl>
    <w:p w:rsidR="00847BCE" w:rsidRPr="003E335B" w:rsidRDefault="00847BCE" w:rsidP="000D70EC">
      <w:pPr>
        <w:spacing w:after="100" w:line="240" w:lineRule="auto"/>
        <w:rPr>
          <w:rFonts w:asciiTheme="minorHAnsi" w:hAnsiTheme="minorHAnsi" w:cs="Arial"/>
          <w:sz w:val="20"/>
          <w:szCs w:val="20"/>
        </w:rPr>
      </w:pPr>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 xml:space="preserve">The Group receives significant public funding from governmental agencies in several jurisdictions. Public funding for research and development is recognized ratably as the related costs are incurred once the agreement with the respective governmental agency has been signed and all applicable conditions have been met. </w:t>
      </w:r>
      <w:r w:rsidR="00E758C1">
        <w:rPr>
          <w:rFonts w:asciiTheme="minorHAnsi" w:hAnsiTheme="minorHAnsi" w:cs="Arial"/>
          <w:sz w:val="20"/>
          <w:szCs w:val="20"/>
        </w:rPr>
        <w:t>In the first half of 2011, R</w:t>
      </w:r>
      <w:r w:rsidR="006D01F5">
        <w:rPr>
          <w:rFonts w:asciiTheme="minorHAnsi" w:hAnsiTheme="minorHAnsi" w:cs="Arial"/>
          <w:sz w:val="20"/>
          <w:szCs w:val="20"/>
        </w:rPr>
        <w:t>esearch and development</w:t>
      </w:r>
      <w:r w:rsidR="00E758C1">
        <w:rPr>
          <w:rFonts w:asciiTheme="minorHAnsi" w:hAnsiTheme="minorHAnsi" w:cs="Arial"/>
          <w:sz w:val="20"/>
          <w:szCs w:val="20"/>
        </w:rPr>
        <w:t xml:space="preserve"> funding of approximately $63 million included a catch-up of grants related to certain 2010 activities for which contracts were signed in 2011.</w:t>
      </w:r>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 xml:space="preserve">Start-up costs represent costs incurred in the start-up and testing of the Group’s new manufacturing facilities, before reaching the earlier of a minimum level of production or six months after the fabrication line’s quality certification. Phase-out costs for facilities during the closing stage are treated in the same manner. </w:t>
      </w:r>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Patent costs include legal and attorney fees and payment for claims, patent pre-litigation consultancy and legal fees, netted against settlements, which primarily includes reimbursements of prior patent litigation costs.</w:t>
      </w:r>
      <w:bookmarkStart w:id="254" w:name="_Toc258421361"/>
      <w:bookmarkStart w:id="255" w:name="_Toc257899001"/>
    </w:p>
    <w:p w:rsidR="00794899" w:rsidRPr="003E335B" w:rsidRDefault="00794899" w:rsidP="000D70EC">
      <w:pPr>
        <w:spacing w:after="100" w:line="240" w:lineRule="auto"/>
        <w:rPr>
          <w:rFonts w:asciiTheme="minorHAnsi" w:eastAsia="Times New Roman" w:hAnsiTheme="minorHAnsi" w:cs="Arial"/>
          <w:b/>
          <w:smallCaps/>
          <w:color w:val="009CDD"/>
          <w:spacing w:val="5"/>
          <w:sz w:val="20"/>
          <w:szCs w:val="20"/>
          <w:lang w:bidi="en-US"/>
        </w:rPr>
      </w:pPr>
      <w:bookmarkStart w:id="256" w:name="_Toc265058943"/>
      <w:bookmarkStart w:id="257" w:name="_Toc266868925"/>
      <w:bookmarkStart w:id="258" w:name="_Toc266869141"/>
      <w:bookmarkStart w:id="259" w:name="_Toc266885176"/>
      <w:bookmarkStart w:id="260" w:name="_Toc266886362"/>
    </w:p>
    <w:p w:rsidR="004C201E" w:rsidRDefault="004C201E">
      <w:pPr>
        <w:spacing w:after="100" w:line="240" w:lineRule="auto"/>
        <w:rPr>
          <w:rFonts w:asciiTheme="minorHAnsi" w:eastAsia="Times New Roman" w:hAnsiTheme="minorHAnsi" w:cs="Arial"/>
          <w:b/>
          <w:smallCaps/>
          <w:color w:val="009CDD"/>
          <w:spacing w:val="5"/>
          <w:sz w:val="20"/>
          <w:szCs w:val="20"/>
          <w:lang w:bidi="en-US"/>
        </w:rPr>
      </w:pPr>
      <w:bookmarkStart w:id="261" w:name="_Toc269825406"/>
      <w:bookmarkStart w:id="262" w:name="_Toc297204188"/>
      <w:r>
        <w:rPr>
          <w:rFonts w:asciiTheme="minorHAnsi" w:hAnsiTheme="minorHAnsi"/>
          <w:sz w:val="20"/>
          <w:szCs w:val="20"/>
        </w:rPr>
        <w:br w:type="page"/>
      </w:r>
    </w:p>
    <w:p w:rsidR="008C5DB1" w:rsidRDefault="008C5DB1" w:rsidP="000D70EC">
      <w:pPr>
        <w:pStyle w:val="Title3"/>
        <w:spacing w:after="100" w:line="240" w:lineRule="auto"/>
        <w:rPr>
          <w:rFonts w:asciiTheme="minorHAnsi" w:hAnsiTheme="minorHAnsi"/>
          <w:sz w:val="20"/>
          <w:szCs w:val="20"/>
        </w:rPr>
      </w:pPr>
      <w:bookmarkStart w:id="263" w:name="_Toc300834249"/>
      <w:r>
        <w:rPr>
          <w:rFonts w:asciiTheme="minorHAnsi" w:hAnsiTheme="minorHAnsi"/>
          <w:sz w:val="20"/>
          <w:szCs w:val="20"/>
        </w:rPr>
        <w:lastRenderedPageBreak/>
        <w:t>Income taxes</w:t>
      </w:r>
      <w:bookmarkEnd w:id="263"/>
    </w:p>
    <w:p w:rsidR="008733F0" w:rsidRDefault="008C5DB1">
      <w:pPr>
        <w:jc w:val="both"/>
      </w:pPr>
      <w:r w:rsidRPr="008C5DB1">
        <w:rPr>
          <w:rFonts w:asciiTheme="minorHAnsi" w:hAnsiTheme="minorHAnsi" w:cs="Arial"/>
          <w:sz w:val="20"/>
          <w:szCs w:val="20"/>
        </w:rPr>
        <w:t xml:space="preserve">Income tax expense is recognized based on management’s estimate of the weighted average annual income tax rate expected for the full financial year. </w:t>
      </w:r>
      <w:r w:rsidR="00055A05" w:rsidRPr="00055A05">
        <w:rPr>
          <w:rFonts w:asciiTheme="minorHAnsi" w:hAnsiTheme="minorHAnsi" w:cs="Arial"/>
          <w:sz w:val="20"/>
          <w:szCs w:val="20"/>
        </w:rPr>
        <w:t>This resulted in an approximately 22% tax rate which is the combination of (i) a favorable tax rate on the $323 million gain on financial assets, (ii) income tax expense estimated at about 16% rate on the ST entities income, and (iii) an income tax benefit computed with a much lower tax rate applicable to the losses on the ST-Ericsson entities.</w:t>
      </w:r>
    </w:p>
    <w:p w:rsidR="00847BCE" w:rsidRPr="003E335B" w:rsidRDefault="00847BCE" w:rsidP="000D70EC">
      <w:pPr>
        <w:pStyle w:val="Title3"/>
        <w:spacing w:after="100" w:line="240" w:lineRule="auto"/>
        <w:rPr>
          <w:rFonts w:asciiTheme="minorHAnsi" w:hAnsiTheme="minorHAnsi"/>
          <w:sz w:val="20"/>
          <w:szCs w:val="20"/>
        </w:rPr>
      </w:pPr>
      <w:bookmarkStart w:id="264" w:name="_Toc300834250"/>
      <w:r w:rsidRPr="003E335B">
        <w:rPr>
          <w:rFonts w:asciiTheme="minorHAnsi" w:hAnsiTheme="minorHAnsi"/>
          <w:sz w:val="20"/>
          <w:szCs w:val="20"/>
        </w:rPr>
        <w:t>Earnings per share</w:t>
      </w:r>
      <w:bookmarkEnd w:id="254"/>
      <w:bookmarkEnd w:id="255"/>
      <w:bookmarkEnd w:id="256"/>
      <w:bookmarkEnd w:id="257"/>
      <w:bookmarkEnd w:id="258"/>
      <w:bookmarkEnd w:id="259"/>
      <w:bookmarkEnd w:id="260"/>
      <w:bookmarkEnd w:id="261"/>
      <w:bookmarkEnd w:id="262"/>
      <w:bookmarkEnd w:id="264"/>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 xml:space="preserve">For the period ended </w:t>
      </w:r>
      <w:r w:rsidR="00986E49" w:rsidRPr="003E335B">
        <w:rPr>
          <w:rFonts w:asciiTheme="minorHAnsi" w:hAnsiTheme="minorHAnsi" w:cs="Arial"/>
          <w:sz w:val="20"/>
          <w:szCs w:val="20"/>
        </w:rPr>
        <w:t>Ju</w:t>
      </w:r>
      <w:r w:rsidR="007E6F93" w:rsidRPr="003E335B">
        <w:rPr>
          <w:rFonts w:asciiTheme="minorHAnsi" w:hAnsiTheme="minorHAnsi" w:cs="Arial"/>
          <w:sz w:val="20"/>
          <w:szCs w:val="20"/>
        </w:rPr>
        <w:t>ly 2</w:t>
      </w:r>
      <w:r w:rsidR="000C373F" w:rsidRPr="003E335B">
        <w:rPr>
          <w:rFonts w:asciiTheme="minorHAnsi" w:hAnsiTheme="minorHAnsi" w:cs="Arial"/>
          <w:sz w:val="20"/>
          <w:szCs w:val="20"/>
        </w:rPr>
        <w:t>, 201</w:t>
      </w:r>
      <w:r w:rsidR="007E6F93" w:rsidRPr="003E335B">
        <w:rPr>
          <w:rFonts w:asciiTheme="minorHAnsi" w:hAnsiTheme="minorHAnsi" w:cs="Arial"/>
          <w:sz w:val="20"/>
          <w:szCs w:val="20"/>
        </w:rPr>
        <w:t>1</w:t>
      </w:r>
      <w:r w:rsidR="000C373F" w:rsidRPr="003E335B">
        <w:rPr>
          <w:rFonts w:asciiTheme="minorHAnsi" w:hAnsiTheme="minorHAnsi" w:cs="Arial"/>
          <w:sz w:val="20"/>
          <w:szCs w:val="20"/>
        </w:rPr>
        <w:t xml:space="preserve"> and June 2</w:t>
      </w:r>
      <w:r w:rsidR="007E6F93" w:rsidRPr="003E335B">
        <w:rPr>
          <w:rFonts w:asciiTheme="minorHAnsi" w:hAnsiTheme="minorHAnsi" w:cs="Arial"/>
          <w:sz w:val="20"/>
          <w:szCs w:val="20"/>
        </w:rPr>
        <w:t>6</w:t>
      </w:r>
      <w:r w:rsidR="000C373F" w:rsidRPr="003E335B">
        <w:rPr>
          <w:rFonts w:asciiTheme="minorHAnsi" w:hAnsiTheme="minorHAnsi" w:cs="Arial"/>
          <w:sz w:val="20"/>
          <w:szCs w:val="20"/>
        </w:rPr>
        <w:t>, 20</w:t>
      </w:r>
      <w:r w:rsidR="007E6F93" w:rsidRPr="003E335B">
        <w:rPr>
          <w:rFonts w:asciiTheme="minorHAnsi" w:hAnsiTheme="minorHAnsi" w:cs="Arial"/>
          <w:sz w:val="20"/>
          <w:szCs w:val="20"/>
        </w:rPr>
        <w:t>10</w:t>
      </w:r>
      <w:r w:rsidRPr="003E335B">
        <w:rPr>
          <w:rFonts w:asciiTheme="minorHAnsi" w:hAnsiTheme="minorHAnsi" w:cs="Arial"/>
          <w:sz w:val="20"/>
          <w:szCs w:val="20"/>
        </w:rPr>
        <w:t>, earnings per share (“EPS”) were calculated as follows:</w:t>
      </w:r>
    </w:p>
    <w:tbl>
      <w:tblPr>
        <w:tblpPr w:leftFromText="180" w:rightFromText="180" w:vertAnchor="text" w:tblpY="1"/>
        <w:tblOverlap w:val="never"/>
        <w:tblW w:w="10098" w:type="dxa"/>
        <w:tblLook w:val="04A0"/>
      </w:tblPr>
      <w:tblGrid>
        <w:gridCol w:w="6228"/>
        <w:gridCol w:w="1935"/>
        <w:gridCol w:w="1935"/>
      </w:tblGrid>
      <w:tr w:rsidR="00847BCE" w:rsidRPr="003E335B" w:rsidTr="008F29E8">
        <w:tc>
          <w:tcPr>
            <w:tcW w:w="6228" w:type="dxa"/>
            <w:vMerge w:val="restart"/>
            <w:vAlign w:val="bottom"/>
            <w:hideMark/>
          </w:tcPr>
          <w:p w:rsidR="00847BCE" w:rsidRPr="003E335B" w:rsidRDefault="00847BCE"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3870" w:type="dxa"/>
            <w:gridSpan w:val="2"/>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(unaudited)</w:t>
            </w:r>
          </w:p>
        </w:tc>
      </w:tr>
      <w:tr w:rsidR="00BE357C" w:rsidRPr="003E335B" w:rsidTr="008F29E8">
        <w:tc>
          <w:tcPr>
            <w:tcW w:w="6228" w:type="dxa"/>
            <w:vMerge/>
            <w:tcBorders>
              <w:bottom w:val="single" w:sz="18" w:space="0" w:color="auto"/>
            </w:tcBorders>
            <w:vAlign w:val="bottom"/>
            <w:hideMark/>
          </w:tcPr>
          <w:p w:rsidR="00BE357C" w:rsidRPr="003E335B" w:rsidRDefault="00BE357C" w:rsidP="000D70EC">
            <w:pPr>
              <w:spacing w:after="100" w:line="240" w:lineRule="auto"/>
              <w:jc w:val="center"/>
              <w:rPr>
                <w:rFonts w:asciiTheme="minorHAnsi" w:hAnsiTheme="minorHAnsi" w:cs="Arial"/>
                <w:sz w:val="20"/>
                <w:szCs w:val="20"/>
              </w:rPr>
            </w:pPr>
          </w:p>
        </w:tc>
        <w:tc>
          <w:tcPr>
            <w:tcW w:w="1935" w:type="dxa"/>
            <w:tcBorders>
              <w:top w:val="single" w:sz="18" w:space="0" w:color="auto"/>
              <w:bottom w:val="single" w:sz="18" w:space="0" w:color="auto"/>
            </w:tcBorders>
            <w:vAlign w:val="bottom"/>
            <w:hideMark/>
          </w:tcPr>
          <w:p w:rsidR="00BE357C" w:rsidRPr="003E335B" w:rsidRDefault="00BE357C"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July 2, 2011</w:t>
            </w:r>
          </w:p>
        </w:tc>
        <w:tc>
          <w:tcPr>
            <w:tcW w:w="1935" w:type="dxa"/>
            <w:tcBorders>
              <w:top w:val="single" w:sz="18" w:space="0" w:color="auto"/>
              <w:bottom w:val="single" w:sz="18" w:space="0" w:color="auto"/>
            </w:tcBorders>
            <w:vAlign w:val="bottom"/>
            <w:hideMark/>
          </w:tcPr>
          <w:p w:rsidR="00BE357C" w:rsidRPr="003E335B" w:rsidRDefault="00BE357C"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June 26, 2010</w:t>
            </w:r>
          </w:p>
        </w:tc>
      </w:tr>
      <w:tr w:rsidR="00847BCE" w:rsidRPr="003E335B" w:rsidTr="008F29E8">
        <w:tc>
          <w:tcPr>
            <w:tcW w:w="6228" w:type="dxa"/>
            <w:tcBorders>
              <w:top w:val="single" w:sz="18" w:space="0" w:color="auto"/>
            </w:tcBorders>
            <w:hideMark/>
          </w:tcPr>
          <w:p w:rsidR="00847BCE" w:rsidRPr="003E335B" w:rsidRDefault="00847BCE" w:rsidP="000D70EC">
            <w:pPr>
              <w:spacing w:after="100" w:line="240" w:lineRule="auto"/>
              <w:rPr>
                <w:rFonts w:asciiTheme="minorHAnsi" w:hAnsiTheme="minorHAnsi" w:cs="Arial"/>
                <w:b/>
                <w:sz w:val="20"/>
                <w:szCs w:val="20"/>
              </w:rPr>
            </w:pPr>
            <w:bookmarkStart w:id="265" w:name="_Hlk257303445"/>
            <w:r w:rsidRPr="003E335B">
              <w:rPr>
                <w:rFonts w:asciiTheme="minorHAnsi" w:hAnsiTheme="minorHAnsi" w:cs="Arial"/>
                <w:b/>
                <w:sz w:val="20"/>
                <w:szCs w:val="20"/>
              </w:rPr>
              <w:t>Basic EPS</w:t>
            </w:r>
          </w:p>
        </w:tc>
        <w:tc>
          <w:tcPr>
            <w:tcW w:w="1935" w:type="dxa"/>
            <w:tcBorders>
              <w:top w:val="single" w:sz="18" w:space="0" w:color="auto"/>
            </w:tcBorders>
            <w:vAlign w:val="center"/>
          </w:tcPr>
          <w:p w:rsidR="00847BCE" w:rsidRPr="003E335B" w:rsidRDefault="00847BCE" w:rsidP="000D70EC">
            <w:pPr>
              <w:spacing w:after="100" w:line="240" w:lineRule="auto"/>
              <w:jc w:val="right"/>
              <w:rPr>
                <w:rFonts w:asciiTheme="minorHAnsi" w:hAnsiTheme="minorHAnsi" w:cs="Arial"/>
                <w:b/>
                <w:sz w:val="20"/>
                <w:szCs w:val="20"/>
              </w:rPr>
            </w:pPr>
          </w:p>
        </w:tc>
        <w:tc>
          <w:tcPr>
            <w:tcW w:w="1935" w:type="dxa"/>
            <w:tcBorders>
              <w:top w:val="single" w:sz="18" w:space="0" w:color="auto"/>
            </w:tcBorders>
            <w:vAlign w:val="center"/>
          </w:tcPr>
          <w:p w:rsidR="00847BCE" w:rsidRPr="003E335B" w:rsidRDefault="00847BCE" w:rsidP="000D70EC">
            <w:pPr>
              <w:spacing w:after="100" w:line="240" w:lineRule="auto"/>
              <w:jc w:val="right"/>
              <w:rPr>
                <w:rFonts w:asciiTheme="minorHAnsi" w:hAnsiTheme="minorHAnsi" w:cs="Arial"/>
                <w:b/>
                <w:sz w:val="20"/>
                <w:szCs w:val="20"/>
              </w:rPr>
            </w:pPr>
          </w:p>
        </w:tc>
      </w:tr>
      <w:tr w:rsidR="00BE357C" w:rsidRPr="003E335B" w:rsidTr="008F29E8">
        <w:tc>
          <w:tcPr>
            <w:tcW w:w="6228" w:type="dxa"/>
            <w:shd w:val="clear" w:color="auto" w:fill="B8CCE4" w:themeFill="accent1" w:themeFillTint="66"/>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 xml:space="preserve">Net result </w:t>
            </w:r>
          </w:p>
        </w:tc>
        <w:tc>
          <w:tcPr>
            <w:tcW w:w="1935" w:type="dxa"/>
            <w:shd w:val="clear" w:color="auto" w:fill="B8CCE4" w:themeFill="accent1" w:themeFillTint="66"/>
            <w:vAlign w:val="center"/>
          </w:tcPr>
          <w:p w:rsidR="00BE357C" w:rsidRPr="003E335B" w:rsidRDefault="0025257A" w:rsidP="000D70EC">
            <w:pPr>
              <w:spacing w:after="100" w:line="240" w:lineRule="auto"/>
              <w:jc w:val="right"/>
              <w:rPr>
                <w:rFonts w:asciiTheme="minorHAnsi" w:hAnsiTheme="minorHAnsi" w:cs="Arial"/>
                <w:sz w:val="20"/>
                <w:szCs w:val="20"/>
              </w:rPr>
            </w:pPr>
            <w:r>
              <w:rPr>
                <w:rFonts w:asciiTheme="minorHAnsi" w:hAnsiTheme="minorHAnsi" w:cs="Arial"/>
                <w:sz w:val="20"/>
                <w:szCs w:val="20"/>
              </w:rPr>
              <w:t>6</w:t>
            </w:r>
            <w:r w:rsidR="00E015A3">
              <w:rPr>
                <w:rFonts w:asciiTheme="minorHAnsi" w:hAnsiTheme="minorHAnsi" w:cs="Arial"/>
                <w:sz w:val="20"/>
                <w:szCs w:val="20"/>
              </w:rPr>
              <w:t>38</w:t>
            </w:r>
          </w:p>
        </w:tc>
        <w:tc>
          <w:tcPr>
            <w:tcW w:w="1935" w:type="dxa"/>
            <w:shd w:val="clear" w:color="auto" w:fill="B8CCE4" w:themeFill="accent1" w:themeFillTint="66"/>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349</w:t>
            </w:r>
          </w:p>
        </w:tc>
      </w:tr>
      <w:tr w:rsidR="00BE357C" w:rsidRPr="003E335B" w:rsidTr="008F29E8">
        <w:tc>
          <w:tcPr>
            <w:tcW w:w="6228" w:type="dxa"/>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Weighted average shares outstanding</w:t>
            </w:r>
          </w:p>
        </w:tc>
        <w:tc>
          <w:tcPr>
            <w:tcW w:w="1935" w:type="dxa"/>
            <w:tcBorders>
              <w:bottom w:val="single" w:sz="18" w:space="0" w:color="auto"/>
            </w:tcBorders>
            <w:vAlign w:val="center"/>
          </w:tcPr>
          <w:p w:rsidR="00BE357C" w:rsidRPr="003E335B" w:rsidRDefault="0025257A" w:rsidP="000D70EC">
            <w:pPr>
              <w:spacing w:after="100" w:line="240" w:lineRule="auto"/>
              <w:jc w:val="right"/>
              <w:rPr>
                <w:rFonts w:asciiTheme="minorHAnsi" w:hAnsiTheme="minorHAnsi" w:cs="Arial"/>
                <w:sz w:val="20"/>
                <w:szCs w:val="20"/>
              </w:rPr>
            </w:pPr>
            <w:r>
              <w:rPr>
                <w:rFonts w:asciiTheme="minorHAnsi" w:hAnsiTheme="minorHAnsi" w:cs="Arial"/>
                <w:sz w:val="20"/>
                <w:szCs w:val="20"/>
              </w:rPr>
              <w:t>882,347,342</w:t>
            </w:r>
          </w:p>
        </w:tc>
        <w:tc>
          <w:tcPr>
            <w:tcW w:w="1935" w:type="dxa"/>
            <w:tcBorders>
              <w:bottom w:val="single" w:sz="18" w:space="0" w:color="auto"/>
            </w:tcBorders>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879,115,791</w:t>
            </w:r>
          </w:p>
        </w:tc>
      </w:tr>
      <w:tr w:rsidR="00BE357C" w:rsidRPr="003E335B" w:rsidTr="008F29E8">
        <w:tc>
          <w:tcPr>
            <w:tcW w:w="6228" w:type="dxa"/>
            <w:shd w:val="clear" w:color="auto" w:fill="B8CCE4" w:themeFill="accent1" w:themeFillTint="66"/>
            <w:hideMark/>
          </w:tcPr>
          <w:p w:rsidR="00BE357C" w:rsidRPr="003E335B" w:rsidRDefault="00BE357C"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Basic EPS</w:t>
            </w:r>
          </w:p>
        </w:tc>
        <w:tc>
          <w:tcPr>
            <w:tcW w:w="1935" w:type="dxa"/>
            <w:tcBorders>
              <w:top w:val="single" w:sz="18" w:space="0" w:color="auto"/>
            </w:tcBorders>
            <w:shd w:val="clear" w:color="auto" w:fill="B8CCE4" w:themeFill="accent1" w:themeFillTint="66"/>
            <w:vAlign w:val="center"/>
          </w:tcPr>
          <w:p w:rsidR="00BE357C" w:rsidRPr="003E335B" w:rsidRDefault="0025257A"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0.7</w:t>
            </w:r>
            <w:r w:rsidR="00E015A3">
              <w:rPr>
                <w:rFonts w:asciiTheme="minorHAnsi" w:hAnsiTheme="minorHAnsi" w:cs="Arial"/>
                <w:b/>
                <w:sz w:val="20"/>
                <w:szCs w:val="20"/>
              </w:rPr>
              <w:t>2</w:t>
            </w:r>
          </w:p>
        </w:tc>
        <w:tc>
          <w:tcPr>
            <w:tcW w:w="1935" w:type="dxa"/>
            <w:tcBorders>
              <w:top w:val="single" w:sz="18" w:space="0" w:color="auto"/>
            </w:tcBorders>
            <w:shd w:val="clear" w:color="auto" w:fill="B8CCE4" w:themeFill="accent1" w:themeFillTint="66"/>
            <w:vAlign w:val="center"/>
            <w:hideMark/>
          </w:tcPr>
          <w:p w:rsidR="00BE357C" w:rsidRPr="003E335B" w:rsidRDefault="00BE357C"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0.40</w:t>
            </w:r>
          </w:p>
        </w:tc>
      </w:tr>
      <w:tr w:rsidR="00BE357C" w:rsidRPr="003E335B" w:rsidTr="008F29E8">
        <w:tc>
          <w:tcPr>
            <w:tcW w:w="6228" w:type="dxa"/>
            <w:hideMark/>
          </w:tcPr>
          <w:p w:rsidR="00BE357C" w:rsidRPr="003E335B" w:rsidRDefault="00BE357C"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Diluted EPS</w:t>
            </w:r>
          </w:p>
        </w:tc>
        <w:tc>
          <w:tcPr>
            <w:tcW w:w="1935" w:type="dxa"/>
            <w:vAlign w:val="center"/>
          </w:tcPr>
          <w:p w:rsidR="00BE357C" w:rsidRPr="003E335B" w:rsidRDefault="00BE357C" w:rsidP="000D70EC">
            <w:pPr>
              <w:spacing w:after="100" w:line="240" w:lineRule="auto"/>
              <w:jc w:val="right"/>
              <w:rPr>
                <w:rFonts w:asciiTheme="minorHAnsi" w:hAnsiTheme="minorHAnsi" w:cs="Arial"/>
                <w:b/>
                <w:sz w:val="20"/>
                <w:szCs w:val="20"/>
              </w:rPr>
            </w:pPr>
          </w:p>
        </w:tc>
        <w:tc>
          <w:tcPr>
            <w:tcW w:w="1935" w:type="dxa"/>
            <w:vAlign w:val="center"/>
          </w:tcPr>
          <w:p w:rsidR="00BE357C" w:rsidRPr="003E335B" w:rsidRDefault="00BE357C" w:rsidP="000D70EC">
            <w:pPr>
              <w:spacing w:after="100" w:line="240" w:lineRule="auto"/>
              <w:jc w:val="right"/>
              <w:rPr>
                <w:rFonts w:asciiTheme="minorHAnsi" w:hAnsiTheme="minorHAnsi" w:cs="Arial"/>
                <w:b/>
                <w:sz w:val="20"/>
                <w:szCs w:val="20"/>
              </w:rPr>
            </w:pPr>
          </w:p>
        </w:tc>
      </w:tr>
      <w:tr w:rsidR="00BE357C" w:rsidRPr="003E335B" w:rsidTr="008F29E8">
        <w:tc>
          <w:tcPr>
            <w:tcW w:w="6228" w:type="dxa"/>
            <w:shd w:val="clear" w:color="auto" w:fill="B8CCE4" w:themeFill="accent1" w:themeFillTint="66"/>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 xml:space="preserve">Net result </w:t>
            </w:r>
          </w:p>
        </w:tc>
        <w:tc>
          <w:tcPr>
            <w:tcW w:w="1935" w:type="dxa"/>
            <w:shd w:val="clear" w:color="auto" w:fill="B8CCE4" w:themeFill="accent1" w:themeFillTint="66"/>
            <w:vAlign w:val="center"/>
          </w:tcPr>
          <w:p w:rsidR="00BE357C" w:rsidRPr="003E335B" w:rsidRDefault="0025257A" w:rsidP="000D70EC">
            <w:pPr>
              <w:spacing w:after="100" w:line="240" w:lineRule="auto"/>
              <w:jc w:val="right"/>
              <w:rPr>
                <w:rFonts w:asciiTheme="minorHAnsi" w:hAnsiTheme="minorHAnsi" w:cs="Arial"/>
                <w:sz w:val="20"/>
                <w:szCs w:val="20"/>
              </w:rPr>
            </w:pPr>
            <w:r>
              <w:rPr>
                <w:rFonts w:asciiTheme="minorHAnsi" w:hAnsiTheme="minorHAnsi" w:cs="Arial"/>
                <w:sz w:val="20"/>
                <w:szCs w:val="20"/>
              </w:rPr>
              <w:t>6</w:t>
            </w:r>
            <w:r w:rsidR="00E015A3">
              <w:rPr>
                <w:rFonts w:asciiTheme="minorHAnsi" w:hAnsiTheme="minorHAnsi" w:cs="Arial"/>
                <w:sz w:val="20"/>
                <w:szCs w:val="20"/>
              </w:rPr>
              <w:t>38</w:t>
            </w:r>
          </w:p>
        </w:tc>
        <w:tc>
          <w:tcPr>
            <w:tcW w:w="1935" w:type="dxa"/>
            <w:shd w:val="clear" w:color="auto" w:fill="B8CCE4" w:themeFill="accent1" w:themeFillTint="66"/>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349</w:t>
            </w:r>
          </w:p>
        </w:tc>
      </w:tr>
      <w:tr w:rsidR="00BE357C" w:rsidRPr="003E335B" w:rsidTr="008F29E8">
        <w:tc>
          <w:tcPr>
            <w:tcW w:w="6228" w:type="dxa"/>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Net result adjusted</w:t>
            </w:r>
          </w:p>
        </w:tc>
        <w:tc>
          <w:tcPr>
            <w:tcW w:w="1935" w:type="dxa"/>
            <w:vAlign w:val="center"/>
          </w:tcPr>
          <w:p w:rsidR="00BE357C" w:rsidRPr="003E335B" w:rsidRDefault="0025257A" w:rsidP="000D70EC">
            <w:pPr>
              <w:spacing w:after="100" w:line="240" w:lineRule="auto"/>
              <w:jc w:val="right"/>
              <w:rPr>
                <w:rFonts w:asciiTheme="minorHAnsi" w:hAnsiTheme="minorHAnsi" w:cs="Arial"/>
                <w:sz w:val="20"/>
                <w:szCs w:val="20"/>
              </w:rPr>
            </w:pPr>
            <w:r>
              <w:rPr>
                <w:rFonts w:asciiTheme="minorHAnsi" w:hAnsiTheme="minorHAnsi" w:cs="Arial"/>
                <w:sz w:val="20"/>
                <w:szCs w:val="20"/>
              </w:rPr>
              <w:t>6</w:t>
            </w:r>
            <w:r w:rsidR="00E015A3">
              <w:rPr>
                <w:rFonts w:asciiTheme="minorHAnsi" w:hAnsiTheme="minorHAnsi" w:cs="Arial"/>
                <w:sz w:val="20"/>
                <w:szCs w:val="20"/>
              </w:rPr>
              <w:t>48</w:t>
            </w:r>
          </w:p>
        </w:tc>
        <w:tc>
          <w:tcPr>
            <w:tcW w:w="1935" w:type="dxa"/>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349</w:t>
            </w:r>
          </w:p>
        </w:tc>
      </w:tr>
      <w:tr w:rsidR="00BE357C" w:rsidRPr="003E335B" w:rsidTr="008F29E8">
        <w:tc>
          <w:tcPr>
            <w:tcW w:w="6228" w:type="dxa"/>
            <w:shd w:val="clear" w:color="auto" w:fill="B8CCE4" w:themeFill="accent1" w:themeFillTint="66"/>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Weighted average shares outstanding</w:t>
            </w:r>
          </w:p>
        </w:tc>
        <w:tc>
          <w:tcPr>
            <w:tcW w:w="1935" w:type="dxa"/>
            <w:shd w:val="clear" w:color="auto" w:fill="B8CCE4" w:themeFill="accent1" w:themeFillTint="66"/>
            <w:vAlign w:val="center"/>
          </w:tcPr>
          <w:p w:rsidR="00BE357C" w:rsidRPr="003E335B" w:rsidRDefault="0025257A" w:rsidP="000D70EC">
            <w:pPr>
              <w:spacing w:after="100" w:line="240" w:lineRule="auto"/>
              <w:jc w:val="right"/>
              <w:rPr>
                <w:rFonts w:asciiTheme="minorHAnsi" w:hAnsiTheme="minorHAnsi" w:cs="Arial"/>
                <w:sz w:val="20"/>
                <w:szCs w:val="20"/>
              </w:rPr>
            </w:pPr>
            <w:r>
              <w:rPr>
                <w:rFonts w:asciiTheme="minorHAnsi" w:hAnsiTheme="minorHAnsi" w:cs="Arial"/>
                <w:sz w:val="20"/>
                <w:szCs w:val="20"/>
              </w:rPr>
              <w:t>882,347,342</w:t>
            </w:r>
          </w:p>
        </w:tc>
        <w:tc>
          <w:tcPr>
            <w:tcW w:w="1935" w:type="dxa"/>
            <w:shd w:val="clear" w:color="auto" w:fill="B8CCE4" w:themeFill="accent1" w:themeFillTint="66"/>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879,115,791</w:t>
            </w:r>
          </w:p>
        </w:tc>
      </w:tr>
      <w:tr w:rsidR="00BE357C" w:rsidRPr="003E335B" w:rsidTr="008F29E8">
        <w:tc>
          <w:tcPr>
            <w:tcW w:w="6228" w:type="dxa"/>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Dilutive effect of stock options</w:t>
            </w:r>
          </w:p>
        </w:tc>
        <w:tc>
          <w:tcPr>
            <w:tcW w:w="1935" w:type="dxa"/>
            <w:vAlign w:val="center"/>
          </w:tcPr>
          <w:p w:rsidR="00BE357C" w:rsidRPr="003E335B" w:rsidRDefault="0025257A"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935" w:type="dxa"/>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w:t>
            </w:r>
          </w:p>
        </w:tc>
      </w:tr>
      <w:tr w:rsidR="00BE357C" w:rsidRPr="003E335B" w:rsidTr="008F29E8">
        <w:tc>
          <w:tcPr>
            <w:tcW w:w="6228" w:type="dxa"/>
            <w:shd w:val="clear" w:color="auto" w:fill="B8CCE4" w:themeFill="accent1" w:themeFillTint="66"/>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Dilutive effect of non-vested shares</w:t>
            </w:r>
          </w:p>
        </w:tc>
        <w:tc>
          <w:tcPr>
            <w:tcW w:w="1935" w:type="dxa"/>
            <w:shd w:val="clear" w:color="auto" w:fill="B8CCE4" w:themeFill="accent1" w:themeFillTint="66"/>
            <w:vAlign w:val="center"/>
          </w:tcPr>
          <w:p w:rsidR="00BE357C" w:rsidRPr="003E335B" w:rsidRDefault="0025257A" w:rsidP="000D70EC">
            <w:pPr>
              <w:spacing w:after="100" w:line="240" w:lineRule="auto"/>
              <w:jc w:val="right"/>
              <w:rPr>
                <w:rFonts w:asciiTheme="minorHAnsi" w:hAnsiTheme="minorHAnsi" w:cs="Arial"/>
                <w:sz w:val="20"/>
                <w:szCs w:val="20"/>
              </w:rPr>
            </w:pPr>
            <w:r>
              <w:rPr>
                <w:rFonts w:asciiTheme="minorHAnsi" w:hAnsiTheme="minorHAnsi" w:cs="Arial"/>
                <w:sz w:val="20"/>
                <w:szCs w:val="20"/>
              </w:rPr>
              <w:t>3,603,210</w:t>
            </w:r>
          </w:p>
        </w:tc>
        <w:tc>
          <w:tcPr>
            <w:tcW w:w="1935" w:type="dxa"/>
            <w:shd w:val="clear" w:color="auto" w:fill="B8CCE4" w:themeFill="accent1" w:themeFillTint="66"/>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2,507,804</w:t>
            </w:r>
          </w:p>
        </w:tc>
      </w:tr>
      <w:tr w:rsidR="00BE357C" w:rsidRPr="003E335B" w:rsidTr="008F29E8">
        <w:tc>
          <w:tcPr>
            <w:tcW w:w="6228" w:type="dxa"/>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Dilutive effect of convertible debt</w:t>
            </w:r>
          </w:p>
        </w:tc>
        <w:tc>
          <w:tcPr>
            <w:tcW w:w="1935" w:type="dxa"/>
            <w:tcBorders>
              <w:bottom w:val="single" w:sz="18" w:space="0" w:color="auto"/>
            </w:tcBorders>
            <w:vAlign w:val="center"/>
          </w:tcPr>
          <w:p w:rsidR="00BE357C" w:rsidRPr="003E335B" w:rsidRDefault="0025257A" w:rsidP="000D70EC">
            <w:pPr>
              <w:spacing w:after="100" w:line="240" w:lineRule="auto"/>
              <w:jc w:val="right"/>
              <w:rPr>
                <w:rFonts w:asciiTheme="minorHAnsi" w:hAnsiTheme="minorHAnsi" w:cs="Arial"/>
                <w:sz w:val="20"/>
                <w:szCs w:val="20"/>
              </w:rPr>
            </w:pPr>
            <w:r>
              <w:rPr>
                <w:rFonts w:asciiTheme="minorHAnsi" w:hAnsiTheme="minorHAnsi" w:cs="Arial"/>
                <w:sz w:val="20"/>
                <w:szCs w:val="20"/>
              </w:rPr>
              <w:t>20,221,013</w:t>
            </w:r>
          </w:p>
        </w:tc>
        <w:tc>
          <w:tcPr>
            <w:tcW w:w="1935" w:type="dxa"/>
            <w:tcBorders>
              <w:bottom w:val="single" w:sz="18" w:space="0" w:color="auto"/>
            </w:tcBorders>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5,624</w:t>
            </w:r>
          </w:p>
        </w:tc>
      </w:tr>
      <w:tr w:rsidR="00BE357C" w:rsidRPr="003E335B" w:rsidTr="008F29E8">
        <w:tc>
          <w:tcPr>
            <w:tcW w:w="6228" w:type="dxa"/>
            <w:shd w:val="clear" w:color="auto" w:fill="B8CCE4" w:themeFill="accent1" w:themeFillTint="66"/>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Number of shares used for diluted EPS</w:t>
            </w:r>
          </w:p>
        </w:tc>
        <w:tc>
          <w:tcPr>
            <w:tcW w:w="1935" w:type="dxa"/>
            <w:tcBorders>
              <w:top w:val="single" w:sz="18" w:space="0" w:color="auto"/>
              <w:bottom w:val="single" w:sz="18" w:space="0" w:color="auto"/>
            </w:tcBorders>
            <w:shd w:val="clear" w:color="auto" w:fill="B8CCE4" w:themeFill="accent1" w:themeFillTint="66"/>
            <w:vAlign w:val="center"/>
          </w:tcPr>
          <w:p w:rsidR="00BE357C" w:rsidRPr="003E335B" w:rsidRDefault="0025257A" w:rsidP="000D70EC">
            <w:pPr>
              <w:spacing w:after="100" w:line="240" w:lineRule="auto"/>
              <w:jc w:val="right"/>
              <w:rPr>
                <w:rFonts w:asciiTheme="minorHAnsi" w:hAnsiTheme="minorHAnsi" w:cs="Arial"/>
                <w:sz w:val="20"/>
                <w:szCs w:val="20"/>
              </w:rPr>
            </w:pPr>
            <w:r>
              <w:rPr>
                <w:rFonts w:asciiTheme="minorHAnsi" w:hAnsiTheme="minorHAnsi" w:cs="Arial"/>
                <w:sz w:val="20"/>
                <w:szCs w:val="20"/>
              </w:rPr>
              <w:t>906,171,566</w:t>
            </w:r>
          </w:p>
        </w:tc>
        <w:tc>
          <w:tcPr>
            <w:tcW w:w="1935" w:type="dxa"/>
            <w:tcBorders>
              <w:top w:val="single" w:sz="18" w:space="0" w:color="auto"/>
              <w:bottom w:val="single" w:sz="18" w:space="0" w:color="auto"/>
            </w:tcBorders>
            <w:shd w:val="clear" w:color="auto" w:fill="B8CCE4" w:themeFill="accent1" w:themeFillTint="66"/>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881,629,219</w:t>
            </w:r>
          </w:p>
        </w:tc>
      </w:tr>
      <w:tr w:rsidR="00BE357C" w:rsidRPr="003E335B" w:rsidTr="008F29E8">
        <w:tc>
          <w:tcPr>
            <w:tcW w:w="6228" w:type="dxa"/>
            <w:tcBorders>
              <w:bottom w:val="single" w:sz="18" w:space="0" w:color="auto"/>
            </w:tcBorders>
            <w:hideMark/>
          </w:tcPr>
          <w:p w:rsidR="00BE357C" w:rsidRPr="003E335B" w:rsidRDefault="00BE357C" w:rsidP="000D70EC">
            <w:pPr>
              <w:spacing w:after="100" w:line="240" w:lineRule="auto"/>
              <w:rPr>
                <w:rFonts w:asciiTheme="minorHAnsi" w:hAnsiTheme="minorHAnsi" w:cs="Arial"/>
                <w:b/>
                <w:sz w:val="20"/>
                <w:szCs w:val="20"/>
              </w:rPr>
            </w:pPr>
            <w:r w:rsidRPr="003E335B">
              <w:rPr>
                <w:rFonts w:asciiTheme="minorHAnsi" w:hAnsiTheme="minorHAnsi" w:cs="Arial"/>
                <w:b/>
                <w:sz w:val="20"/>
                <w:szCs w:val="20"/>
              </w:rPr>
              <w:t>Diluted EPS</w:t>
            </w:r>
          </w:p>
        </w:tc>
        <w:tc>
          <w:tcPr>
            <w:tcW w:w="1935" w:type="dxa"/>
            <w:tcBorders>
              <w:top w:val="single" w:sz="18" w:space="0" w:color="auto"/>
              <w:bottom w:val="single" w:sz="18" w:space="0" w:color="auto"/>
            </w:tcBorders>
            <w:vAlign w:val="center"/>
          </w:tcPr>
          <w:p w:rsidR="00BE357C" w:rsidRPr="003E335B" w:rsidRDefault="0025257A" w:rsidP="000D70EC">
            <w:pPr>
              <w:spacing w:after="100" w:line="240" w:lineRule="auto"/>
              <w:jc w:val="right"/>
              <w:rPr>
                <w:rFonts w:asciiTheme="minorHAnsi" w:hAnsiTheme="minorHAnsi" w:cs="Arial"/>
                <w:b/>
                <w:sz w:val="20"/>
                <w:szCs w:val="20"/>
              </w:rPr>
            </w:pPr>
            <w:r>
              <w:rPr>
                <w:rFonts w:asciiTheme="minorHAnsi" w:hAnsiTheme="minorHAnsi" w:cs="Arial"/>
                <w:b/>
                <w:sz w:val="20"/>
                <w:szCs w:val="20"/>
              </w:rPr>
              <w:t>0.72</w:t>
            </w:r>
          </w:p>
        </w:tc>
        <w:tc>
          <w:tcPr>
            <w:tcW w:w="1935" w:type="dxa"/>
            <w:tcBorders>
              <w:top w:val="single" w:sz="18" w:space="0" w:color="auto"/>
              <w:bottom w:val="single" w:sz="18" w:space="0" w:color="auto"/>
            </w:tcBorders>
            <w:vAlign w:val="center"/>
            <w:hideMark/>
          </w:tcPr>
          <w:p w:rsidR="00BE357C" w:rsidRPr="003E335B" w:rsidRDefault="00BE357C" w:rsidP="000D70EC">
            <w:pPr>
              <w:spacing w:after="100" w:line="240" w:lineRule="auto"/>
              <w:jc w:val="right"/>
              <w:rPr>
                <w:rFonts w:asciiTheme="minorHAnsi" w:hAnsiTheme="minorHAnsi" w:cs="Arial"/>
                <w:b/>
                <w:sz w:val="20"/>
                <w:szCs w:val="20"/>
              </w:rPr>
            </w:pPr>
            <w:r w:rsidRPr="003E335B">
              <w:rPr>
                <w:rFonts w:asciiTheme="minorHAnsi" w:hAnsiTheme="minorHAnsi" w:cs="Arial"/>
                <w:b/>
                <w:sz w:val="20"/>
                <w:szCs w:val="20"/>
              </w:rPr>
              <w:t>0.40</w:t>
            </w:r>
          </w:p>
        </w:tc>
      </w:tr>
    </w:tbl>
    <w:bookmarkEnd w:id="265"/>
    <w:p w:rsidR="00847BCE" w:rsidRPr="003E335B" w:rsidRDefault="0071517B" w:rsidP="000D70EC">
      <w:pPr>
        <w:spacing w:after="100" w:line="240" w:lineRule="auto"/>
        <w:rPr>
          <w:rFonts w:asciiTheme="minorHAnsi" w:hAnsiTheme="minorHAnsi" w:cs="Arial"/>
          <w:sz w:val="20"/>
          <w:szCs w:val="20"/>
        </w:rPr>
      </w:pPr>
      <w:r>
        <w:rPr>
          <w:rFonts w:asciiTheme="minorHAnsi" w:hAnsiTheme="minorHAnsi" w:cs="Arial"/>
          <w:sz w:val="20"/>
          <w:szCs w:val="20"/>
        </w:rPr>
        <w:br w:type="textWrapping" w:clear="all"/>
      </w:r>
    </w:p>
    <w:p w:rsidR="008733F0" w:rsidRDefault="0056172A">
      <w:pPr>
        <w:spacing w:after="100" w:line="240" w:lineRule="auto"/>
        <w:jc w:val="both"/>
        <w:rPr>
          <w:rFonts w:asciiTheme="minorHAnsi" w:hAnsiTheme="minorHAnsi" w:cs="Arial"/>
          <w:sz w:val="20"/>
          <w:szCs w:val="20"/>
        </w:rPr>
      </w:pPr>
      <w:r w:rsidRPr="0056172A">
        <w:rPr>
          <w:rFonts w:asciiTheme="minorHAnsi" w:hAnsiTheme="minorHAnsi" w:cs="Arial"/>
          <w:sz w:val="20"/>
          <w:szCs w:val="20"/>
        </w:rPr>
        <w:t xml:space="preserve">As of July 2, 2011, the </w:t>
      </w:r>
      <w:r w:rsidR="006B421A">
        <w:rPr>
          <w:rFonts w:asciiTheme="minorHAnsi" w:hAnsiTheme="minorHAnsi" w:cs="Arial"/>
          <w:sz w:val="20"/>
          <w:szCs w:val="20"/>
        </w:rPr>
        <w:t>Group</w:t>
      </w:r>
      <w:r w:rsidR="006B421A" w:rsidRPr="0056172A">
        <w:rPr>
          <w:rFonts w:asciiTheme="minorHAnsi" w:hAnsiTheme="minorHAnsi" w:cs="Arial"/>
          <w:sz w:val="20"/>
          <w:szCs w:val="20"/>
        </w:rPr>
        <w:t xml:space="preserve"> </w:t>
      </w:r>
      <w:r w:rsidRPr="0056172A">
        <w:rPr>
          <w:rFonts w:asciiTheme="minorHAnsi" w:hAnsiTheme="minorHAnsi" w:cs="Arial"/>
          <w:sz w:val="20"/>
          <w:szCs w:val="20"/>
        </w:rPr>
        <w:t>excluded 27,091,223 outstanding stock options from the calculation of diluted earnings per common share because the exercise prices of these stock options were greater than or equal to the average market value of the common shares. There was also the equivalent of 19,689,104 common shares outstanding for convertible debt, out of which 5,624 for the 2013 bonds and 19,683,480 for the 2016 bonds. None of these bonds have been converted to shares during the first half of 2011.</w:t>
      </w:r>
    </w:p>
    <w:p w:rsidR="009B305E" w:rsidRPr="003E335B" w:rsidRDefault="009B305E" w:rsidP="000D70EC">
      <w:pPr>
        <w:spacing w:after="100" w:line="240" w:lineRule="auto"/>
        <w:rPr>
          <w:rFonts w:asciiTheme="minorHAnsi" w:eastAsia="Times New Roman" w:hAnsiTheme="minorHAnsi" w:cs="Arial"/>
          <w:b/>
          <w:smallCaps/>
          <w:color w:val="009CDD"/>
          <w:spacing w:val="5"/>
          <w:sz w:val="20"/>
          <w:szCs w:val="20"/>
          <w:lang w:bidi="en-US"/>
        </w:rPr>
      </w:pPr>
      <w:bookmarkStart w:id="266" w:name="_Toc265058944"/>
      <w:bookmarkStart w:id="267" w:name="_Toc258421362"/>
      <w:bookmarkStart w:id="268" w:name="_Toc257899002"/>
      <w:bookmarkStart w:id="269" w:name="_Toc266868926"/>
      <w:bookmarkStart w:id="270" w:name="_Toc266869142"/>
      <w:bookmarkStart w:id="271" w:name="_Toc266885177"/>
      <w:bookmarkStart w:id="272" w:name="_Toc266886363"/>
      <w:r w:rsidRPr="003E335B">
        <w:rPr>
          <w:rFonts w:asciiTheme="minorHAnsi" w:hAnsiTheme="minorHAnsi"/>
          <w:sz w:val="20"/>
          <w:szCs w:val="20"/>
        </w:rPr>
        <w:br w:type="page"/>
      </w:r>
    </w:p>
    <w:p w:rsidR="00847BCE" w:rsidRPr="003E335B" w:rsidRDefault="00847BCE" w:rsidP="000D70EC">
      <w:pPr>
        <w:pStyle w:val="Title3"/>
        <w:spacing w:after="100" w:line="240" w:lineRule="auto"/>
        <w:rPr>
          <w:rFonts w:asciiTheme="minorHAnsi" w:hAnsiTheme="minorHAnsi"/>
          <w:sz w:val="20"/>
          <w:szCs w:val="20"/>
        </w:rPr>
      </w:pPr>
      <w:bookmarkStart w:id="273" w:name="_Toc269825407"/>
      <w:bookmarkStart w:id="274" w:name="_Toc297204189"/>
      <w:bookmarkStart w:id="275" w:name="_Toc300834251"/>
      <w:r w:rsidRPr="003E335B">
        <w:rPr>
          <w:rFonts w:asciiTheme="minorHAnsi" w:hAnsiTheme="minorHAnsi"/>
          <w:sz w:val="20"/>
          <w:szCs w:val="20"/>
        </w:rPr>
        <w:lastRenderedPageBreak/>
        <w:t>Related party</w:t>
      </w:r>
      <w:bookmarkEnd w:id="266"/>
      <w:bookmarkEnd w:id="267"/>
      <w:bookmarkEnd w:id="268"/>
      <w:bookmarkEnd w:id="269"/>
      <w:bookmarkEnd w:id="270"/>
      <w:bookmarkEnd w:id="271"/>
      <w:bookmarkEnd w:id="272"/>
      <w:bookmarkEnd w:id="273"/>
      <w:bookmarkEnd w:id="274"/>
      <w:bookmarkEnd w:id="275"/>
      <w:r w:rsidRPr="003E335B">
        <w:rPr>
          <w:rFonts w:asciiTheme="minorHAnsi" w:hAnsiTheme="minorHAnsi"/>
          <w:sz w:val="20"/>
          <w:szCs w:val="20"/>
        </w:rPr>
        <w:t xml:space="preserve"> </w:t>
      </w:r>
    </w:p>
    <w:p w:rsidR="008733F0" w:rsidRDefault="00847BCE">
      <w:pPr>
        <w:spacing w:after="100" w:line="240" w:lineRule="auto"/>
        <w:jc w:val="both"/>
        <w:rPr>
          <w:rFonts w:asciiTheme="minorHAnsi" w:hAnsiTheme="minorHAnsi" w:cs="Arial"/>
          <w:sz w:val="20"/>
          <w:szCs w:val="20"/>
        </w:rPr>
      </w:pPr>
      <w:r w:rsidRPr="003E335B">
        <w:rPr>
          <w:rFonts w:asciiTheme="minorHAnsi" w:hAnsiTheme="minorHAnsi" w:cs="Arial"/>
          <w:sz w:val="20"/>
          <w:szCs w:val="20"/>
        </w:rPr>
        <w:t>Transactions with significant shareholders, their affiliates and other related parties were as follows:</w:t>
      </w:r>
    </w:p>
    <w:tbl>
      <w:tblPr>
        <w:tblW w:w="10098" w:type="dxa"/>
        <w:tblLook w:val="04A0"/>
      </w:tblPr>
      <w:tblGrid>
        <w:gridCol w:w="6228"/>
        <w:gridCol w:w="1935"/>
        <w:gridCol w:w="1935"/>
      </w:tblGrid>
      <w:tr w:rsidR="00847BCE" w:rsidRPr="003E335B" w:rsidTr="008F29E8">
        <w:tc>
          <w:tcPr>
            <w:tcW w:w="6228" w:type="dxa"/>
            <w:vAlign w:val="bottom"/>
            <w:hideMark/>
          </w:tcPr>
          <w:p w:rsidR="00847BCE" w:rsidRPr="003E335B" w:rsidRDefault="00847BCE" w:rsidP="000D70EC">
            <w:pPr>
              <w:spacing w:after="100" w:line="240" w:lineRule="auto"/>
              <w:jc w:val="center"/>
              <w:rPr>
                <w:rFonts w:asciiTheme="minorHAnsi" w:hAnsiTheme="minorHAnsi" w:cs="Arial"/>
                <w:sz w:val="20"/>
                <w:szCs w:val="20"/>
              </w:rPr>
            </w:pPr>
          </w:p>
        </w:tc>
        <w:tc>
          <w:tcPr>
            <w:tcW w:w="3870" w:type="dxa"/>
            <w:gridSpan w:val="2"/>
            <w:tcBorders>
              <w:bottom w:val="single" w:sz="18" w:space="0" w:color="auto"/>
            </w:tcBorders>
            <w:vAlign w:val="bottom"/>
            <w:hideMark/>
          </w:tcPr>
          <w:p w:rsidR="00847BCE" w:rsidRPr="003E335B" w:rsidRDefault="00847BCE"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(unaudited)</w:t>
            </w:r>
          </w:p>
        </w:tc>
      </w:tr>
      <w:tr w:rsidR="00BE357C" w:rsidRPr="003E335B" w:rsidTr="008F29E8">
        <w:tc>
          <w:tcPr>
            <w:tcW w:w="6228" w:type="dxa"/>
            <w:tcBorders>
              <w:bottom w:val="single" w:sz="18" w:space="0" w:color="auto"/>
            </w:tcBorders>
            <w:vAlign w:val="bottom"/>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In millions of USD</w:t>
            </w:r>
          </w:p>
        </w:tc>
        <w:tc>
          <w:tcPr>
            <w:tcW w:w="1935" w:type="dxa"/>
            <w:tcBorders>
              <w:top w:val="single" w:sz="18" w:space="0" w:color="auto"/>
              <w:bottom w:val="single" w:sz="18" w:space="0" w:color="auto"/>
            </w:tcBorders>
            <w:vAlign w:val="bottom"/>
            <w:hideMark/>
          </w:tcPr>
          <w:p w:rsidR="00BE357C" w:rsidRPr="003E335B" w:rsidRDefault="00BE357C"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July 2, 2011</w:t>
            </w:r>
          </w:p>
        </w:tc>
        <w:tc>
          <w:tcPr>
            <w:tcW w:w="1935" w:type="dxa"/>
            <w:tcBorders>
              <w:top w:val="single" w:sz="18" w:space="0" w:color="auto"/>
              <w:bottom w:val="single" w:sz="18" w:space="0" w:color="auto"/>
            </w:tcBorders>
            <w:vAlign w:val="bottom"/>
            <w:hideMark/>
          </w:tcPr>
          <w:p w:rsidR="00BE357C" w:rsidRPr="003E335B" w:rsidRDefault="00BE357C" w:rsidP="000D70EC">
            <w:pPr>
              <w:spacing w:after="100" w:line="240" w:lineRule="auto"/>
              <w:jc w:val="center"/>
              <w:rPr>
                <w:rFonts w:asciiTheme="minorHAnsi" w:hAnsiTheme="minorHAnsi" w:cs="Arial"/>
                <w:sz w:val="20"/>
                <w:szCs w:val="20"/>
              </w:rPr>
            </w:pPr>
            <w:r w:rsidRPr="003E335B">
              <w:rPr>
                <w:rFonts w:asciiTheme="minorHAnsi" w:hAnsiTheme="minorHAnsi" w:cs="Arial"/>
                <w:sz w:val="20"/>
                <w:szCs w:val="20"/>
              </w:rPr>
              <w:t>June 26, 2010</w:t>
            </w:r>
          </w:p>
        </w:tc>
      </w:tr>
      <w:tr w:rsidR="00BE357C" w:rsidRPr="003E335B" w:rsidTr="008F29E8">
        <w:tc>
          <w:tcPr>
            <w:tcW w:w="6228" w:type="dxa"/>
            <w:tcBorders>
              <w:top w:val="single" w:sz="18" w:space="0" w:color="auto"/>
            </w:tcBorders>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Sales and other services</w:t>
            </w:r>
          </w:p>
        </w:tc>
        <w:tc>
          <w:tcPr>
            <w:tcW w:w="1935" w:type="dxa"/>
            <w:tcBorders>
              <w:top w:val="single" w:sz="18" w:space="0" w:color="auto"/>
            </w:tcBorders>
            <w:vAlign w:val="center"/>
          </w:tcPr>
          <w:p w:rsidR="00BE357C" w:rsidRPr="003E335B" w:rsidRDefault="00637B09" w:rsidP="000D70EC">
            <w:pPr>
              <w:spacing w:after="100" w:line="240" w:lineRule="auto"/>
              <w:jc w:val="right"/>
              <w:rPr>
                <w:rFonts w:asciiTheme="minorHAnsi" w:hAnsiTheme="minorHAnsi" w:cs="Arial"/>
                <w:sz w:val="20"/>
                <w:szCs w:val="20"/>
              </w:rPr>
            </w:pPr>
            <w:r>
              <w:rPr>
                <w:rFonts w:asciiTheme="minorHAnsi" w:hAnsiTheme="minorHAnsi" w:cs="Arial"/>
                <w:sz w:val="20"/>
                <w:szCs w:val="20"/>
              </w:rPr>
              <w:t>119</w:t>
            </w:r>
          </w:p>
        </w:tc>
        <w:tc>
          <w:tcPr>
            <w:tcW w:w="1935" w:type="dxa"/>
            <w:tcBorders>
              <w:top w:val="single" w:sz="18" w:space="0" w:color="auto"/>
            </w:tcBorders>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154</w:t>
            </w:r>
          </w:p>
        </w:tc>
      </w:tr>
      <w:tr w:rsidR="00BE357C" w:rsidRPr="003E335B" w:rsidTr="008F29E8">
        <w:tc>
          <w:tcPr>
            <w:tcW w:w="6228" w:type="dxa"/>
            <w:shd w:val="clear" w:color="auto" w:fill="B8CCE4" w:themeFill="accent1" w:themeFillTint="66"/>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Research and development expenses</w:t>
            </w:r>
          </w:p>
        </w:tc>
        <w:tc>
          <w:tcPr>
            <w:tcW w:w="1935" w:type="dxa"/>
            <w:shd w:val="clear" w:color="auto" w:fill="B8CCE4" w:themeFill="accent1" w:themeFillTint="66"/>
            <w:vAlign w:val="center"/>
          </w:tcPr>
          <w:p w:rsidR="00BE357C" w:rsidRPr="003E335B" w:rsidRDefault="00637B09" w:rsidP="000D70EC">
            <w:pPr>
              <w:spacing w:after="100" w:line="240" w:lineRule="auto"/>
              <w:jc w:val="right"/>
              <w:rPr>
                <w:rFonts w:asciiTheme="minorHAnsi" w:hAnsiTheme="minorHAnsi" w:cs="Arial"/>
                <w:sz w:val="20"/>
                <w:szCs w:val="20"/>
              </w:rPr>
            </w:pPr>
            <w:r>
              <w:rPr>
                <w:rFonts w:asciiTheme="minorHAnsi" w:hAnsiTheme="minorHAnsi" w:cs="Arial"/>
                <w:sz w:val="20"/>
                <w:szCs w:val="20"/>
              </w:rPr>
              <w:t>(145)</w:t>
            </w:r>
          </w:p>
        </w:tc>
        <w:tc>
          <w:tcPr>
            <w:tcW w:w="1935" w:type="dxa"/>
            <w:shd w:val="clear" w:color="auto" w:fill="B8CCE4" w:themeFill="accent1" w:themeFillTint="66"/>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(129)</w:t>
            </w:r>
          </w:p>
        </w:tc>
      </w:tr>
      <w:tr w:rsidR="00BE357C" w:rsidRPr="003E335B" w:rsidTr="008F29E8">
        <w:tc>
          <w:tcPr>
            <w:tcW w:w="6228" w:type="dxa"/>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Other purchases</w:t>
            </w:r>
          </w:p>
        </w:tc>
        <w:tc>
          <w:tcPr>
            <w:tcW w:w="1935" w:type="dxa"/>
            <w:vAlign w:val="center"/>
          </w:tcPr>
          <w:p w:rsidR="00BE357C" w:rsidRPr="003E335B" w:rsidRDefault="00637B09" w:rsidP="000D70EC">
            <w:pPr>
              <w:spacing w:after="100" w:line="240" w:lineRule="auto"/>
              <w:jc w:val="right"/>
              <w:rPr>
                <w:rFonts w:asciiTheme="minorHAnsi" w:hAnsiTheme="minorHAnsi" w:cs="Arial"/>
                <w:sz w:val="20"/>
                <w:szCs w:val="20"/>
              </w:rPr>
            </w:pPr>
            <w:r>
              <w:rPr>
                <w:rFonts w:asciiTheme="minorHAnsi" w:hAnsiTheme="minorHAnsi" w:cs="Arial"/>
                <w:sz w:val="20"/>
                <w:szCs w:val="20"/>
              </w:rPr>
              <w:t>(18)</w:t>
            </w:r>
          </w:p>
        </w:tc>
        <w:tc>
          <w:tcPr>
            <w:tcW w:w="1935" w:type="dxa"/>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(18)</w:t>
            </w:r>
          </w:p>
        </w:tc>
      </w:tr>
      <w:tr w:rsidR="00BE357C" w:rsidRPr="003E335B" w:rsidTr="008F29E8">
        <w:tc>
          <w:tcPr>
            <w:tcW w:w="6228" w:type="dxa"/>
            <w:shd w:val="clear" w:color="auto" w:fill="B8CCE4" w:themeFill="accent1" w:themeFillTint="66"/>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Other income and expenses</w:t>
            </w:r>
          </w:p>
        </w:tc>
        <w:tc>
          <w:tcPr>
            <w:tcW w:w="1935" w:type="dxa"/>
            <w:shd w:val="clear" w:color="auto" w:fill="B8CCE4" w:themeFill="accent1" w:themeFillTint="66"/>
            <w:vAlign w:val="center"/>
          </w:tcPr>
          <w:p w:rsidR="00BE357C" w:rsidRPr="003E335B" w:rsidRDefault="00637B09" w:rsidP="000D70EC">
            <w:pPr>
              <w:spacing w:after="100" w:line="240" w:lineRule="auto"/>
              <w:jc w:val="right"/>
              <w:rPr>
                <w:rFonts w:asciiTheme="minorHAnsi" w:hAnsiTheme="minorHAnsi" w:cs="Arial"/>
                <w:sz w:val="20"/>
                <w:szCs w:val="20"/>
              </w:rPr>
            </w:pPr>
            <w:r>
              <w:rPr>
                <w:rFonts w:asciiTheme="minorHAnsi" w:hAnsiTheme="minorHAnsi" w:cs="Arial"/>
                <w:sz w:val="20"/>
                <w:szCs w:val="20"/>
              </w:rPr>
              <w:t>-</w:t>
            </w:r>
          </w:p>
        </w:tc>
        <w:tc>
          <w:tcPr>
            <w:tcW w:w="1935" w:type="dxa"/>
            <w:shd w:val="clear" w:color="auto" w:fill="B8CCE4" w:themeFill="accent1" w:themeFillTint="66"/>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(3)</w:t>
            </w:r>
          </w:p>
        </w:tc>
      </w:tr>
      <w:tr w:rsidR="00BE357C" w:rsidRPr="003E335B" w:rsidTr="008F29E8">
        <w:tc>
          <w:tcPr>
            <w:tcW w:w="6228" w:type="dxa"/>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Accounts receivable</w:t>
            </w:r>
          </w:p>
        </w:tc>
        <w:tc>
          <w:tcPr>
            <w:tcW w:w="1935" w:type="dxa"/>
            <w:vAlign w:val="center"/>
          </w:tcPr>
          <w:p w:rsidR="00BE357C" w:rsidRPr="003E335B" w:rsidRDefault="00637B09" w:rsidP="000D70EC">
            <w:pPr>
              <w:spacing w:after="100" w:line="240" w:lineRule="auto"/>
              <w:jc w:val="right"/>
              <w:rPr>
                <w:rFonts w:asciiTheme="minorHAnsi" w:hAnsiTheme="minorHAnsi" w:cs="Arial"/>
                <w:sz w:val="20"/>
                <w:szCs w:val="20"/>
              </w:rPr>
            </w:pPr>
            <w:r>
              <w:rPr>
                <w:rFonts w:asciiTheme="minorHAnsi" w:hAnsiTheme="minorHAnsi" w:cs="Arial"/>
                <w:sz w:val="20"/>
                <w:szCs w:val="20"/>
              </w:rPr>
              <w:t>52</w:t>
            </w:r>
          </w:p>
        </w:tc>
        <w:tc>
          <w:tcPr>
            <w:tcW w:w="1935" w:type="dxa"/>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71</w:t>
            </w:r>
          </w:p>
        </w:tc>
      </w:tr>
      <w:tr w:rsidR="00BE357C" w:rsidRPr="003E335B" w:rsidTr="008F29E8">
        <w:tc>
          <w:tcPr>
            <w:tcW w:w="6228" w:type="dxa"/>
            <w:tcBorders>
              <w:bottom w:val="single" w:sz="18" w:space="0" w:color="auto"/>
            </w:tcBorders>
            <w:shd w:val="clear" w:color="auto" w:fill="B8CCE4" w:themeFill="accent1" w:themeFillTint="66"/>
            <w:hideMark/>
          </w:tcPr>
          <w:p w:rsidR="00BE357C" w:rsidRPr="003E335B" w:rsidRDefault="00BE357C" w:rsidP="000D70EC">
            <w:pPr>
              <w:spacing w:after="100" w:line="240" w:lineRule="auto"/>
              <w:rPr>
                <w:rFonts w:asciiTheme="minorHAnsi" w:hAnsiTheme="minorHAnsi" w:cs="Arial"/>
                <w:sz w:val="20"/>
                <w:szCs w:val="20"/>
              </w:rPr>
            </w:pPr>
            <w:r w:rsidRPr="003E335B">
              <w:rPr>
                <w:rFonts w:asciiTheme="minorHAnsi" w:hAnsiTheme="minorHAnsi" w:cs="Arial"/>
                <w:sz w:val="20"/>
                <w:szCs w:val="20"/>
              </w:rPr>
              <w:t>Accounts payable</w:t>
            </w:r>
          </w:p>
        </w:tc>
        <w:tc>
          <w:tcPr>
            <w:tcW w:w="1935" w:type="dxa"/>
            <w:tcBorders>
              <w:bottom w:val="single" w:sz="18" w:space="0" w:color="auto"/>
            </w:tcBorders>
            <w:shd w:val="clear" w:color="auto" w:fill="B8CCE4" w:themeFill="accent1" w:themeFillTint="66"/>
            <w:vAlign w:val="center"/>
          </w:tcPr>
          <w:p w:rsidR="002E15B7" w:rsidRDefault="00637B09">
            <w:pPr>
              <w:spacing w:after="100" w:line="240" w:lineRule="auto"/>
              <w:jc w:val="right"/>
              <w:rPr>
                <w:rFonts w:asciiTheme="minorHAnsi" w:eastAsiaTheme="minorEastAsia" w:hAnsiTheme="minorHAnsi" w:cs="Arial"/>
                <w:smallCaps/>
                <w:noProof/>
                <w:color w:val="FFFFFF"/>
                <w:spacing w:val="5"/>
                <w:kern w:val="28"/>
                <w:sz w:val="20"/>
                <w:szCs w:val="20"/>
                <w:lang w:bidi="en-US"/>
              </w:rPr>
            </w:pPr>
            <w:r>
              <w:rPr>
                <w:rFonts w:asciiTheme="minorHAnsi" w:hAnsiTheme="minorHAnsi" w:cs="Arial"/>
                <w:sz w:val="20"/>
                <w:szCs w:val="20"/>
              </w:rPr>
              <w:t>(56)</w:t>
            </w:r>
          </w:p>
        </w:tc>
        <w:tc>
          <w:tcPr>
            <w:tcW w:w="1935" w:type="dxa"/>
            <w:tcBorders>
              <w:bottom w:val="single" w:sz="18" w:space="0" w:color="auto"/>
            </w:tcBorders>
            <w:shd w:val="clear" w:color="auto" w:fill="B8CCE4" w:themeFill="accent1" w:themeFillTint="66"/>
            <w:vAlign w:val="center"/>
            <w:hideMark/>
          </w:tcPr>
          <w:p w:rsidR="00BE357C" w:rsidRPr="003E335B" w:rsidRDefault="00BE357C" w:rsidP="000D70EC">
            <w:pPr>
              <w:spacing w:after="100" w:line="240" w:lineRule="auto"/>
              <w:jc w:val="right"/>
              <w:rPr>
                <w:rFonts w:asciiTheme="minorHAnsi" w:hAnsiTheme="minorHAnsi" w:cs="Arial"/>
                <w:sz w:val="20"/>
                <w:szCs w:val="20"/>
              </w:rPr>
            </w:pPr>
            <w:r w:rsidRPr="003E335B">
              <w:rPr>
                <w:rFonts w:asciiTheme="minorHAnsi" w:hAnsiTheme="minorHAnsi" w:cs="Arial"/>
                <w:sz w:val="20"/>
                <w:szCs w:val="20"/>
              </w:rPr>
              <w:t>(50)</w:t>
            </w:r>
          </w:p>
        </w:tc>
      </w:tr>
    </w:tbl>
    <w:p w:rsidR="00847BCE" w:rsidRPr="003E335B" w:rsidRDefault="00847BCE" w:rsidP="000D70EC">
      <w:pPr>
        <w:spacing w:after="100" w:line="240" w:lineRule="auto"/>
        <w:rPr>
          <w:rFonts w:asciiTheme="minorHAnsi" w:hAnsiTheme="minorHAnsi" w:cs="Arial"/>
          <w:sz w:val="20"/>
          <w:szCs w:val="20"/>
        </w:rPr>
      </w:pPr>
    </w:p>
    <w:p w:rsidR="008733F0" w:rsidRDefault="00847BCE">
      <w:pPr>
        <w:spacing w:after="240" w:line="240" w:lineRule="auto"/>
        <w:jc w:val="both"/>
        <w:rPr>
          <w:rFonts w:asciiTheme="minorHAnsi" w:hAnsiTheme="minorHAnsi" w:cs="Arial"/>
          <w:sz w:val="20"/>
          <w:szCs w:val="20"/>
        </w:rPr>
      </w:pPr>
      <w:r w:rsidRPr="003E335B">
        <w:rPr>
          <w:rFonts w:asciiTheme="minorHAnsi" w:hAnsiTheme="minorHAnsi" w:cs="Arial"/>
          <w:sz w:val="20"/>
          <w:szCs w:val="20"/>
        </w:rPr>
        <w:t xml:space="preserve">For the </w:t>
      </w:r>
      <w:r w:rsidR="000C373F" w:rsidRPr="003E335B">
        <w:rPr>
          <w:rFonts w:asciiTheme="minorHAnsi" w:hAnsiTheme="minorHAnsi" w:cs="Arial"/>
          <w:sz w:val="20"/>
          <w:szCs w:val="20"/>
        </w:rPr>
        <w:t>period</w:t>
      </w:r>
      <w:r w:rsidRPr="003E335B">
        <w:rPr>
          <w:rFonts w:asciiTheme="minorHAnsi" w:hAnsiTheme="minorHAnsi" w:cs="Arial"/>
          <w:sz w:val="20"/>
          <w:szCs w:val="20"/>
        </w:rPr>
        <w:t xml:space="preserve">s ended </w:t>
      </w:r>
      <w:r w:rsidR="004C201E">
        <w:rPr>
          <w:rFonts w:asciiTheme="minorHAnsi" w:hAnsiTheme="minorHAnsi" w:cs="Arial"/>
          <w:sz w:val="20"/>
          <w:szCs w:val="20"/>
        </w:rPr>
        <w:t xml:space="preserve">July 2, 2011 and </w:t>
      </w:r>
      <w:r w:rsidR="000C373F" w:rsidRPr="003E335B">
        <w:rPr>
          <w:rFonts w:asciiTheme="minorHAnsi" w:hAnsiTheme="minorHAnsi" w:cs="Arial"/>
          <w:sz w:val="20"/>
          <w:szCs w:val="20"/>
        </w:rPr>
        <w:t>June 26, 2010</w:t>
      </w:r>
      <w:r w:rsidRPr="003E335B">
        <w:rPr>
          <w:rFonts w:asciiTheme="minorHAnsi" w:hAnsiTheme="minorHAnsi" w:cs="Arial"/>
          <w:sz w:val="20"/>
          <w:szCs w:val="20"/>
        </w:rPr>
        <w:t xml:space="preserve">, the related party transactions were primarily with significant shareholders of the Group, or their subsidiaries and companies in which management of the Group perform similar policymaking functions. </w:t>
      </w:r>
      <w:r w:rsidR="00E1625C" w:rsidRPr="003E335B">
        <w:rPr>
          <w:rFonts w:asciiTheme="minorHAnsi" w:hAnsiTheme="minorHAnsi" w:cs="Arial"/>
          <w:sz w:val="20"/>
          <w:szCs w:val="20"/>
        </w:rPr>
        <w:t xml:space="preserve">One of the members of the </w:t>
      </w:r>
      <w:r w:rsidR="005E1A21">
        <w:rPr>
          <w:rFonts w:asciiTheme="minorHAnsi" w:hAnsiTheme="minorHAnsi" w:cs="Arial"/>
          <w:sz w:val="20"/>
          <w:szCs w:val="20"/>
        </w:rPr>
        <w:t>Group</w:t>
      </w:r>
      <w:r w:rsidR="00E1625C" w:rsidRPr="003E335B">
        <w:rPr>
          <w:rFonts w:asciiTheme="minorHAnsi" w:hAnsiTheme="minorHAnsi" w:cs="Arial"/>
          <w:sz w:val="20"/>
          <w:szCs w:val="20"/>
        </w:rPr>
        <w:t xml:space="preserve">’s Supervisory Board </w:t>
      </w:r>
      <w:r w:rsidR="004C201E">
        <w:rPr>
          <w:rFonts w:asciiTheme="minorHAnsi" w:hAnsiTheme="minorHAnsi" w:cs="Arial"/>
          <w:sz w:val="20"/>
          <w:szCs w:val="20"/>
        </w:rPr>
        <w:t>was</w:t>
      </w:r>
      <w:r w:rsidR="00E1625C" w:rsidRPr="003E335B">
        <w:rPr>
          <w:rFonts w:asciiTheme="minorHAnsi" w:hAnsiTheme="minorHAnsi" w:cs="Arial"/>
          <w:sz w:val="20"/>
          <w:szCs w:val="20"/>
        </w:rPr>
        <w:t xml:space="preserve"> managing director of Areva SA, which is a controlled subsidiary of CEA</w:t>
      </w:r>
      <w:r w:rsidR="004C201E">
        <w:rPr>
          <w:rFonts w:asciiTheme="minorHAnsi" w:hAnsiTheme="minorHAnsi" w:cs="Arial"/>
          <w:sz w:val="20"/>
          <w:szCs w:val="20"/>
        </w:rPr>
        <w:t xml:space="preserve">. </w:t>
      </w:r>
      <w:r w:rsidR="004C201E" w:rsidRPr="005E1A21">
        <w:rPr>
          <w:rFonts w:asciiTheme="minorHAnsi" w:hAnsiTheme="minorHAnsi" w:cs="Arial"/>
          <w:sz w:val="20"/>
          <w:szCs w:val="20"/>
        </w:rPr>
        <w:t xml:space="preserve">On March 30, 2011, Fond Stratégique d’Investissement (“FSI”) completed the acquisition of Areva’s indirect interest in us.  Following this transaction, during the Annual Shareholders’ Meeting held on May 3, 2011, the managing director of </w:t>
      </w:r>
      <w:r w:rsidR="005E1A21" w:rsidRPr="005E1A21">
        <w:rPr>
          <w:rFonts w:asciiTheme="minorHAnsi" w:hAnsiTheme="minorHAnsi" w:cs="Arial"/>
          <w:sz w:val="20"/>
          <w:szCs w:val="20"/>
        </w:rPr>
        <w:t>Areva</w:t>
      </w:r>
      <w:r w:rsidR="005E1A21">
        <w:rPr>
          <w:rFonts w:asciiTheme="minorHAnsi" w:hAnsiTheme="minorHAnsi" w:cs="Arial"/>
          <w:sz w:val="20"/>
          <w:szCs w:val="20"/>
        </w:rPr>
        <w:t xml:space="preserve"> </w:t>
      </w:r>
      <w:r w:rsidR="005E1A21" w:rsidRPr="005E1A21">
        <w:rPr>
          <w:rFonts w:asciiTheme="minorHAnsi" w:hAnsiTheme="minorHAnsi" w:cs="Arial"/>
          <w:sz w:val="20"/>
          <w:szCs w:val="20"/>
        </w:rPr>
        <w:t>stepped</w:t>
      </w:r>
      <w:r w:rsidR="004C201E" w:rsidRPr="005E1A21">
        <w:rPr>
          <w:rFonts w:asciiTheme="minorHAnsi" w:hAnsiTheme="minorHAnsi" w:cs="Arial"/>
          <w:sz w:val="20"/>
          <w:szCs w:val="20"/>
        </w:rPr>
        <w:t xml:space="preserve"> down from his position</w:t>
      </w:r>
      <w:r w:rsidR="005E1A21">
        <w:rPr>
          <w:rFonts w:asciiTheme="minorHAnsi" w:hAnsiTheme="minorHAnsi" w:cs="Arial"/>
          <w:sz w:val="20"/>
          <w:szCs w:val="20"/>
        </w:rPr>
        <w:t xml:space="preserve"> at the Group’s Supervisory Board</w:t>
      </w:r>
      <w:r w:rsidR="004C201E" w:rsidRPr="005E1A21">
        <w:rPr>
          <w:rFonts w:asciiTheme="minorHAnsi" w:hAnsiTheme="minorHAnsi" w:cs="Arial"/>
          <w:sz w:val="20"/>
          <w:szCs w:val="20"/>
        </w:rPr>
        <w:t xml:space="preserve"> following the expiry of his mandate. </w:t>
      </w:r>
      <w:r w:rsidR="005E1A21" w:rsidRPr="005E1A21">
        <w:rPr>
          <w:rFonts w:asciiTheme="minorHAnsi" w:hAnsiTheme="minorHAnsi" w:cs="Arial"/>
          <w:sz w:val="20"/>
          <w:szCs w:val="20"/>
        </w:rPr>
        <w:t xml:space="preserve">One of the members of our Supervisory Board is a member of the Board of Directors of Technicolor (formerly known as Thomson), another is the non-executive Chairman of the Board of Directors of ARM Holdings PLC (“ARM”), one of our Supervisory Board members is a member of the Supervisory Board of Soitec, two of the members of the Supervisory Board are also members of the Supervisory Board of BESI and one of the members of our Supervisory Board is a director of Oracle Corporation (“Oracle”) and Flextronics International. France Telecom and its subsidiaries Equant and Orange, as well as Oracle’s new subsidiary PeopleSoft supply certain services to our </w:t>
      </w:r>
      <w:r w:rsidR="005E1A21">
        <w:rPr>
          <w:rFonts w:asciiTheme="minorHAnsi" w:hAnsiTheme="minorHAnsi" w:cs="Arial"/>
          <w:sz w:val="20"/>
          <w:szCs w:val="20"/>
        </w:rPr>
        <w:t>Group</w:t>
      </w:r>
      <w:r w:rsidR="005E1A21" w:rsidRPr="005E1A21">
        <w:rPr>
          <w:rFonts w:asciiTheme="minorHAnsi" w:hAnsiTheme="minorHAnsi" w:cs="Arial"/>
          <w:sz w:val="20"/>
          <w:szCs w:val="20"/>
        </w:rPr>
        <w:t>.  One of our executive officers is a member of the Board of Directors of Soitec and Adecco.  We have a long-term joint R&amp;D partnership agreement with LETI, a wholly-owned subsidiary of CEA.  We have certain licensing agreements with ARM, and have conducted transactions with Soitec, Adecco and BESI as well as with Technicolor and Flextronics.  Each of the aforementioned arrangements and transactions are negotiated without the personal involvement of our Supervisory Board members and we believe that they are made on an arm’s-length basis in line with market practices and conditions.</w:t>
      </w:r>
      <w:r w:rsidR="00E1625C" w:rsidRPr="003E335B">
        <w:rPr>
          <w:rFonts w:asciiTheme="minorHAnsi" w:hAnsiTheme="minorHAnsi" w:cs="Arial"/>
          <w:sz w:val="20"/>
          <w:szCs w:val="20"/>
        </w:rPr>
        <w:t xml:space="preserve"> </w:t>
      </w:r>
      <w:r w:rsidRPr="003E335B">
        <w:rPr>
          <w:rFonts w:asciiTheme="minorHAnsi" w:hAnsiTheme="minorHAnsi" w:cs="Arial"/>
          <w:sz w:val="20"/>
          <w:szCs w:val="20"/>
        </w:rPr>
        <w:t xml:space="preserve">The related party transactions presented in the table above also include transactions between the Group and its </w:t>
      </w:r>
      <w:r w:rsidR="009003DD" w:rsidRPr="003E335B">
        <w:rPr>
          <w:rFonts w:asciiTheme="minorHAnsi" w:hAnsiTheme="minorHAnsi" w:cs="Arial"/>
          <w:sz w:val="20"/>
          <w:szCs w:val="20"/>
        </w:rPr>
        <w:t>associates</w:t>
      </w:r>
      <w:r w:rsidR="009003DD">
        <w:rPr>
          <w:rFonts w:asciiTheme="minorHAnsi" w:hAnsiTheme="minorHAnsi" w:cs="Arial"/>
          <w:sz w:val="20"/>
          <w:szCs w:val="20"/>
        </w:rPr>
        <w:t xml:space="preserve"> and jointly controlled entities </w:t>
      </w:r>
      <w:r w:rsidRPr="003E335B">
        <w:rPr>
          <w:rFonts w:asciiTheme="minorHAnsi" w:hAnsiTheme="minorHAnsi" w:cs="Arial"/>
          <w:sz w:val="20"/>
          <w:szCs w:val="20"/>
        </w:rPr>
        <w:t>as listed in Note</w:t>
      </w:r>
      <w:r w:rsidR="005D03CE" w:rsidRPr="003E335B">
        <w:rPr>
          <w:rFonts w:asciiTheme="minorHAnsi" w:hAnsiTheme="minorHAnsi" w:cs="Arial"/>
          <w:sz w:val="20"/>
          <w:szCs w:val="20"/>
        </w:rPr>
        <w:t xml:space="preserve"> 6</w:t>
      </w:r>
      <w:r w:rsidRPr="003E335B">
        <w:rPr>
          <w:rFonts w:asciiTheme="minorHAnsi" w:hAnsiTheme="minorHAnsi" w:cs="Arial"/>
          <w:sz w:val="20"/>
          <w:szCs w:val="20"/>
        </w:rPr>
        <w:t>.</w:t>
      </w:r>
    </w:p>
    <w:p w:rsidR="008733F0" w:rsidRDefault="00DD1F4C">
      <w:pPr>
        <w:spacing w:after="100" w:line="240" w:lineRule="auto"/>
        <w:jc w:val="both"/>
        <w:rPr>
          <w:rFonts w:asciiTheme="minorHAnsi" w:hAnsiTheme="minorHAnsi" w:cs="Arial"/>
          <w:sz w:val="20"/>
          <w:szCs w:val="20"/>
        </w:rPr>
      </w:pPr>
      <w:r w:rsidRPr="00055A05">
        <w:rPr>
          <w:rFonts w:asciiTheme="minorHAnsi" w:hAnsiTheme="minorHAnsi" w:cs="Arial"/>
          <w:sz w:val="20"/>
          <w:szCs w:val="20"/>
        </w:rPr>
        <w:t xml:space="preserve">In 2010 </w:t>
      </w:r>
      <w:r>
        <w:rPr>
          <w:rFonts w:asciiTheme="minorHAnsi" w:hAnsiTheme="minorHAnsi" w:cs="Arial"/>
          <w:sz w:val="20"/>
          <w:szCs w:val="20"/>
        </w:rPr>
        <w:t>the Group</w:t>
      </w:r>
      <w:r w:rsidRPr="00055A05">
        <w:rPr>
          <w:rFonts w:asciiTheme="minorHAnsi" w:hAnsiTheme="minorHAnsi" w:cs="Arial"/>
          <w:sz w:val="20"/>
          <w:szCs w:val="20"/>
        </w:rPr>
        <w:t xml:space="preserve"> granted, together with Ericsson, a $200 million committed facility to ST-Ericsson, extended to $500 million in April 2011, of which $445 million ($222.5 million for each parent) was utilized as of July 2, 2011.  </w:t>
      </w:r>
      <w:r>
        <w:rPr>
          <w:rFonts w:asciiTheme="minorHAnsi" w:hAnsiTheme="minorHAnsi" w:cs="Arial"/>
          <w:sz w:val="20"/>
          <w:szCs w:val="20"/>
        </w:rPr>
        <w:t xml:space="preserve">The </w:t>
      </w:r>
      <w:r w:rsidR="008733F0">
        <w:rPr>
          <w:rFonts w:asciiTheme="minorHAnsi" w:hAnsiTheme="minorHAnsi" w:cs="Arial"/>
          <w:sz w:val="20"/>
          <w:szCs w:val="20"/>
        </w:rPr>
        <w:t xml:space="preserve">Group </w:t>
      </w:r>
      <w:r w:rsidR="008733F0" w:rsidRPr="00055A05">
        <w:rPr>
          <w:rFonts w:asciiTheme="minorHAnsi" w:hAnsiTheme="minorHAnsi" w:cs="Arial"/>
          <w:sz w:val="20"/>
          <w:szCs w:val="20"/>
        </w:rPr>
        <w:t>and</w:t>
      </w:r>
      <w:r w:rsidRPr="00055A05">
        <w:rPr>
          <w:rFonts w:asciiTheme="minorHAnsi" w:hAnsiTheme="minorHAnsi" w:cs="Arial"/>
          <w:sz w:val="20"/>
          <w:szCs w:val="20"/>
        </w:rPr>
        <w:t xml:space="preserve"> Ericsson intend to extend the committed facility to fund ST-Ericsson. </w:t>
      </w:r>
      <w:r>
        <w:rPr>
          <w:rFonts w:asciiTheme="minorHAnsi" w:hAnsiTheme="minorHAnsi" w:cs="Arial"/>
          <w:sz w:val="20"/>
          <w:szCs w:val="20"/>
        </w:rPr>
        <w:t>The Group’s</w:t>
      </w:r>
      <w:r w:rsidRPr="00055A05">
        <w:rPr>
          <w:rFonts w:asciiTheme="minorHAnsi" w:hAnsiTheme="minorHAnsi" w:cs="Arial"/>
          <w:sz w:val="20"/>
          <w:szCs w:val="20"/>
        </w:rPr>
        <w:t xml:space="preserve"> Supervisory Board has approved an extension up to an overall amount of $800 million, out of which $400 million will be funded by </w:t>
      </w:r>
      <w:r>
        <w:rPr>
          <w:rFonts w:asciiTheme="minorHAnsi" w:hAnsiTheme="minorHAnsi" w:cs="Arial"/>
          <w:sz w:val="20"/>
          <w:szCs w:val="20"/>
        </w:rPr>
        <w:t>the Group</w:t>
      </w:r>
      <w:r w:rsidRPr="00055A05">
        <w:rPr>
          <w:rFonts w:asciiTheme="minorHAnsi" w:hAnsiTheme="minorHAnsi" w:cs="Arial"/>
          <w:sz w:val="20"/>
          <w:szCs w:val="20"/>
        </w:rPr>
        <w:t>.  Withdrawals on the facility are subject to approval by the parent companies at ST-Ericsson’s Board of Directors.</w:t>
      </w:r>
    </w:p>
    <w:p w:rsidR="00847BCE" w:rsidRPr="003E335B" w:rsidRDefault="00847BCE" w:rsidP="000D70EC">
      <w:pPr>
        <w:spacing w:after="100" w:line="240" w:lineRule="auto"/>
        <w:rPr>
          <w:rFonts w:asciiTheme="minorHAnsi" w:hAnsiTheme="minorHAnsi" w:cs="Arial"/>
          <w:sz w:val="20"/>
          <w:szCs w:val="20"/>
        </w:rPr>
      </w:pPr>
    </w:p>
    <w:p w:rsidR="009B305E" w:rsidRPr="003E335B" w:rsidRDefault="009B305E" w:rsidP="000D70EC">
      <w:pPr>
        <w:spacing w:after="100" w:line="240" w:lineRule="auto"/>
        <w:rPr>
          <w:rFonts w:asciiTheme="minorHAnsi" w:eastAsia="Times New Roman" w:hAnsiTheme="minorHAnsi" w:cs="Arial"/>
          <w:b/>
          <w:smallCaps/>
          <w:color w:val="009CDD"/>
          <w:spacing w:val="5"/>
          <w:sz w:val="20"/>
          <w:szCs w:val="20"/>
          <w:lang w:bidi="en-US"/>
        </w:rPr>
      </w:pPr>
      <w:bookmarkStart w:id="276" w:name="_Toc265058945"/>
      <w:bookmarkStart w:id="277" w:name="_Toc258421365"/>
      <w:bookmarkStart w:id="278" w:name="_Toc257899005"/>
      <w:bookmarkStart w:id="279" w:name="_Toc266868927"/>
      <w:bookmarkStart w:id="280" w:name="_Toc266869143"/>
      <w:bookmarkStart w:id="281" w:name="_Toc266885178"/>
      <w:bookmarkStart w:id="282" w:name="_Toc266886364"/>
    </w:p>
    <w:p w:rsidR="00E51A5F" w:rsidRDefault="00E51A5F" w:rsidP="000D70EC">
      <w:pPr>
        <w:pStyle w:val="Title1"/>
        <w:spacing w:before="0" w:after="100" w:line="240" w:lineRule="auto"/>
        <w:rPr>
          <w:rFonts w:asciiTheme="minorHAnsi" w:hAnsiTheme="minorHAnsi"/>
          <w:sz w:val="20"/>
          <w:szCs w:val="20"/>
        </w:rPr>
        <w:sectPr w:rsidR="00E51A5F" w:rsidSect="007D1EF2">
          <w:headerReference w:type="default" r:id="rId18"/>
          <w:pgSz w:w="12240" w:h="15840"/>
          <w:pgMar w:top="1701" w:right="1185" w:bottom="284" w:left="1185" w:header="284" w:footer="284" w:gutter="0"/>
          <w:cols w:space="708"/>
          <w:docGrid w:linePitch="360"/>
        </w:sectPr>
      </w:pPr>
      <w:bookmarkStart w:id="283" w:name="_Toc300649993"/>
      <w:bookmarkStart w:id="284" w:name="_Toc300834253"/>
      <w:bookmarkStart w:id="285" w:name="_Toc300649994"/>
      <w:bookmarkStart w:id="286" w:name="_Toc300834254"/>
      <w:bookmarkStart w:id="287" w:name="_Toc300834255"/>
      <w:bookmarkStart w:id="288" w:name="_Toc239139291"/>
      <w:bookmarkEnd w:id="276"/>
      <w:bookmarkEnd w:id="277"/>
      <w:bookmarkEnd w:id="278"/>
      <w:bookmarkEnd w:id="279"/>
      <w:bookmarkEnd w:id="280"/>
      <w:bookmarkEnd w:id="281"/>
      <w:bookmarkEnd w:id="282"/>
      <w:bookmarkEnd w:id="283"/>
      <w:bookmarkEnd w:id="284"/>
      <w:bookmarkEnd w:id="285"/>
      <w:bookmarkEnd w:id="286"/>
    </w:p>
    <w:p w:rsidR="00FA4DD2" w:rsidRPr="003E335B" w:rsidRDefault="00571564" w:rsidP="000D70EC">
      <w:pPr>
        <w:pStyle w:val="Title1"/>
        <w:spacing w:before="0" w:after="100" w:line="240" w:lineRule="auto"/>
        <w:rPr>
          <w:rFonts w:asciiTheme="minorHAnsi" w:hAnsiTheme="minorHAnsi"/>
          <w:sz w:val="20"/>
          <w:szCs w:val="20"/>
        </w:rPr>
      </w:pPr>
      <w:r w:rsidRPr="003E335B">
        <w:rPr>
          <w:rFonts w:asciiTheme="minorHAnsi" w:hAnsiTheme="minorHAnsi"/>
          <w:sz w:val="20"/>
          <w:szCs w:val="20"/>
        </w:rPr>
        <w:lastRenderedPageBreak/>
        <w:t>Sole Member of the Managing Board’s statement</w:t>
      </w:r>
      <w:bookmarkEnd w:id="287"/>
    </w:p>
    <w:p w:rsidR="008733F0" w:rsidRDefault="004743C0">
      <w:pPr>
        <w:spacing w:after="100" w:line="240" w:lineRule="auto"/>
        <w:jc w:val="both"/>
        <w:rPr>
          <w:rFonts w:asciiTheme="minorHAnsi" w:hAnsiTheme="minorHAnsi" w:cs="Arial"/>
          <w:sz w:val="20"/>
          <w:szCs w:val="20"/>
        </w:rPr>
      </w:pPr>
      <w:r w:rsidRPr="003E335B">
        <w:rPr>
          <w:rFonts w:asciiTheme="minorHAnsi" w:hAnsiTheme="minorHAnsi" w:cs="Arial"/>
          <w:sz w:val="20"/>
          <w:szCs w:val="20"/>
        </w:rPr>
        <w:t xml:space="preserve">The  Sole Member of the Managing Board hereby declares that, to the best of </w:t>
      </w:r>
      <w:r w:rsidR="00C50068" w:rsidRPr="003E335B">
        <w:rPr>
          <w:rFonts w:asciiTheme="minorHAnsi" w:hAnsiTheme="minorHAnsi" w:cs="Arial"/>
          <w:sz w:val="20"/>
          <w:szCs w:val="20"/>
        </w:rPr>
        <w:t>his</w:t>
      </w:r>
      <w:r w:rsidRPr="003E335B">
        <w:rPr>
          <w:rFonts w:asciiTheme="minorHAnsi" w:hAnsiTheme="minorHAnsi" w:cs="Arial"/>
          <w:sz w:val="20"/>
          <w:szCs w:val="20"/>
        </w:rPr>
        <w:t xml:space="preserve"> knowledge, the </w:t>
      </w:r>
      <w:r w:rsidR="005E1E77">
        <w:rPr>
          <w:rFonts w:asciiTheme="minorHAnsi" w:hAnsiTheme="minorHAnsi" w:cs="Arial"/>
          <w:sz w:val="20"/>
          <w:szCs w:val="20"/>
        </w:rPr>
        <w:t>Semi-Annual Financial Statements</w:t>
      </w:r>
      <w:r w:rsidRPr="003E335B">
        <w:rPr>
          <w:rFonts w:asciiTheme="minorHAnsi" w:hAnsiTheme="minorHAnsi" w:cs="Arial"/>
          <w:sz w:val="20"/>
          <w:szCs w:val="20"/>
        </w:rPr>
        <w:t xml:space="preserve">, which have been prepared in accordance with the applicable financial reporting standards for interim reporting, give </w:t>
      </w:r>
      <w:r w:rsidR="005F5EB9" w:rsidRPr="003E335B">
        <w:rPr>
          <w:rFonts w:asciiTheme="minorHAnsi" w:hAnsiTheme="minorHAnsi" w:cs="Arial"/>
          <w:sz w:val="20"/>
          <w:szCs w:val="20"/>
        </w:rPr>
        <w:t>a true and fair view of the assets, liabilities</w:t>
      </w:r>
      <w:r w:rsidRPr="003E335B">
        <w:rPr>
          <w:rFonts w:asciiTheme="minorHAnsi" w:hAnsiTheme="minorHAnsi" w:cs="Arial"/>
          <w:sz w:val="20"/>
          <w:szCs w:val="20"/>
        </w:rPr>
        <w:t xml:space="preserve">, </w:t>
      </w:r>
      <w:r w:rsidR="005F5EB9" w:rsidRPr="003E335B">
        <w:rPr>
          <w:rFonts w:asciiTheme="minorHAnsi" w:hAnsiTheme="minorHAnsi" w:cs="Arial"/>
          <w:sz w:val="20"/>
          <w:szCs w:val="20"/>
        </w:rPr>
        <w:t>financial position</w:t>
      </w:r>
      <w:r w:rsidRPr="003E335B">
        <w:rPr>
          <w:rFonts w:asciiTheme="minorHAnsi" w:hAnsiTheme="minorHAnsi" w:cs="Arial"/>
          <w:sz w:val="20"/>
          <w:szCs w:val="20"/>
        </w:rPr>
        <w:t xml:space="preserve"> and </w:t>
      </w:r>
      <w:r w:rsidR="005F5EB9" w:rsidRPr="003E335B">
        <w:rPr>
          <w:rFonts w:asciiTheme="minorHAnsi" w:hAnsiTheme="minorHAnsi" w:cs="Arial"/>
          <w:sz w:val="20"/>
          <w:szCs w:val="20"/>
        </w:rPr>
        <w:t xml:space="preserve"> profit</w:t>
      </w:r>
      <w:r w:rsidRPr="003E335B">
        <w:rPr>
          <w:rFonts w:asciiTheme="minorHAnsi" w:hAnsiTheme="minorHAnsi" w:cs="Arial"/>
          <w:sz w:val="20"/>
          <w:szCs w:val="20"/>
        </w:rPr>
        <w:t xml:space="preserve"> or loss of STMicroelectronics N.V., and the undertakings included in the consolidation as a whole, and the </w:t>
      </w:r>
      <w:r w:rsidR="005E1E77">
        <w:rPr>
          <w:rFonts w:asciiTheme="minorHAnsi" w:hAnsiTheme="minorHAnsi" w:cs="Arial"/>
          <w:sz w:val="20"/>
          <w:szCs w:val="20"/>
        </w:rPr>
        <w:t>S</w:t>
      </w:r>
      <w:r w:rsidRPr="003E335B">
        <w:rPr>
          <w:rFonts w:asciiTheme="minorHAnsi" w:hAnsiTheme="minorHAnsi" w:cs="Arial"/>
          <w:sz w:val="20"/>
          <w:szCs w:val="20"/>
        </w:rPr>
        <w:t>emi-</w:t>
      </w:r>
      <w:r w:rsidR="005E1E77">
        <w:rPr>
          <w:rFonts w:asciiTheme="minorHAnsi" w:hAnsiTheme="minorHAnsi" w:cs="Arial"/>
          <w:sz w:val="20"/>
          <w:szCs w:val="20"/>
        </w:rPr>
        <w:t>A</w:t>
      </w:r>
      <w:r w:rsidRPr="003E335B">
        <w:rPr>
          <w:rFonts w:asciiTheme="minorHAnsi" w:hAnsiTheme="minorHAnsi" w:cs="Arial"/>
          <w:sz w:val="20"/>
          <w:szCs w:val="20"/>
        </w:rPr>
        <w:t xml:space="preserve">nnual </w:t>
      </w:r>
      <w:r w:rsidR="005E1E77">
        <w:rPr>
          <w:rFonts w:asciiTheme="minorHAnsi" w:hAnsiTheme="minorHAnsi" w:cs="Arial"/>
          <w:sz w:val="20"/>
          <w:szCs w:val="20"/>
        </w:rPr>
        <w:t>M</w:t>
      </w:r>
      <w:r w:rsidR="00727810">
        <w:rPr>
          <w:rFonts w:asciiTheme="minorHAnsi" w:hAnsiTheme="minorHAnsi" w:cs="Arial"/>
          <w:sz w:val="20"/>
          <w:szCs w:val="20"/>
        </w:rPr>
        <w:t>anagement</w:t>
      </w:r>
      <w:r w:rsidRPr="003E335B">
        <w:rPr>
          <w:rFonts w:asciiTheme="minorHAnsi" w:hAnsiTheme="minorHAnsi" w:cs="Arial"/>
          <w:sz w:val="20"/>
          <w:szCs w:val="20"/>
        </w:rPr>
        <w:t xml:space="preserve"> </w:t>
      </w:r>
      <w:r w:rsidR="005E1E77">
        <w:rPr>
          <w:rFonts w:asciiTheme="minorHAnsi" w:hAnsiTheme="minorHAnsi" w:cs="Arial"/>
          <w:sz w:val="20"/>
          <w:szCs w:val="20"/>
        </w:rPr>
        <w:t>R</w:t>
      </w:r>
      <w:r w:rsidRPr="003E335B">
        <w:rPr>
          <w:rFonts w:asciiTheme="minorHAnsi" w:hAnsiTheme="minorHAnsi" w:cs="Arial"/>
          <w:sz w:val="20"/>
          <w:szCs w:val="20"/>
        </w:rPr>
        <w:t xml:space="preserve">eport includes a fair review </w:t>
      </w:r>
      <w:r w:rsidR="00C50068" w:rsidRPr="003E335B">
        <w:rPr>
          <w:rFonts w:asciiTheme="minorHAnsi" w:hAnsiTheme="minorHAnsi" w:cs="Arial"/>
          <w:sz w:val="20"/>
          <w:szCs w:val="20"/>
        </w:rPr>
        <w:t>of the information required pursuant to section 5:25d</w:t>
      </w:r>
      <w:r w:rsidR="00727810">
        <w:rPr>
          <w:rFonts w:asciiTheme="minorHAnsi" w:hAnsiTheme="minorHAnsi" w:cs="Arial"/>
          <w:sz w:val="20"/>
          <w:szCs w:val="20"/>
        </w:rPr>
        <w:t>, subsection 8 and, as far as applicable, subsection 9</w:t>
      </w:r>
      <w:r w:rsidR="00C50068" w:rsidRPr="003E335B">
        <w:rPr>
          <w:rFonts w:asciiTheme="minorHAnsi" w:hAnsiTheme="minorHAnsi" w:cs="Arial"/>
          <w:sz w:val="20"/>
          <w:szCs w:val="20"/>
        </w:rPr>
        <w:t xml:space="preserve"> of the Dutch Financial Markets Supervision Act (Wet op het Financie</w:t>
      </w:r>
      <w:r w:rsidR="00727810">
        <w:rPr>
          <w:rFonts w:asciiTheme="minorHAnsi" w:hAnsiTheme="minorHAnsi" w:cs="Arial"/>
          <w:sz w:val="20"/>
          <w:szCs w:val="20"/>
        </w:rPr>
        <w:t>el toezicht)</w:t>
      </w:r>
      <w:r w:rsidR="005F5EB9" w:rsidRPr="003E335B">
        <w:rPr>
          <w:rFonts w:asciiTheme="minorHAnsi" w:hAnsiTheme="minorHAnsi" w:cs="Arial"/>
          <w:sz w:val="20"/>
          <w:szCs w:val="20"/>
        </w:rPr>
        <w:t>.</w:t>
      </w:r>
    </w:p>
    <w:p w:rsidR="008733F0" w:rsidRDefault="008733F0">
      <w:pPr>
        <w:spacing w:after="100" w:line="240" w:lineRule="auto"/>
        <w:jc w:val="both"/>
        <w:rPr>
          <w:rFonts w:asciiTheme="minorHAnsi" w:hAnsiTheme="min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8"/>
        <w:gridCol w:w="990"/>
        <w:gridCol w:w="3678"/>
      </w:tblGrid>
      <w:tr w:rsidR="00B15C1B" w:rsidTr="00B15C1B">
        <w:trPr>
          <w:trHeight w:val="260"/>
        </w:trPr>
        <w:tc>
          <w:tcPr>
            <w:tcW w:w="5418" w:type="dxa"/>
          </w:tcPr>
          <w:p w:rsidR="00B15C1B" w:rsidRDefault="00B15C1B" w:rsidP="00AC396D">
            <w:pPr>
              <w:spacing w:after="100" w:line="240" w:lineRule="auto"/>
              <w:rPr>
                <w:rFonts w:asciiTheme="minorHAnsi" w:hAnsiTheme="minorHAnsi"/>
                <w:sz w:val="20"/>
                <w:szCs w:val="20"/>
              </w:rPr>
            </w:pPr>
            <w:r>
              <w:rPr>
                <w:rFonts w:asciiTheme="minorHAnsi" w:hAnsiTheme="minorHAnsi"/>
                <w:sz w:val="20"/>
                <w:szCs w:val="20"/>
              </w:rPr>
              <w:t>Date: August 23, 2011</w:t>
            </w:r>
          </w:p>
        </w:tc>
        <w:tc>
          <w:tcPr>
            <w:tcW w:w="990" w:type="dxa"/>
          </w:tcPr>
          <w:p w:rsidR="00B15C1B" w:rsidRDefault="00B15C1B" w:rsidP="00AC396D">
            <w:pPr>
              <w:spacing w:after="100" w:line="240" w:lineRule="auto"/>
              <w:rPr>
                <w:rFonts w:asciiTheme="minorHAnsi" w:hAnsiTheme="minorHAnsi"/>
                <w:sz w:val="20"/>
                <w:szCs w:val="20"/>
              </w:rPr>
            </w:pPr>
            <w:r>
              <w:rPr>
                <w:rFonts w:asciiTheme="minorHAnsi" w:hAnsiTheme="minorHAnsi"/>
                <w:sz w:val="20"/>
                <w:szCs w:val="20"/>
              </w:rPr>
              <w:t>By:</w:t>
            </w:r>
          </w:p>
        </w:tc>
        <w:tc>
          <w:tcPr>
            <w:tcW w:w="3678" w:type="dxa"/>
            <w:tcBorders>
              <w:bottom w:val="single" w:sz="18" w:space="0" w:color="auto"/>
            </w:tcBorders>
          </w:tcPr>
          <w:p w:rsidR="00B15C1B" w:rsidRDefault="00B15C1B" w:rsidP="00AC396D">
            <w:pPr>
              <w:spacing w:after="100" w:line="240" w:lineRule="auto"/>
              <w:rPr>
                <w:rFonts w:asciiTheme="minorHAnsi" w:hAnsiTheme="minorHAnsi"/>
                <w:sz w:val="20"/>
                <w:szCs w:val="20"/>
              </w:rPr>
            </w:pPr>
            <w:r>
              <w:rPr>
                <w:rFonts w:asciiTheme="minorHAnsi" w:hAnsiTheme="minorHAnsi"/>
                <w:sz w:val="20"/>
                <w:szCs w:val="20"/>
              </w:rPr>
              <w:t>/s/ Carlo Bozotti</w:t>
            </w:r>
          </w:p>
        </w:tc>
      </w:tr>
      <w:tr w:rsidR="00B15C1B" w:rsidTr="00B15C1B">
        <w:trPr>
          <w:trHeight w:val="449"/>
        </w:trPr>
        <w:tc>
          <w:tcPr>
            <w:tcW w:w="5418" w:type="dxa"/>
          </w:tcPr>
          <w:p w:rsidR="00B15C1B" w:rsidRDefault="00B15C1B" w:rsidP="00AC396D">
            <w:pPr>
              <w:spacing w:after="100" w:line="240" w:lineRule="auto"/>
              <w:rPr>
                <w:rFonts w:asciiTheme="minorHAnsi" w:hAnsiTheme="minorHAnsi"/>
                <w:sz w:val="20"/>
                <w:szCs w:val="20"/>
              </w:rPr>
            </w:pPr>
          </w:p>
        </w:tc>
        <w:tc>
          <w:tcPr>
            <w:tcW w:w="990" w:type="dxa"/>
          </w:tcPr>
          <w:p w:rsidR="00B15C1B" w:rsidRDefault="00B15C1B" w:rsidP="00AC396D">
            <w:pPr>
              <w:spacing w:after="100" w:line="240" w:lineRule="auto"/>
              <w:rPr>
                <w:rFonts w:asciiTheme="minorHAnsi" w:hAnsiTheme="minorHAnsi"/>
                <w:sz w:val="20"/>
                <w:szCs w:val="20"/>
              </w:rPr>
            </w:pPr>
          </w:p>
        </w:tc>
        <w:tc>
          <w:tcPr>
            <w:tcW w:w="3678" w:type="dxa"/>
            <w:tcBorders>
              <w:top w:val="single" w:sz="18" w:space="0" w:color="auto"/>
            </w:tcBorders>
          </w:tcPr>
          <w:p w:rsidR="00B15C1B" w:rsidRDefault="00B15C1B" w:rsidP="00AC396D">
            <w:pPr>
              <w:spacing w:after="100" w:line="240" w:lineRule="auto"/>
              <w:rPr>
                <w:rFonts w:asciiTheme="minorHAnsi" w:hAnsiTheme="minorHAnsi"/>
                <w:sz w:val="20"/>
                <w:szCs w:val="20"/>
              </w:rPr>
            </w:pPr>
          </w:p>
        </w:tc>
      </w:tr>
      <w:tr w:rsidR="00B15C1B" w:rsidTr="00B15C1B">
        <w:trPr>
          <w:trHeight w:val="449"/>
        </w:trPr>
        <w:tc>
          <w:tcPr>
            <w:tcW w:w="5418" w:type="dxa"/>
          </w:tcPr>
          <w:p w:rsidR="00B15C1B" w:rsidRDefault="00B15C1B" w:rsidP="00AC396D">
            <w:pPr>
              <w:spacing w:after="100" w:line="240" w:lineRule="auto"/>
              <w:rPr>
                <w:rFonts w:asciiTheme="minorHAnsi" w:hAnsiTheme="minorHAnsi"/>
                <w:sz w:val="20"/>
                <w:szCs w:val="20"/>
              </w:rPr>
            </w:pPr>
          </w:p>
        </w:tc>
        <w:tc>
          <w:tcPr>
            <w:tcW w:w="990" w:type="dxa"/>
          </w:tcPr>
          <w:p w:rsidR="00B15C1B" w:rsidRDefault="00B15C1B" w:rsidP="00AC396D">
            <w:pPr>
              <w:spacing w:after="100" w:line="240" w:lineRule="auto"/>
              <w:rPr>
                <w:rFonts w:asciiTheme="minorHAnsi" w:hAnsiTheme="minorHAnsi"/>
                <w:sz w:val="20"/>
                <w:szCs w:val="20"/>
              </w:rPr>
            </w:pPr>
            <w:r>
              <w:rPr>
                <w:rFonts w:asciiTheme="minorHAnsi" w:hAnsiTheme="minorHAnsi"/>
                <w:sz w:val="20"/>
                <w:szCs w:val="20"/>
              </w:rPr>
              <w:t>Name:</w:t>
            </w:r>
          </w:p>
        </w:tc>
        <w:tc>
          <w:tcPr>
            <w:tcW w:w="3678" w:type="dxa"/>
          </w:tcPr>
          <w:p w:rsidR="00B15C1B" w:rsidRDefault="00B15C1B" w:rsidP="00AC396D">
            <w:pPr>
              <w:spacing w:after="100" w:line="240" w:lineRule="auto"/>
              <w:rPr>
                <w:rFonts w:asciiTheme="minorHAnsi" w:hAnsiTheme="minorHAnsi"/>
                <w:sz w:val="20"/>
                <w:szCs w:val="20"/>
              </w:rPr>
            </w:pPr>
            <w:r>
              <w:rPr>
                <w:rFonts w:asciiTheme="minorHAnsi" w:hAnsiTheme="minorHAnsi"/>
                <w:sz w:val="20"/>
                <w:szCs w:val="20"/>
              </w:rPr>
              <w:t>Carlo Bozotti</w:t>
            </w:r>
          </w:p>
        </w:tc>
      </w:tr>
      <w:tr w:rsidR="00B15C1B" w:rsidTr="00B15C1B">
        <w:trPr>
          <w:trHeight w:val="539"/>
        </w:trPr>
        <w:tc>
          <w:tcPr>
            <w:tcW w:w="5418" w:type="dxa"/>
          </w:tcPr>
          <w:p w:rsidR="00B15C1B" w:rsidRDefault="00B15C1B" w:rsidP="00AC396D">
            <w:pPr>
              <w:spacing w:after="100" w:line="240" w:lineRule="auto"/>
              <w:rPr>
                <w:rFonts w:asciiTheme="minorHAnsi" w:hAnsiTheme="minorHAnsi"/>
                <w:sz w:val="20"/>
                <w:szCs w:val="20"/>
              </w:rPr>
            </w:pPr>
          </w:p>
        </w:tc>
        <w:tc>
          <w:tcPr>
            <w:tcW w:w="990" w:type="dxa"/>
          </w:tcPr>
          <w:p w:rsidR="00B15C1B" w:rsidRDefault="00B15C1B" w:rsidP="00AC396D">
            <w:pPr>
              <w:spacing w:after="100" w:line="240" w:lineRule="auto"/>
              <w:rPr>
                <w:rFonts w:asciiTheme="minorHAnsi" w:hAnsiTheme="minorHAnsi"/>
                <w:sz w:val="20"/>
                <w:szCs w:val="20"/>
              </w:rPr>
            </w:pPr>
            <w:r>
              <w:rPr>
                <w:rFonts w:asciiTheme="minorHAnsi" w:hAnsiTheme="minorHAnsi"/>
                <w:sz w:val="20"/>
                <w:szCs w:val="20"/>
              </w:rPr>
              <w:t>Title:</w:t>
            </w:r>
          </w:p>
        </w:tc>
        <w:tc>
          <w:tcPr>
            <w:tcW w:w="3678" w:type="dxa"/>
          </w:tcPr>
          <w:p w:rsidR="00B15C1B" w:rsidRDefault="00B15C1B" w:rsidP="00AC396D">
            <w:pPr>
              <w:spacing w:after="100" w:line="240" w:lineRule="auto"/>
              <w:rPr>
                <w:rFonts w:asciiTheme="minorHAnsi" w:hAnsiTheme="minorHAnsi"/>
                <w:sz w:val="20"/>
                <w:szCs w:val="20"/>
              </w:rPr>
            </w:pPr>
            <w:r>
              <w:rPr>
                <w:rFonts w:asciiTheme="minorHAnsi" w:hAnsiTheme="minorHAnsi"/>
                <w:sz w:val="20"/>
                <w:szCs w:val="20"/>
              </w:rPr>
              <w:t>President and Chief Executive Officer and Sole Member of the Managing Board</w:t>
            </w:r>
          </w:p>
        </w:tc>
      </w:tr>
    </w:tbl>
    <w:p w:rsidR="00AC396D" w:rsidRPr="003E335B" w:rsidRDefault="00AC396D" w:rsidP="00AC396D">
      <w:pPr>
        <w:spacing w:after="100" w:line="240" w:lineRule="auto"/>
        <w:jc w:val="both"/>
        <w:rPr>
          <w:rFonts w:asciiTheme="minorHAnsi" w:hAnsiTheme="minorHAnsi"/>
          <w:sz w:val="20"/>
          <w:szCs w:val="20"/>
        </w:rPr>
        <w:sectPr w:rsidR="00AC396D" w:rsidRPr="003E335B" w:rsidSect="007D1EF2">
          <w:headerReference w:type="default" r:id="rId19"/>
          <w:pgSz w:w="12240" w:h="15840"/>
          <w:pgMar w:top="1701" w:right="1185" w:bottom="284" w:left="1185" w:header="284" w:footer="284" w:gutter="0"/>
          <w:cols w:space="708"/>
          <w:docGrid w:linePitch="360"/>
        </w:sectPr>
      </w:pPr>
    </w:p>
    <w:p w:rsidR="00847BCE" w:rsidRPr="003E335B" w:rsidRDefault="00847BCE" w:rsidP="000D70EC">
      <w:pPr>
        <w:pStyle w:val="Title1"/>
        <w:spacing w:before="0" w:after="100" w:line="240" w:lineRule="auto"/>
        <w:rPr>
          <w:rFonts w:asciiTheme="minorHAnsi" w:hAnsiTheme="minorHAnsi"/>
          <w:sz w:val="20"/>
          <w:szCs w:val="20"/>
        </w:rPr>
      </w:pPr>
      <w:bookmarkStart w:id="289" w:name="_Toc300834256"/>
      <w:r w:rsidRPr="003E335B">
        <w:rPr>
          <w:rFonts w:asciiTheme="minorHAnsi" w:hAnsiTheme="minorHAnsi"/>
          <w:sz w:val="20"/>
          <w:szCs w:val="20"/>
        </w:rPr>
        <w:lastRenderedPageBreak/>
        <w:t>About STMicroelectronics</w:t>
      </w:r>
      <w:bookmarkEnd w:id="288"/>
      <w:bookmarkEnd w:id="289"/>
    </w:p>
    <w:p w:rsidR="008733F0" w:rsidRDefault="00847BCE">
      <w:pPr>
        <w:spacing w:after="0" w:afterAutospacing="0" w:line="240" w:lineRule="auto"/>
        <w:jc w:val="both"/>
        <w:rPr>
          <w:rFonts w:asciiTheme="minorHAnsi" w:hAnsiTheme="minorHAnsi" w:cs="Arial"/>
          <w:sz w:val="20"/>
          <w:szCs w:val="20"/>
        </w:rPr>
      </w:pPr>
      <w:r w:rsidRPr="003E335B">
        <w:rPr>
          <w:rFonts w:asciiTheme="minorHAnsi" w:hAnsiTheme="minorHAnsi" w:cs="Arial"/>
          <w:sz w:val="20"/>
          <w:szCs w:val="20"/>
        </w:rPr>
        <w:t>STMicroelectronics is a global leader serving customers across the spectrum of electronics applications with innovative semiconductor solutions. ST aims to be the undisputed leader in multimedia convergence and power applications leveraging its vast array of technologies, design expertise and combination of intellectual property portfolio, strategic partnerships and manufacturing strength. In 20</w:t>
      </w:r>
      <w:r w:rsidR="007E6F93" w:rsidRPr="003E335B">
        <w:rPr>
          <w:rFonts w:asciiTheme="minorHAnsi" w:hAnsiTheme="minorHAnsi" w:cs="Arial"/>
          <w:sz w:val="20"/>
          <w:szCs w:val="20"/>
        </w:rPr>
        <w:t>10</w:t>
      </w:r>
      <w:r w:rsidRPr="003E335B">
        <w:rPr>
          <w:rFonts w:asciiTheme="minorHAnsi" w:hAnsiTheme="minorHAnsi" w:cs="Arial"/>
          <w:sz w:val="20"/>
          <w:szCs w:val="20"/>
        </w:rPr>
        <w:t>, the Group’s net revenues were $</w:t>
      </w:r>
      <w:r w:rsidR="007E6F93" w:rsidRPr="003E335B">
        <w:rPr>
          <w:rFonts w:asciiTheme="minorHAnsi" w:hAnsiTheme="minorHAnsi" w:cs="Arial"/>
          <w:sz w:val="20"/>
          <w:szCs w:val="20"/>
        </w:rPr>
        <w:t>10.3</w:t>
      </w:r>
      <w:r w:rsidRPr="003E335B">
        <w:rPr>
          <w:rFonts w:asciiTheme="minorHAnsi" w:hAnsiTheme="minorHAnsi" w:cs="Arial"/>
          <w:sz w:val="20"/>
          <w:szCs w:val="20"/>
        </w:rPr>
        <w:t xml:space="preserve"> billion. Further information on ST can be found at </w:t>
      </w:r>
      <w:hyperlink r:id="rId20" w:history="1">
        <w:r w:rsidRPr="003E335B">
          <w:rPr>
            <w:rStyle w:val="Hyperlink"/>
            <w:rFonts w:asciiTheme="minorHAnsi" w:hAnsiTheme="minorHAnsi" w:cs="Arial"/>
            <w:sz w:val="20"/>
            <w:szCs w:val="20"/>
          </w:rPr>
          <w:t>www.st.com</w:t>
        </w:r>
      </w:hyperlink>
      <w:r w:rsidRPr="003E335B">
        <w:rPr>
          <w:rFonts w:asciiTheme="minorHAnsi" w:hAnsiTheme="minorHAnsi" w:cs="Arial"/>
          <w:sz w:val="20"/>
          <w:szCs w:val="20"/>
        </w:rPr>
        <w:t xml:space="preserve">.  </w:t>
      </w:r>
    </w:p>
    <w:p w:rsidR="008733F0" w:rsidRDefault="008733F0">
      <w:pPr>
        <w:spacing w:after="0" w:afterAutospacing="0" w:line="240" w:lineRule="auto"/>
        <w:jc w:val="both"/>
        <w:rPr>
          <w:rFonts w:asciiTheme="minorHAnsi" w:hAnsiTheme="minorHAnsi" w:cs="Arial"/>
          <w:sz w:val="20"/>
          <w:szCs w:val="20"/>
        </w:rPr>
      </w:pPr>
    </w:p>
    <w:p w:rsidR="008733F0" w:rsidRDefault="00847BCE">
      <w:pPr>
        <w:spacing w:after="0" w:afterAutospacing="0" w:line="240" w:lineRule="auto"/>
        <w:jc w:val="both"/>
        <w:rPr>
          <w:rFonts w:asciiTheme="minorHAnsi" w:hAnsiTheme="minorHAnsi" w:cs="Arial"/>
          <w:sz w:val="20"/>
          <w:szCs w:val="20"/>
        </w:rPr>
      </w:pPr>
      <w:r w:rsidRPr="003E335B">
        <w:rPr>
          <w:rFonts w:asciiTheme="minorHAnsi" w:hAnsiTheme="minorHAnsi" w:cs="Arial"/>
          <w:sz w:val="20"/>
          <w:szCs w:val="20"/>
        </w:rPr>
        <w:t>All of STMicroelectronics’ press releases are available at:</w:t>
      </w:r>
    </w:p>
    <w:p w:rsidR="008733F0" w:rsidRDefault="007C2E65">
      <w:pPr>
        <w:spacing w:after="0" w:afterAutospacing="0" w:line="240" w:lineRule="auto"/>
        <w:jc w:val="both"/>
        <w:rPr>
          <w:rFonts w:asciiTheme="minorHAnsi" w:hAnsiTheme="minorHAnsi" w:cs="Arial"/>
          <w:sz w:val="20"/>
          <w:szCs w:val="20"/>
        </w:rPr>
      </w:pPr>
      <w:hyperlink r:id="rId21" w:history="1">
        <w:r w:rsidR="00EC328B">
          <w:rPr>
            <w:rStyle w:val="Hyperlink"/>
          </w:rPr>
          <w:t>http://www.st.com/internet/com/press/st_press_releases.jsp</w:t>
        </w:r>
      </w:hyperlink>
      <w:r w:rsidR="00EC328B" w:rsidRPr="003E335B" w:rsidDel="00EC328B">
        <w:rPr>
          <w:rFonts w:asciiTheme="minorHAnsi" w:hAnsiTheme="minorHAnsi" w:cs="Arial"/>
          <w:sz w:val="20"/>
          <w:szCs w:val="20"/>
        </w:rPr>
        <w:t xml:space="preserve"> </w:t>
      </w:r>
    </w:p>
    <w:p w:rsidR="00EC328B" w:rsidRDefault="00EC328B">
      <w:pPr>
        <w:spacing w:after="0" w:afterAutospacing="0" w:line="240" w:lineRule="auto"/>
        <w:jc w:val="both"/>
        <w:rPr>
          <w:rFonts w:asciiTheme="minorHAnsi" w:hAnsiTheme="minorHAnsi" w:cs="Arial"/>
          <w:sz w:val="20"/>
          <w:szCs w:val="20"/>
        </w:rPr>
      </w:pPr>
    </w:p>
    <w:p w:rsidR="008733F0" w:rsidRDefault="00847BCE">
      <w:pPr>
        <w:spacing w:after="0" w:afterAutospacing="0" w:line="240" w:lineRule="auto"/>
        <w:jc w:val="both"/>
        <w:rPr>
          <w:rFonts w:asciiTheme="minorHAnsi" w:hAnsiTheme="minorHAnsi" w:cs="Arial"/>
          <w:sz w:val="20"/>
          <w:szCs w:val="20"/>
        </w:rPr>
      </w:pPr>
      <w:r w:rsidRPr="003E335B">
        <w:rPr>
          <w:rFonts w:asciiTheme="minorHAnsi" w:hAnsiTheme="minorHAnsi" w:cs="Arial"/>
          <w:sz w:val="20"/>
          <w:szCs w:val="20"/>
        </w:rPr>
        <w:t>All of ST-Ericsson’s press releases are available at:</w:t>
      </w:r>
    </w:p>
    <w:p w:rsidR="008733F0" w:rsidRDefault="007C2E65">
      <w:pPr>
        <w:spacing w:after="0" w:afterAutospacing="0" w:line="240" w:lineRule="auto"/>
        <w:jc w:val="both"/>
        <w:rPr>
          <w:rFonts w:asciiTheme="minorHAnsi" w:hAnsiTheme="minorHAnsi" w:cs="Arial"/>
          <w:sz w:val="20"/>
          <w:szCs w:val="20"/>
        </w:rPr>
      </w:pPr>
      <w:hyperlink r:id="rId22" w:history="1">
        <w:r w:rsidR="00847BCE" w:rsidRPr="003E335B">
          <w:rPr>
            <w:rStyle w:val="Hyperlink"/>
            <w:rFonts w:asciiTheme="minorHAnsi" w:hAnsiTheme="minorHAnsi" w:cs="Arial"/>
            <w:sz w:val="20"/>
            <w:szCs w:val="20"/>
          </w:rPr>
          <w:t>http://www.stericsson.com/press/press_releases.jsp</w:t>
        </w:r>
      </w:hyperlink>
      <w:r w:rsidR="00847BCE" w:rsidRPr="003E335B">
        <w:rPr>
          <w:rFonts w:asciiTheme="minorHAnsi" w:hAnsiTheme="minorHAnsi" w:cs="Arial"/>
          <w:sz w:val="20"/>
          <w:szCs w:val="20"/>
        </w:rPr>
        <w:t>.</w:t>
      </w:r>
    </w:p>
    <w:p w:rsidR="008733F0" w:rsidRDefault="008733F0">
      <w:pPr>
        <w:spacing w:after="0" w:afterAutospacing="0" w:line="240" w:lineRule="auto"/>
        <w:jc w:val="both"/>
        <w:rPr>
          <w:rFonts w:asciiTheme="minorHAnsi" w:hAnsiTheme="minorHAnsi" w:cs="Arial"/>
          <w:sz w:val="20"/>
          <w:szCs w:val="20"/>
        </w:rPr>
      </w:pPr>
    </w:p>
    <w:p w:rsidR="008733F0" w:rsidRDefault="008733F0">
      <w:pPr>
        <w:spacing w:after="0" w:afterAutospacing="0" w:line="240" w:lineRule="auto"/>
        <w:jc w:val="both"/>
        <w:rPr>
          <w:rFonts w:asciiTheme="minorHAnsi" w:hAnsiTheme="minorHAnsi" w:cs="Arial"/>
          <w:sz w:val="20"/>
          <w:szCs w:val="20"/>
        </w:rPr>
      </w:pPr>
    </w:p>
    <w:p w:rsidR="008733F0" w:rsidRDefault="008733F0">
      <w:pPr>
        <w:spacing w:after="0" w:afterAutospacing="0" w:line="240" w:lineRule="auto"/>
        <w:jc w:val="both"/>
        <w:rPr>
          <w:rFonts w:asciiTheme="minorHAnsi" w:hAnsiTheme="minorHAnsi" w:cs="Arial"/>
          <w:sz w:val="20"/>
          <w:szCs w:val="20"/>
        </w:rPr>
      </w:pPr>
    </w:p>
    <w:p w:rsidR="008733F0" w:rsidRDefault="008733F0">
      <w:pPr>
        <w:spacing w:after="0" w:afterAutospacing="0" w:line="240" w:lineRule="auto"/>
        <w:jc w:val="both"/>
        <w:rPr>
          <w:rFonts w:asciiTheme="minorHAnsi" w:hAnsiTheme="minorHAnsi" w:cs="Arial"/>
          <w:sz w:val="20"/>
          <w:szCs w:val="20"/>
        </w:rPr>
      </w:pPr>
    </w:p>
    <w:p w:rsidR="008733F0" w:rsidRDefault="008733F0">
      <w:pPr>
        <w:spacing w:after="0" w:afterAutospacing="0" w:line="240" w:lineRule="auto"/>
        <w:jc w:val="both"/>
        <w:rPr>
          <w:rFonts w:asciiTheme="minorHAnsi" w:hAnsiTheme="minorHAnsi" w:cs="Arial"/>
          <w:sz w:val="20"/>
          <w:szCs w:val="20"/>
        </w:rPr>
      </w:pPr>
    </w:p>
    <w:p w:rsidR="008733F0" w:rsidRDefault="008733F0">
      <w:pPr>
        <w:spacing w:after="0" w:afterAutospacing="0" w:line="240" w:lineRule="auto"/>
        <w:jc w:val="both"/>
        <w:rPr>
          <w:rFonts w:asciiTheme="minorHAnsi" w:hAnsiTheme="minorHAnsi" w:cs="Arial"/>
          <w:sz w:val="20"/>
          <w:szCs w:val="20"/>
        </w:rPr>
      </w:pPr>
    </w:p>
    <w:p w:rsidR="008733F0" w:rsidRDefault="008733F0">
      <w:pPr>
        <w:spacing w:after="0" w:afterAutospacing="0" w:line="240" w:lineRule="auto"/>
        <w:jc w:val="both"/>
        <w:rPr>
          <w:rFonts w:asciiTheme="minorHAnsi" w:hAnsiTheme="minorHAnsi" w:cs="Arial"/>
          <w:sz w:val="20"/>
          <w:szCs w:val="20"/>
        </w:rPr>
      </w:pPr>
    </w:p>
    <w:p w:rsidR="008733F0" w:rsidRDefault="008733F0">
      <w:pPr>
        <w:spacing w:after="0" w:afterAutospacing="0" w:line="240" w:lineRule="auto"/>
        <w:jc w:val="both"/>
        <w:rPr>
          <w:rFonts w:asciiTheme="minorHAnsi" w:hAnsiTheme="minorHAnsi" w:cs="Arial"/>
          <w:sz w:val="20"/>
          <w:szCs w:val="20"/>
        </w:rPr>
      </w:pPr>
    </w:p>
    <w:p w:rsidR="008733F0" w:rsidRDefault="008733F0">
      <w:pPr>
        <w:spacing w:after="0" w:afterAutospacing="0" w:line="240" w:lineRule="auto"/>
        <w:jc w:val="both"/>
        <w:rPr>
          <w:rFonts w:asciiTheme="minorHAnsi" w:hAnsiTheme="minorHAnsi" w:cs="Arial"/>
          <w:sz w:val="20"/>
          <w:szCs w:val="20"/>
        </w:rPr>
      </w:pPr>
    </w:p>
    <w:p w:rsidR="008733F0" w:rsidRDefault="008733F0">
      <w:pPr>
        <w:spacing w:after="0" w:afterAutospacing="0" w:line="240" w:lineRule="auto"/>
        <w:jc w:val="both"/>
        <w:rPr>
          <w:rFonts w:asciiTheme="minorHAnsi" w:hAnsiTheme="minorHAnsi" w:cs="Arial"/>
          <w:sz w:val="20"/>
          <w:szCs w:val="20"/>
        </w:rPr>
      </w:pPr>
      <w:bookmarkStart w:id="290" w:name="_Toc239139292"/>
      <w:bookmarkStart w:id="291" w:name="_Toc237245929"/>
    </w:p>
    <w:p w:rsidR="008733F0" w:rsidRDefault="00847BCE">
      <w:pPr>
        <w:spacing w:after="0" w:afterAutospacing="0" w:line="240" w:lineRule="auto"/>
        <w:jc w:val="both"/>
        <w:rPr>
          <w:rFonts w:asciiTheme="minorHAnsi" w:hAnsiTheme="minorHAnsi" w:cs="Arial"/>
          <w:sz w:val="20"/>
          <w:szCs w:val="20"/>
        </w:rPr>
      </w:pPr>
      <w:r w:rsidRPr="003E335B">
        <w:rPr>
          <w:rFonts w:asciiTheme="minorHAnsi" w:hAnsiTheme="minorHAnsi" w:cs="Arial"/>
          <w:sz w:val="20"/>
          <w:szCs w:val="20"/>
        </w:rPr>
        <w:t>For further information, please contact:</w:t>
      </w:r>
      <w:bookmarkEnd w:id="290"/>
      <w:bookmarkEnd w:id="291"/>
    </w:p>
    <w:p w:rsidR="008733F0" w:rsidRDefault="008733F0">
      <w:pPr>
        <w:spacing w:after="0" w:afterAutospacing="0" w:line="240" w:lineRule="auto"/>
        <w:jc w:val="both"/>
        <w:rPr>
          <w:rFonts w:asciiTheme="minorHAnsi" w:hAnsiTheme="minorHAnsi" w:cs="Arial"/>
          <w:sz w:val="20"/>
          <w:szCs w:val="20"/>
        </w:rPr>
      </w:pPr>
    </w:p>
    <w:p w:rsidR="008733F0" w:rsidRDefault="00847BCE">
      <w:pPr>
        <w:spacing w:after="0" w:afterAutospacing="0" w:line="240" w:lineRule="auto"/>
        <w:jc w:val="both"/>
        <w:rPr>
          <w:rFonts w:asciiTheme="minorHAnsi" w:hAnsiTheme="minorHAnsi" w:cs="Arial"/>
          <w:sz w:val="20"/>
          <w:szCs w:val="20"/>
        </w:rPr>
      </w:pPr>
      <w:r w:rsidRPr="003E335B">
        <w:rPr>
          <w:rFonts w:asciiTheme="minorHAnsi" w:hAnsiTheme="minorHAnsi" w:cs="Arial"/>
          <w:sz w:val="20"/>
          <w:szCs w:val="20"/>
        </w:rPr>
        <w:t>INVESTOR RELATIONS:</w:t>
      </w:r>
    </w:p>
    <w:p w:rsidR="008733F0" w:rsidRDefault="00847BCE">
      <w:pPr>
        <w:spacing w:after="0" w:afterAutospacing="0" w:line="240" w:lineRule="auto"/>
        <w:jc w:val="both"/>
        <w:rPr>
          <w:rFonts w:asciiTheme="minorHAnsi" w:hAnsiTheme="minorHAnsi" w:cs="Arial"/>
          <w:sz w:val="20"/>
          <w:szCs w:val="20"/>
        </w:rPr>
      </w:pPr>
      <w:r w:rsidRPr="003E335B">
        <w:rPr>
          <w:rFonts w:asciiTheme="minorHAnsi" w:hAnsiTheme="minorHAnsi" w:cs="Arial"/>
          <w:sz w:val="20"/>
          <w:szCs w:val="20"/>
        </w:rPr>
        <w:t>Tait Sorensen</w:t>
      </w:r>
      <w:r w:rsidRPr="003E335B">
        <w:rPr>
          <w:rFonts w:asciiTheme="minorHAnsi" w:hAnsiTheme="minorHAnsi" w:cs="Arial"/>
          <w:sz w:val="20"/>
          <w:szCs w:val="20"/>
        </w:rPr>
        <w:tab/>
      </w:r>
      <w:r w:rsidRPr="003E335B">
        <w:rPr>
          <w:rFonts w:asciiTheme="minorHAnsi" w:hAnsiTheme="minorHAnsi" w:cs="Arial"/>
          <w:sz w:val="20"/>
          <w:szCs w:val="20"/>
        </w:rPr>
        <w:tab/>
      </w:r>
      <w:r w:rsidRPr="003E335B">
        <w:rPr>
          <w:rFonts w:asciiTheme="minorHAnsi" w:hAnsiTheme="minorHAnsi" w:cs="Arial"/>
          <w:sz w:val="20"/>
          <w:szCs w:val="20"/>
        </w:rPr>
        <w:tab/>
      </w:r>
      <w:r w:rsidRPr="003E335B">
        <w:rPr>
          <w:rFonts w:asciiTheme="minorHAnsi" w:hAnsiTheme="minorHAnsi" w:cs="Arial"/>
          <w:sz w:val="20"/>
          <w:szCs w:val="20"/>
        </w:rPr>
        <w:tab/>
      </w:r>
    </w:p>
    <w:p w:rsidR="008733F0" w:rsidRDefault="00847BCE">
      <w:pPr>
        <w:spacing w:after="0" w:afterAutospacing="0" w:line="240" w:lineRule="auto"/>
        <w:jc w:val="both"/>
        <w:rPr>
          <w:rFonts w:asciiTheme="minorHAnsi" w:hAnsiTheme="minorHAnsi" w:cs="Arial"/>
          <w:sz w:val="20"/>
          <w:szCs w:val="20"/>
        </w:rPr>
      </w:pPr>
      <w:r w:rsidRPr="003E335B">
        <w:rPr>
          <w:rFonts w:asciiTheme="minorHAnsi" w:hAnsiTheme="minorHAnsi" w:cs="Arial"/>
          <w:sz w:val="20"/>
          <w:szCs w:val="20"/>
        </w:rPr>
        <w:t>Director, Investor Relations</w:t>
      </w:r>
      <w:r w:rsidRPr="003E335B">
        <w:rPr>
          <w:rFonts w:asciiTheme="minorHAnsi" w:hAnsiTheme="minorHAnsi" w:cs="Arial"/>
          <w:sz w:val="20"/>
          <w:szCs w:val="20"/>
        </w:rPr>
        <w:tab/>
      </w:r>
    </w:p>
    <w:p w:rsidR="008733F0" w:rsidRDefault="00847BCE">
      <w:pPr>
        <w:spacing w:after="0" w:afterAutospacing="0" w:line="240" w:lineRule="auto"/>
        <w:jc w:val="both"/>
        <w:rPr>
          <w:rFonts w:asciiTheme="minorHAnsi" w:hAnsiTheme="minorHAnsi" w:cs="Arial"/>
          <w:sz w:val="20"/>
          <w:szCs w:val="20"/>
        </w:rPr>
      </w:pPr>
      <w:r w:rsidRPr="003E335B">
        <w:rPr>
          <w:rFonts w:asciiTheme="minorHAnsi" w:hAnsiTheme="minorHAnsi" w:cs="Arial"/>
          <w:sz w:val="20"/>
          <w:szCs w:val="20"/>
        </w:rPr>
        <w:t>Tel: +1 602 485 2064</w:t>
      </w:r>
    </w:p>
    <w:p w:rsidR="008733F0" w:rsidRDefault="007C2E65">
      <w:pPr>
        <w:spacing w:after="0" w:afterAutospacing="0" w:line="240" w:lineRule="auto"/>
        <w:jc w:val="both"/>
        <w:rPr>
          <w:rFonts w:asciiTheme="minorHAnsi" w:hAnsiTheme="minorHAnsi" w:cs="Arial"/>
          <w:sz w:val="20"/>
          <w:szCs w:val="20"/>
        </w:rPr>
      </w:pPr>
      <w:hyperlink r:id="rId23" w:history="1">
        <w:r w:rsidR="00847BCE" w:rsidRPr="003E335B">
          <w:rPr>
            <w:rStyle w:val="Hyperlink"/>
            <w:rFonts w:asciiTheme="minorHAnsi" w:hAnsiTheme="minorHAnsi" w:cs="Arial"/>
            <w:sz w:val="20"/>
            <w:szCs w:val="20"/>
          </w:rPr>
          <w:t>tait.sorensen@st.com</w:t>
        </w:r>
      </w:hyperlink>
    </w:p>
    <w:p w:rsidR="008733F0" w:rsidRDefault="008733F0">
      <w:pPr>
        <w:spacing w:after="0" w:afterAutospacing="0" w:line="240" w:lineRule="auto"/>
        <w:jc w:val="both"/>
        <w:rPr>
          <w:rFonts w:asciiTheme="minorHAnsi" w:hAnsiTheme="minorHAnsi" w:cs="Arial"/>
          <w:sz w:val="20"/>
          <w:szCs w:val="20"/>
        </w:rPr>
      </w:pPr>
    </w:p>
    <w:p w:rsidR="008733F0" w:rsidRDefault="00847BCE">
      <w:pPr>
        <w:spacing w:after="0" w:afterAutospacing="0" w:line="240" w:lineRule="auto"/>
        <w:jc w:val="both"/>
        <w:rPr>
          <w:rFonts w:asciiTheme="minorHAnsi" w:hAnsiTheme="minorHAnsi" w:cs="Arial"/>
          <w:sz w:val="20"/>
          <w:szCs w:val="20"/>
        </w:rPr>
      </w:pPr>
      <w:r w:rsidRPr="003E335B">
        <w:rPr>
          <w:rFonts w:asciiTheme="minorHAnsi" w:hAnsiTheme="minorHAnsi" w:cs="Arial"/>
          <w:sz w:val="20"/>
          <w:szCs w:val="20"/>
        </w:rPr>
        <w:t>MEDIA RELATIONS:</w:t>
      </w:r>
    </w:p>
    <w:p w:rsidR="008733F0" w:rsidRDefault="00847BCE">
      <w:pPr>
        <w:spacing w:after="0" w:afterAutospacing="0" w:line="240" w:lineRule="auto"/>
        <w:jc w:val="both"/>
        <w:rPr>
          <w:rFonts w:asciiTheme="minorHAnsi" w:hAnsiTheme="minorHAnsi" w:cs="Arial"/>
          <w:sz w:val="20"/>
          <w:szCs w:val="20"/>
        </w:rPr>
      </w:pPr>
      <w:r w:rsidRPr="003E335B">
        <w:rPr>
          <w:rFonts w:asciiTheme="minorHAnsi" w:hAnsiTheme="minorHAnsi" w:cs="Arial"/>
          <w:sz w:val="20"/>
          <w:szCs w:val="20"/>
        </w:rPr>
        <w:t>Maria Grazia Prestini</w:t>
      </w:r>
      <w:r w:rsidRPr="003E335B">
        <w:rPr>
          <w:rFonts w:asciiTheme="minorHAnsi" w:hAnsiTheme="minorHAnsi" w:cs="Arial"/>
          <w:sz w:val="20"/>
          <w:szCs w:val="20"/>
        </w:rPr>
        <w:tab/>
      </w:r>
      <w:r w:rsidRPr="003E335B">
        <w:rPr>
          <w:rFonts w:asciiTheme="minorHAnsi" w:hAnsiTheme="minorHAnsi" w:cs="Arial"/>
          <w:sz w:val="20"/>
          <w:szCs w:val="20"/>
        </w:rPr>
        <w:tab/>
      </w:r>
      <w:r w:rsidRPr="003E335B">
        <w:rPr>
          <w:rFonts w:asciiTheme="minorHAnsi" w:hAnsiTheme="minorHAnsi" w:cs="Arial"/>
          <w:sz w:val="20"/>
          <w:szCs w:val="20"/>
        </w:rPr>
        <w:tab/>
      </w:r>
      <w:r w:rsidRPr="003E335B">
        <w:rPr>
          <w:rFonts w:asciiTheme="minorHAnsi" w:hAnsiTheme="minorHAnsi" w:cs="Arial"/>
          <w:sz w:val="20"/>
          <w:szCs w:val="20"/>
        </w:rPr>
        <w:tab/>
        <w:t xml:space="preserve"> </w:t>
      </w:r>
      <w:r w:rsidRPr="003E335B">
        <w:rPr>
          <w:rFonts w:asciiTheme="minorHAnsi" w:hAnsiTheme="minorHAnsi" w:cs="Arial"/>
          <w:sz w:val="20"/>
          <w:szCs w:val="20"/>
        </w:rPr>
        <w:br/>
      </w:r>
      <w:r w:rsidR="005B0603">
        <w:rPr>
          <w:rFonts w:asciiTheme="minorHAnsi" w:hAnsiTheme="minorHAnsi" w:cs="Arial"/>
          <w:sz w:val="20"/>
          <w:szCs w:val="20"/>
        </w:rPr>
        <w:t>Group VP</w:t>
      </w:r>
      <w:r w:rsidRPr="003E335B">
        <w:rPr>
          <w:rFonts w:asciiTheme="minorHAnsi" w:hAnsiTheme="minorHAnsi" w:cs="Arial"/>
          <w:sz w:val="20"/>
          <w:szCs w:val="20"/>
        </w:rPr>
        <w:t>, Corporate Media and Public Relations</w:t>
      </w:r>
    </w:p>
    <w:p w:rsidR="008733F0" w:rsidRDefault="00847BCE">
      <w:pPr>
        <w:spacing w:after="0" w:afterAutospacing="0" w:line="240" w:lineRule="auto"/>
        <w:jc w:val="both"/>
        <w:rPr>
          <w:rFonts w:asciiTheme="minorHAnsi" w:hAnsiTheme="minorHAnsi" w:cs="Arial"/>
          <w:sz w:val="20"/>
          <w:szCs w:val="20"/>
        </w:rPr>
      </w:pPr>
      <w:r w:rsidRPr="003E335B">
        <w:rPr>
          <w:rFonts w:asciiTheme="minorHAnsi" w:hAnsiTheme="minorHAnsi" w:cs="Arial"/>
          <w:sz w:val="20"/>
          <w:szCs w:val="20"/>
        </w:rPr>
        <w:t>STMicroelectronics</w:t>
      </w:r>
    </w:p>
    <w:p w:rsidR="008733F0" w:rsidRDefault="00847BCE">
      <w:pPr>
        <w:spacing w:after="0" w:afterAutospacing="0" w:line="240" w:lineRule="auto"/>
        <w:jc w:val="both"/>
        <w:rPr>
          <w:rFonts w:asciiTheme="minorHAnsi" w:hAnsiTheme="minorHAnsi" w:cs="Arial"/>
          <w:sz w:val="20"/>
          <w:szCs w:val="20"/>
        </w:rPr>
      </w:pPr>
      <w:r w:rsidRPr="003E335B">
        <w:rPr>
          <w:rFonts w:asciiTheme="minorHAnsi" w:hAnsiTheme="minorHAnsi" w:cs="Arial"/>
          <w:sz w:val="20"/>
          <w:szCs w:val="20"/>
        </w:rPr>
        <w:t>Tel: + 41 22 929 6945</w:t>
      </w:r>
    </w:p>
    <w:p w:rsidR="008733F0" w:rsidRDefault="007C2E65">
      <w:pPr>
        <w:spacing w:after="0" w:afterAutospacing="0" w:line="240" w:lineRule="auto"/>
        <w:jc w:val="both"/>
        <w:rPr>
          <w:rFonts w:asciiTheme="minorHAnsi" w:hAnsiTheme="minorHAnsi" w:cs="Arial"/>
          <w:sz w:val="20"/>
          <w:szCs w:val="20"/>
        </w:rPr>
      </w:pPr>
      <w:hyperlink r:id="rId24" w:history="1">
        <w:r w:rsidR="00847BCE" w:rsidRPr="003E335B">
          <w:rPr>
            <w:rStyle w:val="Hyperlink"/>
            <w:rFonts w:asciiTheme="minorHAnsi" w:hAnsiTheme="minorHAnsi" w:cs="Arial"/>
            <w:sz w:val="20"/>
            <w:szCs w:val="20"/>
          </w:rPr>
          <w:t>mariagrazia.prestini@st.com</w:t>
        </w:r>
      </w:hyperlink>
    </w:p>
    <w:sectPr w:rsidR="008733F0" w:rsidSect="007D1EF2">
      <w:headerReference w:type="default" r:id="rId25"/>
      <w:pgSz w:w="12240" w:h="15840"/>
      <w:pgMar w:top="1701" w:right="1185" w:bottom="284" w:left="1185"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48B" w:rsidRDefault="0009548B" w:rsidP="00D56FEC">
      <w:pPr>
        <w:spacing w:after="0" w:line="240" w:lineRule="auto"/>
      </w:pPr>
      <w:r>
        <w:separator/>
      </w:r>
    </w:p>
  </w:endnote>
  <w:endnote w:type="continuationSeparator" w:id="0">
    <w:p w:rsidR="0009548B" w:rsidRDefault="0009548B" w:rsidP="00D56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Univers">
    <w:altName w:val="Arial"/>
    <w:panose1 w:val="00000000000000000000"/>
    <w:charset w:val="00"/>
    <w:family w:val="swiss"/>
    <w:notTrueType/>
    <w:pitch w:val="variable"/>
    <w:sig w:usb0="00000003" w:usb1="00000000" w:usb2="00000000" w:usb3="00000000" w:csb0="00000001" w:csb1="00000000"/>
  </w:font>
  <w:font w:name="Univers 45 Light">
    <w:charset w:val="00"/>
    <w:family w:val="auto"/>
    <w:pitch w:val="variable"/>
    <w:sig w:usb0="8000002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itigateFrutigerBold">
    <w:altName w:val="Courier New"/>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8B" w:rsidRDefault="0009548B" w:rsidP="003F5B10">
    <w:pPr>
      <w:pStyle w:val="Footer"/>
      <w:jc w:val="center"/>
    </w:pPr>
  </w:p>
  <w:p w:rsidR="0009548B" w:rsidRDefault="0009548B" w:rsidP="003F5B10">
    <w:pPr>
      <w:pStyle w:val="Footer"/>
      <w:ind w:left="-1418"/>
      <w:jc w:val="center"/>
    </w:pPr>
    <w:r>
      <w:rPr>
        <w:noProof/>
        <w:lang w:val="nl-NL" w:eastAsia="nl-NL"/>
      </w:rPr>
      <w:drawing>
        <wp:inline distT="0" distB="0" distL="0" distR="0">
          <wp:extent cx="7709535" cy="220980"/>
          <wp:effectExtent l="19050" t="0" r="5715" b="0"/>
          <wp:docPr id="3" name="Picture 5" descr="blue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banner02"/>
                  <pic:cNvPicPr>
                    <a:picLocks noChangeAspect="1" noChangeArrowheads="1"/>
                  </pic:cNvPicPr>
                </pic:nvPicPr>
                <pic:blipFill>
                  <a:blip r:embed="rId1"/>
                  <a:srcRect/>
                  <a:stretch>
                    <a:fillRect/>
                  </a:stretch>
                </pic:blipFill>
                <pic:spPr bwMode="auto">
                  <a:xfrm>
                    <a:off x="0" y="0"/>
                    <a:ext cx="7709535" cy="22098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8B" w:rsidRDefault="0009548B" w:rsidP="003F5B10">
    <w:pPr>
      <w:pStyle w:val="Footer"/>
      <w:jc w:val="center"/>
    </w:pPr>
  </w:p>
  <w:p w:rsidR="0009548B" w:rsidRDefault="0009548B" w:rsidP="00E101FC">
    <w:pPr>
      <w:pStyle w:val="Footer"/>
      <w:ind w:left="-1418"/>
      <w:jc w:val="right"/>
    </w:pPr>
    <w:r>
      <w:rPr>
        <w:noProof/>
        <w:lang w:val="nl-NL" w:eastAsia="nl-NL"/>
      </w:rPr>
      <w:drawing>
        <wp:inline distT="0" distB="0" distL="0" distR="0">
          <wp:extent cx="8932425" cy="256032"/>
          <wp:effectExtent l="19050" t="0" r="2025" b="0"/>
          <wp:docPr id="6" name="Picture 5" descr="blue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banner02"/>
                  <pic:cNvPicPr>
                    <a:picLocks noChangeAspect="1" noChangeArrowheads="1"/>
                  </pic:cNvPicPr>
                </pic:nvPicPr>
                <pic:blipFill>
                  <a:blip r:embed="rId1"/>
                  <a:srcRect/>
                  <a:stretch>
                    <a:fillRect/>
                  </a:stretch>
                </pic:blipFill>
                <pic:spPr bwMode="auto">
                  <a:xfrm>
                    <a:off x="0" y="0"/>
                    <a:ext cx="8988771" cy="257647"/>
                  </a:xfrm>
                  <a:prstGeom prst="rect">
                    <a:avLst/>
                  </a:prstGeom>
                  <a:noFill/>
                  <a:ln w="9525">
                    <a:noFill/>
                    <a:miter lim="800000"/>
                    <a:headEnd/>
                    <a:tailEnd/>
                  </a:ln>
                </pic:spPr>
              </pic:pic>
            </a:graphicData>
          </a:graphic>
        </wp:inline>
      </w:drawing>
    </w:r>
    <w:fldSimple w:instr=" PAGE   \* MERGEFORMAT ">
      <w:r w:rsidR="00231884">
        <w:rPr>
          <w:noProof/>
        </w:rPr>
        <w:t>18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8B" w:rsidRDefault="0009548B" w:rsidP="003F5B10">
    <w:pPr>
      <w:pStyle w:val="Footer"/>
      <w:jc w:val="center"/>
    </w:pPr>
  </w:p>
  <w:p w:rsidR="0009548B" w:rsidRDefault="0009548B" w:rsidP="00E101FC">
    <w:pPr>
      <w:pStyle w:val="Footer"/>
      <w:ind w:left="-1418"/>
      <w:jc w:val="right"/>
    </w:pPr>
    <w:r>
      <w:rPr>
        <w:noProof/>
        <w:lang w:val="nl-NL" w:eastAsia="nl-NL"/>
      </w:rPr>
      <w:drawing>
        <wp:inline distT="0" distB="0" distL="0" distR="0">
          <wp:extent cx="8932425" cy="256032"/>
          <wp:effectExtent l="19050" t="0" r="2025" b="0"/>
          <wp:docPr id="7" name="Picture 5" descr="blue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banner02"/>
                  <pic:cNvPicPr>
                    <a:picLocks noChangeAspect="1" noChangeArrowheads="1"/>
                  </pic:cNvPicPr>
                </pic:nvPicPr>
                <pic:blipFill>
                  <a:blip r:embed="rId1"/>
                  <a:srcRect/>
                  <a:stretch>
                    <a:fillRect/>
                  </a:stretch>
                </pic:blipFill>
                <pic:spPr bwMode="auto">
                  <a:xfrm>
                    <a:off x="0" y="0"/>
                    <a:ext cx="8932425" cy="256032"/>
                  </a:xfrm>
                  <a:prstGeom prst="rect">
                    <a:avLst/>
                  </a:prstGeom>
                  <a:noFill/>
                  <a:ln w="9525">
                    <a:noFill/>
                    <a:miter lim="800000"/>
                    <a:headEnd/>
                    <a:tailEnd/>
                  </a:ln>
                </pic:spPr>
              </pic:pic>
            </a:graphicData>
          </a:graphic>
        </wp:inline>
      </w:drawing>
    </w:r>
    <w:fldSimple w:instr=" PAGE   \* MERGEFORMAT ">
      <w:r w:rsidR="00E247F1">
        <w:rPr>
          <w:noProof/>
        </w:rPr>
        <w:t>53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48B" w:rsidRDefault="0009548B" w:rsidP="00D56FEC">
      <w:pPr>
        <w:spacing w:after="0" w:line="240" w:lineRule="auto"/>
      </w:pPr>
      <w:r>
        <w:separator/>
      </w:r>
    </w:p>
  </w:footnote>
  <w:footnote w:type="continuationSeparator" w:id="0">
    <w:p w:rsidR="0009548B" w:rsidRDefault="0009548B" w:rsidP="00D56FEC">
      <w:pPr>
        <w:spacing w:after="0" w:line="240" w:lineRule="auto"/>
      </w:pPr>
      <w:r>
        <w:continuationSeparator/>
      </w:r>
    </w:p>
  </w:footnote>
  <w:footnote w:id="1">
    <w:p w:rsidR="0009548B" w:rsidRPr="00E92EAB" w:rsidRDefault="0009548B" w:rsidP="00BF69B1">
      <w:pPr>
        <w:pStyle w:val="FootnoteText"/>
        <w:rPr>
          <w:lang w:val="en-US"/>
        </w:rPr>
      </w:pPr>
      <w:r>
        <w:rPr>
          <w:rStyle w:val="FootnoteReference"/>
        </w:rPr>
        <w:footnoteRef/>
      </w:r>
      <w:r>
        <w:t xml:space="preserve"> </w:t>
      </w:r>
      <w:r w:rsidRPr="00E92EAB">
        <w:rPr>
          <w:lang w:val="en-US"/>
        </w:rPr>
        <w:t xml:space="preserve">Reflecting the transfer of a small business unit from ACCI to </w:t>
      </w:r>
      <w:r>
        <w:rPr>
          <w:lang w:val="en-US"/>
        </w:rPr>
        <w:t>AMM</w:t>
      </w:r>
      <w:r w:rsidRPr="00E92EAB">
        <w:rPr>
          <w:lang w:val="en-US"/>
        </w:rPr>
        <w:t>, we have reclassified prior period revenues.</w:t>
      </w:r>
    </w:p>
  </w:footnote>
  <w:footnote w:id="2">
    <w:p w:rsidR="0009548B" w:rsidRPr="00E92EAB" w:rsidRDefault="0009548B" w:rsidP="00BF69B1">
      <w:pPr>
        <w:pStyle w:val="FootnoteText"/>
        <w:rPr>
          <w:lang w:val="en-US"/>
        </w:rPr>
      </w:pPr>
      <w:r>
        <w:rPr>
          <w:rStyle w:val="FootnoteReference"/>
        </w:rPr>
        <w:footnoteRef/>
      </w:r>
      <w:r>
        <w:rPr>
          <w:lang w:val="en-US"/>
        </w:rPr>
        <w:t xml:space="preserve"> </w:t>
      </w:r>
      <w:r w:rsidRPr="000309BD">
        <w:rPr>
          <w:lang w:val="en-US"/>
        </w:rPr>
        <w:t xml:space="preserve">In the first </w:t>
      </w:r>
      <w:r>
        <w:rPr>
          <w:lang w:val="en-US"/>
        </w:rPr>
        <w:t>half</w:t>
      </w:r>
      <w:r w:rsidRPr="000309BD">
        <w:rPr>
          <w:lang w:val="en-US"/>
        </w:rPr>
        <w:t xml:space="preserve"> of 2011, “Others” includes revenues from the sales of Subsystems</w:t>
      </w:r>
      <w:r>
        <w:rPr>
          <w:lang w:val="en-US"/>
        </w:rPr>
        <w:t xml:space="preserve"> and</w:t>
      </w:r>
      <w:r w:rsidRPr="000309BD">
        <w:rPr>
          <w:lang w:val="en-US"/>
        </w:rPr>
        <w:t xml:space="preserve"> sales of materials and other products not allocated to product segments.</w:t>
      </w:r>
    </w:p>
  </w:footnote>
  <w:footnote w:id="3">
    <w:p w:rsidR="0009548B" w:rsidRPr="00002A35" w:rsidRDefault="0009548B">
      <w:pPr>
        <w:pStyle w:val="FootnoteText"/>
        <w:rPr>
          <w:lang w:val="en-US"/>
        </w:rPr>
      </w:pPr>
      <w:r>
        <w:rPr>
          <w:rStyle w:val="FootnoteReference"/>
        </w:rPr>
        <w:footnoteRef/>
      </w:r>
      <w:r>
        <w:t xml:space="preserve"> </w:t>
      </w:r>
      <w:r w:rsidRPr="006C6E98">
        <w:rPr>
          <w:lang w:val="en-US"/>
        </w:rPr>
        <w:t>Includes revenues from sales of subsystems and other products not allocated to product segments</w:t>
      </w:r>
    </w:p>
  </w:footnote>
  <w:footnote w:id="4">
    <w:p w:rsidR="0009548B" w:rsidRPr="008819E9" w:rsidRDefault="0009548B" w:rsidP="00BF69B1">
      <w:pPr>
        <w:pStyle w:val="FootnoteText"/>
        <w:rPr>
          <w:lang w:val="en-US"/>
        </w:rPr>
      </w:pPr>
      <w:r>
        <w:rPr>
          <w:rStyle w:val="FootnoteReference"/>
        </w:rPr>
        <w:footnoteRef/>
      </w:r>
      <w:r>
        <w:t xml:space="preserve"> Net revenues by location of order shipment are classified by location of customer invoiced. For example, products ordered by U.S.-based companies to be invoiced to Greater China and South Asia affiliates are classified as Greater China and South Asia revenues. Furthermore, the comparison among the different periods may be affected by shifts in order shipment from one location to another, as requested by our customers.</w:t>
      </w:r>
    </w:p>
  </w:footnote>
  <w:footnote w:id="5">
    <w:p w:rsidR="0009548B" w:rsidRPr="00F524A0" w:rsidRDefault="0009548B">
      <w:pPr>
        <w:pStyle w:val="FootnoteText"/>
        <w:rPr>
          <w:lang w:val="en-US"/>
        </w:rPr>
      </w:pPr>
      <w:r>
        <w:rPr>
          <w:rStyle w:val="FootnoteReference"/>
        </w:rPr>
        <w:footnoteRef/>
      </w:r>
      <w:r>
        <w:t xml:space="preserve"> </w:t>
      </w:r>
      <w:r w:rsidRPr="00F524A0">
        <w:rPr>
          <w:lang w:val="en-US"/>
        </w:rPr>
        <w:t>Includes unallocated expenses such as certain corporate level operating expenses and other costs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8B" w:rsidRDefault="0009548B" w:rsidP="001F47BF">
    <w:pPr>
      <w:pStyle w:val="Header"/>
      <w:tabs>
        <w:tab w:val="clear" w:pos="4703"/>
        <w:tab w:val="clear" w:pos="9406"/>
        <w:tab w:val="left" w:pos="0"/>
      </w:tabs>
      <w:ind w:left="-1418" w:right="-428"/>
      <w:jc w:val="right"/>
    </w:pPr>
    <w:r>
      <w:rPr>
        <w:noProof/>
        <w:lang w:val="nl-NL" w:eastAsia="nl-NL"/>
      </w:rPr>
      <w:drawing>
        <wp:inline distT="0" distB="0" distL="0" distR="0">
          <wp:extent cx="741045" cy="441325"/>
          <wp:effectExtent l="19050" t="0" r="1905" b="0"/>
          <wp:docPr id="1" name="Picture 4" descr="st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logo3"/>
                  <pic:cNvPicPr>
                    <a:picLocks noChangeAspect="1" noChangeArrowheads="1"/>
                  </pic:cNvPicPr>
                </pic:nvPicPr>
                <pic:blipFill>
                  <a:blip r:embed="rId1"/>
                  <a:srcRect/>
                  <a:stretch>
                    <a:fillRect/>
                  </a:stretch>
                </pic:blipFill>
                <pic:spPr bwMode="auto">
                  <a:xfrm>
                    <a:off x="0" y="0"/>
                    <a:ext cx="741045" cy="441325"/>
                  </a:xfrm>
                  <a:prstGeom prst="rect">
                    <a:avLst/>
                  </a:prstGeom>
                  <a:noFill/>
                  <a:ln w="9525">
                    <a:noFill/>
                    <a:miter lim="800000"/>
                    <a:headEnd/>
                    <a:tailEnd/>
                  </a:ln>
                </pic:spPr>
              </pic:pic>
            </a:graphicData>
          </a:graphic>
        </wp:inline>
      </w:drawing>
    </w:r>
    <w:r>
      <w:rPr>
        <w:noProof/>
        <w:lang w:val="nl-NL" w:eastAsia="nl-NL"/>
      </w:rPr>
      <w:drawing>
        <wp:inline distT="0" distB="0" distL="0" distR="0">
          <wp:extent cx="7299325" cy="469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299325" cy="46990"/>
                  </a:xfrm>
                  <a:prstGeom prst="rect">
                    <a:avLst/>
                  </a:prstGeom>
                  <a:noFill/>
                  <a:ln w="9525">
                    <a:noFill/>
                    <a:miter lim="800000"/>
                    <a:headEnd/>
                    <a:tailEnd/>
                  </a:ln>
                </pic:spPr>
              </pic:pic>
            </a:graphicData>
          </a:graphic>
        </wp:inline>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8B" w:rsidRDefault="007C2E65" w:rsidP="005643BE">
    <w:pPr>
      <w:pStyle w:val="Header"/>
      <w:tabs>
        <w:tab w:val="clear" w:pos="4703"/>
        <w:tab w:val="clear" w:pos="9406"/>
        <w:tab w:val="left" w:pos="0"/>
      </w:tabs>
      <w:ind w:left="-1418" w:right="-428"/>
      <w:jc w:val="right"/>
    </w:pPr>
    <w:r w:rsidRPr="007C2E65">
      <w:rPr>
        <w:noProof/>
      </w:rPr>
      <w:pict>
        <v:shapetype id="_x0000_t202" coordsize="21600,21600" o:spt="202" path="m,l,21600r21600,l21600,xe">
          <v:stroke joinstyle="miter"/>
          <v:path gradientshapeok="t" o:connecttype="rect"/>
        </v:shapetype>
        <v:shape id="_x0000_s1029" type="#_x0000_t202" style="position:absolute;left:0;text-align:left;margin-left:-2.45pt;margin-top:18.25pt;width:447.3pt;height:29.75pt;z-index:251659776" filled="f" stroked="f">
          <v:textbox style="mso-next-textbox:#_x0000_s1029">
            <w:txbxContent>
              <w:p w:rsidR="0009548B" w:rsidRPr="005643BE" w:rsidRDefault="0009548B">
                <w:pPr>
                  <w:rPr>
                    <w:rFonts w:ascii="Arial" w:hAnsi="Arial" w:cs="Arial"/>
                    <w:b/>
                    <w:color w:val="009CDD"/>
                  </w:rPr>
                </w:pPr>
                <w:r w:rsidRPr="005643BE">
                  <w:rPr>
                    <w:rFonts w:ascii="Arial" w:hAnsi="Arial" w:cs="Arial"/>
                    <w:b/>
                    <w:color w:val="009CDD"/>
                  </w:rPr>
                  <w:t>Semi-annual report 201</w:t>
                </w:r>
                <w:r>
                  <w:rPr>
                    <w:rFonts w:ascii="Arial" w:hAnsi="Arial" w:cs="Arial"/>
                    <w:b/>
                    <w:color w:val="009CDD"/>
                  </w:rPr>
                  <w:t>1</w:t>
                </w:r>
                <w:r w:rsidRPr="005643BE">
                  <w:rPr>
                    <w:rFonts w:ascii="Arial" w:hAnsi="Arial" w:cs="Arial"/>
                    <w:b/>
                    <w:color w:val="009CDD"/>
                  </w:rPr>
                  <w:t xml:space="preserve"> – </w:t>
                </w:r>
                <w:r>
                  <w:rPr>
                    <w:rFonts w:ascii="Arial" w:hAnsi="Arial" w:cs="Arial"/>
                    <w:b/>
                    <w:color w:val="009CDD"/>
                  </w:rPr>
                  <w:t>about STMicroelectronics</w:t>
                </w:r>
              </w:p>
            </w:txbxContent>
          </v:textbox>
        </v:shape>
      </w:pict>
    </w:r>
    <w:r w:rsidR="0009548B">
      <w:tab/>
    </w:r>
    <w:r w:rsidR="0009548B">
      <w:tab/>
    </w:r>
    <w:r w:rsidR="0009548B">
      <w:tab/>
    </w:r>
    <w:r w:rsidR="0009548B">
      <w:tab/>
    </w:r>
    <w:r w:rsidR="0009548B">
      <w:tab/>
    </w:r>
    <w:r w:rsidR="0009548B">
      <w:tab/>
    </w:r>
    <w:r w:rsidR="0009548B">
      <w:tab/>
    </w:r>
    <w:r w:rsidR="0009548B">
      <w:rPr>
        <w:noProof/>
        <w:lang w:val="nl-NL" w:eastAsia="nl-NL"/>
      </w:rPr>
      <w:drawing>
        <wp:inline distT="0" distB="0" distL="0" distR="0">
          <wp:extent cx="741045" cy="441325"/>
          <wp:effectExtent l="19050" t="0" r="1905" b="0"/>
          <wp:docPr id="16" name="Picture 4" descr="st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logo3"/>
                  <pic:cNvPicPr>
                    <a:picLocks noChangeAspect="1" noChangeArrowheads="1"/>
                  </pic:cNvPicPr>
                </pic:nvPicPr>
                <pic:blipFill>
                  <a:blip r:embed="rId1"/>
                  <a:srcRect/>
                  <a:stretch>
                    <a:fillRect/>
                  </a:stretch>
                </pic:blipFill>
                <pic:spPr bwMode="auto">
                  <a:xfrm>
                    <a:off x="0" y="0"/>
                    <a:ext cx="741045" cy="441325"/>
                  </a:xfrm>
                  <a:prstGeom prst="rect">
                    <a:avLst/>
                  </a:prstGeom>
                  <a:noFill/>
                  <a:ln w="9525">
                    <a:noFill/>
                    <a:miter lim="800000"/>
                    <a:headEnd/>
                    <a:tailEnd/>
                  </a:ln>
                </pic:spPr>
              </pic:pic>
            </a:graphicData>
          </a:graphic>
        </wp:inline>
      </w:drawing>
    </w:r>
    <w:r w:rsidR="0009548B">
      <w:rPr>
        <w:noProof/>
        <w:lang w:val="nl-NL" w:eastAsia="nl-NL"/>
      </w:rPr>
      <w:drawing>
        <wp:inline distT="0" distB="0" distL="0" distR="0">
          <wp:extent cx="9241536" cy="59494"/>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245558" cy="5952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8B" w:rsidRDefault="007C2E65" w:rsidP="001F47BF">
    <w:pPr>
      <w:pStyle w:val="Header"/>
      <w:tabs>
        <w:tab w:val="clear" w:pos="4703"/>
        <w:tab w:val="clear" w:pos="9406"/>
        <w:tab w:val="left" w:pos="0"/>
      </w:tabs>
      <w:ind w:left="-1418" w:right="-428"/>
      <w:jc w:val="right"/>
    </w:pPr>
    <w:r w:rsidRPr="007C2E65">
      <w:rPr>
        <w:noProof/>
      </w:rPr>
      <w:pict>
        <v:shapetype id="_x0000_t202" coordsize="21600,21600" o:spt="202" path="m,l,21600r21600,l21600,xe">
          <v:stroke joinstyle="miter"/>
          <v:path gradientshapeok="t" o:connecttype="rect"/>
        </v:shapetype>
        <v:shape id="_x0000_s1031" type="#_x0000_t202" style="position:absolute;left:0;text-align:left;margin-left:-36.2pt;margin-top:17.9pt;width:329.3pt;height:29.75pt;z-index:251660800" filled="f" stroked="f">
          <v:textbox style="mso-next-textbox:#_x0000_s1031">
            <w:txbxContent>
              <w:p w:rsidR="0009548B" w:rsidRPr="005643BE" w:rsidRDefault="0009548B" w:rsidP="00383156">
                <w:pPr>
                  <w:rPr>
                    <w:rFonts w:ascii="Arial" w:hAnsi="Arial" w:cs="Arial"/>
                    <w:b/>
                    <w:color w:val="009CDD"/>
                  </w:rPr>
                </w:pPr>
                <w:r w:rsidRPr="005643BE">
                  <w:rPr>
                    <w:rFonts w:ascii="Arial" w:hAnsi="Arial" w:cs="Arial"/>
                    <w:b/>
                    <w:color w:val="009CDD"/>
                  </w:rPr>
                  <w:t>Semi-</w:t>
                </w:r>
                <w:r>
                  <w:rPr>
                    <w:rFonts w:ascii="Arial" w:hAnsi="Arial" w:cs="Arial"/>
                    <w:b/>
                    <w:color w:val="009CDD"/>
                  </w:rPr>
                  <w:t>A</w:t>
                </w:r>
                <w:r w:rsidRPr="005643BE">
                  <w:rPr>
                    <w:rFonts w:ascii="Arial" w:hAnsi="Arial" w:cs="Arial"/>
                    <w:b/>
                    <w:color w:val="009CDD"/>
                  </w:rPr>
                  <w:t xml:space="preserve">nnual </w:t>
                </w:r>
                <w:r>
                  <w:rPr>
                    <w:rFonts w:ascii="Arial" w:hAnsi="Arial" w:cs="Arial"/>
                    <w:b/>
                    <w:color w:val="009CDD"/>
                  </w:rPr>
                  <w:t>R</w:t>
                </w:r>
                <w:r w:rsidRPr="005643BE">
                  <w:rPr>
                    <w:rFonts w:ascii="Arial" w:hAnsi="Arial" w:cs="Arial"/>
                    <w:b/>
                    <w:color w:val="009CDD"/>
                  </w:rPr>
                  <w:t>eport 201</w:t>
                </w:r>
                <w:r>
                  <w:rPr>
                    <w:rFonts w:ascii="Arial" w:hAnsi="Arial" w:cs="Arial"/>
                    <w:b/>
                    <w:color w:val="009CDD"/>
                  </w:rPr>
                  <w:t>1</w:t>
                </w:r>
                <w:r w:rsidRPr="005643BE">
                  <w:rPr>
                    <w:rFonts w:ascii="Arial" w:hAnsi="Arial" w:cs="Arial"/>
                    <w:b/>
                    <w:color w:val="009CDD"/>
                  </w:rPr>
                  <w:t xml:space="preserve"> –</w:t>
                </w:r>
                <w:r>
                  <w:rPr>
                    <w:rFonts w:ascii="Arial" w:hAnsi="Arial" w:cs="Arial"/>
                    <w:b/>
                    <w:color w:val="009CDD"/>
                  </w:rPr>
                  <w:t xml:space="preserve"> Contents</w:t>
                </w:r>
              </w:p>
            </w:txbxContent>
          </v:textbox>
        </v:shape>
      </w:pict>
    </w:r>
    <w:r w:rsidR="0009548B">
      <w:rPr>
        <w:noProof/>
        <w:lang w:val="nl-NL" w:eastAsia="nl-NL"/>
      </w:rPr>
      <w:drawing>
        <wp:inline distT="0" distB="0" distL="0" distR="0">
          <wp:extent cx="741045" cy="441325"/>
          <wp:effectExtent l="19050" t="0" r="1905" b="0"/>
          <wp:docPr id="20" name="Picture 4" descr="st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logo3"/>
                  <pic:cNvPicPr>
                    <a:picLocks noChangeAspect="1" noChangeArrowheads="1"/>
                  </pic:cNvPicPr>
                </pic:nvPicPr>
                <pic:blipFill>
                  <a:blip r:embed="rId1"/>
                  <a:srcRect/>
                  <a:stretch>
                    <a:fillRect/>
                  </a:stretch>
                </pic:blipFill>
                <pic:spPr bwMode="auto">
                  <a:xfrm>
                    <a:off x="0" y="0"/>
                    <a:ext cx="741045" cy="441325"/>
                  </a:xfrm>
                  <a:prstGeom prst="rect">
                    <a:avLst/>
                  </a:prstGeom>
                  <a:noFill/>
                  <a:ln w="9525">
                    <a:noFill/>
                    <a:miter lim="800000"/>
                    <a:headEnd/>
                    <a:tailEnd/>
                  </a:ln>
                </pic:spPr>
              </pic:pic>
            </a:graphicData>
          </a:graphic>
        </wp:inline>
      </w:drawing>
    </w:r>
    <w:r w:rsidR="0009548B">
      <w:rPr>
        <w:noProof/>
        <w:lang w:val="nl-NL" w:eastAsia="nl-NL"/>
      </w:rPr>
      <w:drawing>
        <wp:inline distT="0" distB="0" distL="0" distR="0">
          <wp:extent cx="7299325" cy="46990"/>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299325" cy="4699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8B" w:rsidRDefault="007C2E65" w:rsidP="005643BE">
    <w:pPr>
      <w:pStyle w:val="Header"/>
      <w:tabs>
        <w:tab w:val="clear" w:pos="4703"/>
        <w:tab w:val="clear" w:pos="9406"/>
        <w:tab w:val="left" w:pos="0"/>
      </w:tabs>
      <w:ind w:left="-1418" w:right="-428"/>
      <w:jc w:val="right"/>
    </w:pPr>
    <w:r w:rsidRPr="007C2E65">
      <w:rPr>
        <w:noProof/>
      </w:rPr>
      <w:pict>
        <v:shapetype id="_x0000_t202" coordsize="21600,21600" o:spt="202" path="m,l,21600r21600,l21600,xe">
          <v:stroke joinstyle="miter"/>
          <v:path gradientshapeok="t" o:connecttype="rect"/>
        </v:shapetype>
        <v:shape id="_x0000_s1025" type="#_x0000_t202" style="position:absolute;left:0;text-align:left;margin-left:-48.2pt;margin-top:18.25pt;width:329.3pt;height:29.75pt;z-index:251654656" filled="f" stroked="f">
          <v:textbox style="mso-next-textbox:#_x0000_s1025">
            <w:txbxContent>
              <w:p w:rsidR="0009548B" w:rsidRPr="005643BE" w:rsidRDefault="0009548B">
                <w:pPr>
                  <w:rPr>
                    <w:rFonts w:ascii="Arial" w:hAnsi="Arial" w:cs="Arial"/>
                    <w:b/>
                    <w:color w:val="009CDD"/>
                  </w:rPr>
                </w:pPr>
                <w:r w:rsidRPr="005643BE">
                  <w:rPr>
                    <w:rFonts w:ascii="Arial" w:hAnsi="Arial" w:cs="Arial"/>
                    <w:b/>
                    <w:color w:val="009CDD"/>
                  </w:rPr>
                  <w:t>Semi-</w:t>
                </w:r>
                <w:r>
                  <w:rPr>
                    <w:rFonts w:ascii="Arial" w:hAnsi="Arial" w:cs="Arial"/>
                    <w:b/>
                    <w:color w:val="009CDD"/>
                  </w:rPr>
                  <w:t>A</w:t>
                </w:r>
                <w:r w:rsidRPr="005643BE">
                  <w:rPr>
                    <w:rFonts w:ascii="Arial" w:hAnsi="Arial" w:cs="Arial"/>
                    <w:b/>
                    <w:color w:val="009CDD"/>
                  </w:rPr>
                  <w:t xml:space="preserve">nnual </w:t>
                </w:r>
                <w:r>
                  <w:rPr>
                    <w:rFonts w:ascii="Arial" w:hAnsi="Arial" w:cs="Arial"/>
                    <w:b/>
                    <w:color w:val="009CDD"/>
                  </w:rPr>
                  <w:t>R</w:t>
                </w:r>
                <w:r w:rsidRPr="005643BE">
                  <w:rPr>
                    <w:rFonts w:ascii="Arial" w:hAnsi="Arial" w:cs="Arial"/>
                    <w:b/>
                    <w:color w:val="009CDD"/>
                  </w:rPr>
                  <w:t>eport 201</w:t>
                </w:r>
                <w:r>
                  <w:rPr>
                    <w:rFonts w:ascii="Arial" w:hAnsi="Arial" w:cs="Arial"/>
                    <w:b/>
                    <w:color w:val="009CDD"/>
                  </w:rPr>
                  <w:t>1</w:t>
                </w:r>
                <w:r w:rsidRPr="005643BE">
                  <w:rPr>
                    <w:rFonts w:ascii="Arial" w:hAnsi="Arial" w:cs="Arial"/>
                    <w:b/>
                    <w:color w:val="009CDD"/>
                  </w:rPr>
                  <w:t xml:space="preserve"> – </w:t>
                </w:r>
                <w:r>
                  <w:rPr>
                    <w:rFonts w:ascii="Arial" w:hAnsi="Arial" w:cs="Arial"/>
                    <w:b/>
                    <w:color w:val="009CDD"/>
                  </w:rPr>
                  <w:t>Management</w:t>
                </w:r>
                <w:r w:rsidRPr="005643BE">
                  <w:rPr>
                    <w:rFonts w:ascii="Arial" w:hAnsi="Arial" w:cs="Arial"/>
                    <w:b/>
                    <w:color w:val="009CDD"/>
                  </w:rPr>
                  <w:t xml:space="preserve"> </w:t>
                </w:r>
                <w:r>
                  <w:rPr>
                    <w:rFonts w:ascii="Arial" w:hAnsi="Arial" w:cs="Arial"/>
                    <w:b/>
                    <w:color w:val="009CDD"/>
                  </w:rPr>
                  <w:t>R</w:t>
                </w:r>
                <w:r w:rsidRPr="005643BE">
                  <w:rPr>
                    <w:rFonts w:ascii="Arial" w:hAnsi="Arial" w:cs="Arial"/>
                    <w:b/>
                    <w:color w:val="009CDD"/>
                  </w:rPr>
                  <w:t>eport</w:t>
                </w:r>
              </w:p>
            </w:txbxContent>
          </v:textbox>
        </v:shape>
      </w:pict>
    </w:r>
    <w:r w:rsidR="0009548B">
      <w:tab/>
    </w:r>
    <w:r w:rsidR="0009548B">
      <w:tab/>
    </w:r>
    <w:r w:rsidR="0009548B">
      <w:tab/>
    </w:r>
    <w:r w:rsidR="0009548B">
      <w:tab/>
    </w:r>
    <w:r w:rsidR="0009548B">
      <w:tab/>
    </w:r>
    <w:r w:rsidR="0009548B">
      <w:tab/>
    </w:r>
    <w:r w:rsidR="0009548B">
      <w:tab/>
    </w:r>
    <w:r w:rsidR="0009548B">
      <w:rPr>
        <w:noProof/>
        <w:lang w:val="nl-NL" w:eastAsia="nl-NL"/>
      </w:rPr>
      <w:drawing>
        <wp:inline distT="0" distB="0" distL="0" distR="0">
          <wp:extent cx="741045" cy="441325"/>
          <wp:effectExtent l="19050" t="0" r="1905" b="0"/>
          <wp:docPr id="4" name="Picture 4" descr="st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logo3"/>
                  <pic:cNvPicPr>
                    <a:picLocks noChangeAspect="1" noChangeArrowheads="1"/>
                  </pic:cNvPicPr>
                </pic:nvPicPr>
                <pic:blipFill>
                  <a:blip r:embed="rId1"/>
                  <a:srcRect/>
                  <a:stretch>
                    <a:fillRect/>
                  </a:stretch>
                </pic:blipFill>
                <pic:spPr bwMode="auto">
                  <a:xfrm>
                    <a:off x="0" y="0"/>
                    <a:ext cx="741045" cy="441325"/>
                  </a:xfrm>
                  <a:prstGeom prst="rect">
                    <a:avLst/>
                  </a:prstGeom>
                  <a:noFill/>
                  <a:ln w="9525">
                    <a:noFill/>
                    <a:miter lim="800000"/>
                    <a:headEnd/>
                    <a:tailEnd/>
                  </a:ln>
                </pic:spPr>
              </pic:pic>
            </a:graphicData>
          </a:graphic>
        </wp:inline>
      </w:drawing>
    </w:r>
    <w:r w:rsidR="0009548B">
      <w:rPr>
        <w:noProof/>
        <w:lang w:val="nl-NL" w:eastAsia="nl-NL"/>
      </w:rPr>
      <w:drawing>
        <wp:inline distT="0" distB="0" distL="0" distR="0">
          <wp:extent cx="7299325" cy="4699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299325" cy="46990"/>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8B" w:rsidRDefault="007C2E65" w:rsidP="005643BE">
    <w:pPr>
      <w:pStyle w:val="Header"/>
      <w:tabs>
        <w:tab w:val="clear" w:pos="4703"/>
        <w:tab w:val="clear" w:pos="9406"/>
        <w:tab w:val="left" w:pos="0"/>
      </w:tabs>
      <w:ind w:left="-1418" w:right="-428"/>
      <w:jc w:val="right"/>
    </w:pPr>
    <w:r w:rsidRPr="007C2E65">
      <w:rPr>
        <w:noProof/>
      </w:rPr>
      <w:pict>
        <v:shapetype id="_x0000_t202" coordsize="21600,21600" o:spt="202" path="m,l,21600r21600,l21600,xe">
          <v:stroke joinstyle="miter"/>
          <v:path gradientshapeok="t" o:connecttype="rect"/>
        </v:shapetype>
        <v:shape id="_x0000_s1026" type="#_x0000_t202" style="position:absolute;left:0;text-align:left;margin-left:-48.45pt;margin-top:18.25pt;width:509.5pt;height:29.75pt;z-index:251655680" filled="f" stroked="f">
          <v:textbox style="mso-next-textbox:#_x0000_s1026">
            <w:txbxContent>
              <w:p w:rsidR="0009548B" w:rsidRPr="005643BE" w:rsidRDefault="0009548B">
                <w:pPr>
                  <w:rPr>
                    <w:rFonts w:ascii="Arial" w:hAnsi="Arial" w:cs="Arial"/>
                    <w:b/>
                    <w:color w:val="009CDD"/>
                  </w:rPr>
                </w:pPr>
                <w:r w:rsidRPr="005643BE">
                  <w:rPr>
                    <w:rFonts w:ascii="Arial" w:hAnsi="Arial" w:cs="Arial"/>
                    <w:b/>
                    <w:color w:val="009CDD"/>
                  </w:rPr>
                  <w:t>Semi-</w:t>
                </w:r>
                <w:r>
                  <w:rPr>
                    <w:rFonts w:ascii="Arial" w:hAnsi="Arial" w:cs="Arial"/>
                    <w:b/>
                    <w:color w:val="009CDD"/>
                  </w:rPr>
                  <w:t>A</w:t>
                </w:r>
                <w:r w:rsidRPr="005643BE">
                  <w:rPr>
                    <w:rFonts w:ascii="Arial" w:hAnsi="Arial" w:cs="Arial"/>
                    <w:b/>
                    <w:color w:val="009CDD"/>
                  </w:rPr>
                  <w:t xml:space="preserve">nnual </w:t>
                </w:r>
                <w:r>
                  <w:rPr>
                    <w:rFonts w:ascii="Arial" w:hAnsi="Arial" w:cs="Arial"/>
                    <w:b/>
                    <w:color w:val="009CDD"/>
                  </w:rPr>
                  <w:t>R</w:t>
                </w:r>
                <w:r w:rsidRPr="005643BE">
                  <w:rPr>
                    <w:rFonts w:ascii="Arial" w:hAnsi="Arial" w:cs="Arial"/>
                    <w:b/>
                    <w:color w:val="009CDD"/>
                  </w:rPr>
                  <w:t>eport 201</w:t>
                </w:r>
                <w:r>
                  <w:rPr>
                    <w:rFonts w:ascii="Arial" w:hAnsi="Arial" w:cs="Arial"/>
                    <w:b/>
                    <w:color w:val="009CDD"/>
                  </w:rPr>
                  <w:t>1</w:t>
                </w:r>
                <w:r w:rsidRPr="005643BE">
                  <w:rPr>
                    <w:rFonts w:ascii="Arial" w:hAnsi="Arial" w:cs="Arial"/>
                    <w:b/>
                    <w:color w:val="009CDD"/>
                  </w:rPr>
                  <w:t xml:space="preserve"> – </w:t>
                </w:r>
                <w:r>
                  <w:rPr>
                    <w:rFonts w:ascii="Arial" w:hAnsi="Arial" w:cs="Arial"/>
                    <w:b/>
                    <w:color w:val="009CDD"/>
                  </w:rPr>
                  <w:t>Semi-Annual Financial Statements</w:t>
                </w:r>
              </w:p>
            </w:txbxContent>
          </v:textbox>
        </v:shape>
      </w:pict>
    </w:r>
    <w:r w:rsidR="0009548B">
      <w:tab/>
    </w:r>
    <w:r w:rsidR="0009548B">
      <w:tab/>
    </w:r>
    <w:r w:rsidR="0009548B">
      <w:tab/>
    </w:r>
    <w:r w:rsidR="0009548B">
      <w:tab/>
    </w:r>
    <w:r w:rsidR="0009548B">
      <w:tab/>
    </w:r>
    <w:r w:rsidR="0009548B">
      <w:tab/>
    </w:r>
    <w:r w:rsidR="0009548B">
      <w:tab/>
    </w:r>
    <w:r w:rsidR="0009548B">
      <w:rPr>
        <w:noProof/>
        <w:lang w:val="nl-NL" w:eastAsia="nl-NL"/>
      </w:rPr>
      <w:drawing>
        <wp:inline distT="0" distB="0" distL="0" distR="0">
          <wp:extent cx="741045" cy="441325"/>
          <wp:effectExtent l="19050" t="0" r="1905" b="0"/>
          <wp:docPr id="9" name="Picture 4" descr="st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logo3"/>
                  <pic:cNvPicPr>
                    <a:picLocks noChangeAspect="1" noChangeArrowheads="1"/>
                  </pic:cNvPicPr>
                </pic:nvPicPr>
                <pic:blipFill>
                  <a:blip r:embed="rId1"/>
                  <a:srcRect/>
                  <a:stretch>
                    <a:fillRect/>
                  </a:stretch>
                </pic:blipFill>
                <pic:spPr bwMode="auto">
                  <a:xfrm>
                    <a:off x="0" y="0"/>
                    <a:ext cx="741045" cy="441325"/>
                  </a:xfrm>
                  <a:prstGeom prst="rect">
                    <a:avLst/>
                  </a:prstGeom>
                  <a:noFill/>
                  <a:ln w="9525">
                    <a:noFill/>
                    <a:miter lim="800000"/>
                    <a:headEnd/>
                    <a:tailEnd/>
                  </a:ln>
                </pic:spPr>
              </pic:pic>
            </a:graphicData>
          </a:graphic>
        </wp:inline>
      </w:drawing>
    </w:r>
    <w:r w:rsidR="0009548B">
      <w:rPr>
        <w:noProof/>
        <w:lang w:val="nl-NL" w:eastAsia="nl-NL"/>
      </w:rPr>
      <w:drawing>
        <wp:inline distT="0" distB="0" distL="0" distR="0">
          <wp:extent cx="7299325" cy="4699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299325" cy="46990"/>
                  </a:xfrm>
                  <a:prstGeom prst="rect">
                    <a:avLst/>
                  </a:prstGeom>
                  <a:noFill/>
                  <a:ln w="9525">
                    <a:noFill/>
                    <a:miter lim="800000"/>
                    <a:headEnd/>
                    <a:tailEnd/>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8B" w:rsidRDefault="007C2E65" w:rsidP="005643BE">
    <w:pPr>
      <w:pStyle w:val="Header"/>
      <w:tabs>
        <w:tab w:val="clear" w:pos="4703"/>
        <w:tab w:val="clear" w:pos="9406"/>
        <w:tab w:val="left" w:pos="0"/>
      </w:tabs>
      <w:ind w:left="-1418" w:right="-428"/>
      <w:jc w:val="right"/>
    </w:pPr>
    <w:r w:rsidRPr="007C2E65">
      <w:rPr>
        <w:noProof/>
      </w:rPr>
      <w:pict>
        <v:shapetype id="_x0000_t202" coordsize="21600,21600" o:spt="202" path="m,l,21600r21600,l21600,xe">
          <v:stroke joinstyle="miter"/>
          <v:path gradientshapeok="t" o:connecttype="rect"/>
        </v:shapetype>
        <v:shape id="_x0000_s1028" type="#_x0000_t202" style="position:absolute;left:0;text-align:left;margin-left:-2.45pt;margin-top:18.25pt;width:447.3pt;height:29.75pt;z-index:251657728" filled="f" stroked="f">
          <v:textbox style="mso-next-textbox:#_x0000_s1028">
            <w:txbxContent>
              <w:p w:rsidR="0009548B" w:rsidRPr="005643BE" w:rsidRDefault="0009548B">
                <w:pPr>
                  <w:rPr>
                    <w:rFonts w:ascii="Arial" w:hAnsi="Arial" w:cs="Arial"/>
                    <w:b/>
                    <w:color w:val="009CDD"/>
                  </w:rPr>
                </w:pPr>
                <w:r>
                  <w:rPr>
                    <w:rFonts w:ascii="Arial" w:hAnsi="Arial" w:cs="Arial"/>
                    <w:b/>
                    <w:color w:val="009CDD"/>
                  </w:rPr>
                  <w:t>Semi-A</w:t>
                </w:r>
                <w:r w:rsidRPr="005643BE">
                  <w:rPr>
                    <w:rFonts w:ascii="Arial" w:hAnsi="Arial" w:cs="Arial"/>
                    <w:b/>
                    <w:color w:val="009CDD"/>
                  </w:rPr>
                  <w:t xml:space="preserve">nnual </w:t>
                </w:r>
                <w:r>
                  <w:rPr>
                    <w:rFonts w:ascii="Arial" w:hAnsi="Arial" w:cs="Arial"/>
                    <w:b/>
                    <w:color w:val="009CDD"/>
                  </w:rPr>
                  <w:t>R</w:t>
                </w:r>
                <w:r w:rsidRPr="005643BE">
                  <w:rPr>
                    <w:rFonts w:ascii="Arial" w:hAnsi="Arial" w:cs="Arial"/>
                    <w:b/>
                    <w:color w:val="009CDD"/>
                  </w:rPr>
                  <w:t>eport 201</w:t>
                </w:r>
                <w:r>
                  <w:rPr>
                    <w:rFonts w:ascii="Arial" w:hAnsi="Arial" w:cs="Arial"/>
                    <w:b/>
                    <w:color w:val="009CDD"/>
                  </w:rPr>
                  <w:t>1</w:t>
                </w:r>
                <w:r w:rsidRPr="005643BE">
                  <w:rPr>
                    <w:rFonts w:ascii="Arial" w:hAnsi="Arial" w:cs="Arial"/>
                    <w:b/>
                    <w:color w:val="009CDD"/>
                  </w:rPr>
                  <w:t xml:space="preserve"> – </w:t>
                </w:r>
                <w:r>
                  <w:rPr>
                    <w:rFonts w:ascii="Arial" w:hAnsi="Arial" w:cs="Arial"/>
                    <w:b/>
                    <w:color w:val="009CDD"/>
                  </w:rPr>
                  <w:t>Interim Condensed Consolidated Financial Statements</w:t>
                </w:r>
              </w:p>
            </w:txbxContent>
          </v:textbox>
        </v:shape>
      </w:pict>
    </w:r>
    <w:r w:rsidR="0009548B">
      <w:tab/>
    </w:r>
    <w:r w:rsidR="0009548B">
      <w:tab/>
    </w:r>
    <w:r w:rsidR="0009548B">
      <w:tab/>
    </w:r>
    <w:r w:rsidR="0009548B">
      <w:tab/>
    </w:r>
    <w:r w:rsidR="0009548B">
      <w:tab/>
    </w:r>
    <w:r w:rsidR="0009548B">
      <w:tab/>
    </w:r>
    <w:r w:rsidR="0009548B">
      <w:tab/>
    </w:r>
    <w:r w:rsidR="0009548B">
      <w:rPr>
        <w:noProof/>
        <w:lang w:val="nl-NL" w:eastAsia="nl-NL"/>
      </w:rPr>
      <w:drawing>
        <wp:inline distT="0" distB="0" distL="0" distR="0">
          <wp:extent cx="741045" cy="441325"/>
          <wp:effectExtent l="19050" t="0" r="1905" b="0"/>
          <wp:docPr id="14" name="Picture 4" descr="st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logo3"/>
                  <pic:cNvPicPr>
                    <a:picLocks noChangeAspect="1" noChangeArrowheads="1"/>
                  </pic:cNvPicPr>
                </pic:nvPicPr>
                <pic:blipFill>
                  <a:blip r:embed="rId1"/>
                  <a:srcRect/>
                  <a:stretch>
                    <a:fillRect/>
                  </a:stretch>
                </pic:blipFill>
                <pic:spPr bwMode="auto">
                  <a:xfrm>
                    <a:off x="0" y="0"/>
                    <a:ext cx="741045" cy="441325"/>
                  </a:xfrm>
                  <a:prstGeom prst="rect">
                    <a:avLst/>
                  </a:prstGeom>
                  <a:noFill/>
                  <a:ln w="9525">
                    <a:noFill/>
                    <a:miter lim="800000"/>
                    <a:headEnd/>
                    <a:tailEnd/>
                  </a:ln>
                </pic:spPr>
              </pic:pic>
            </a:graphicData>
          </a:graphic>
        </wp:inline>
      </w:drawing>
    </w:r>
    <w:r w:rsidR="0009548B">
      <w:rPr>
        <w:noProof/>
        <w:lang w:val="nl-NL" w:eastAsia="nl-NL"/>
      </w:rPr>
      <w:drawing>
        <wp:inline distT="0" distB="0" distL="0" distR="0">
          <wp:extent cx="9241536" cy="59494"/>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245558" cy="59520"/>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8B" w:rsidRDefault="007C2E65" w:rsidP="005643BE">
    <w:pPr>
      <w:pStyle w:val="Header"/>
      <w:tabs>
        <w:tab w:val="clear" w:pos="4703"/>
        <w:tab w:val="clear" w:pos="9406"/>
        <w:tab w:val="left" w:pos="0"/>
      </w:tabs>
      <w:ind w:left="-1418" w:right="-428"/>
      <w:jc w:val="right"/>
    </w:pPr>
    <w:r w:rsidRPr="007C2E65">
      <w:rPr>
        <w:noProof/>
      </w:rPr>
      <w:pict>
        <v:shapetype id="_x0000_t202" coordsize="21600,21600" o:spt="202" path="m,l,21600r21600,l21600,xe">
          <v:stroke joinstyle="miter"/>
          <v:path gradientshapeok="t" o:connecttype="rect"/>
        </v:shapetype>
        <v:shape id="_x0000_s1039" type="#_x0000_t202" style="position:absolute;left:0;text-align:left;margin-left:-2.45pt;margin-top:18.25pt;width:447.3pt;height:29.75pt;z-index:251662848" filled="f" stroked="f">
          <v:textbox style="mso-next-textbox:#_x0000_s1039">
            <w:txbxContent>
              <w:p w:rsidR="0009548B" w:rsidRPr="005643BE" w:rsidRDefault="0009548B">
                <w:pPr>
                  <w:rPr>
                    <w:rFonts w:ascii="Arial" w:hAnsi="Arial" w:cs="Arial"/>
                    <w:b/>
                    <w:color w:val="009CDD"/>
                  </w:rPr>
                </w:pPr>
                <w:r>
                  <w:rPr>
                    <w:rFonts w:ascii="Arial" w:hAnsi="Arial" w:cs="Arial"/>
                    <w:b/>
                    <w:color w:val="009CDD"/>
                  </w:rPr>
                  <w:t>Semi-A</w:t>
                </w:r>
                <w:r w:rsidRPr="005643BE">
                  <w:rPr>
                    <w:rFonts w:ascii="Arial" w:hAnsi="Arial" w:cs="Arial"/>
                    <w:b/>
                    <w:color w:val="009CDD"/>
                  </w:rPr>
                  <w:t xml:space="preserve">nnual </w:t>
                </w:r>
                <w:r>
                  <w:rPr>
                    <w:rFonts w:ascii="Arial" w:hAnsi="Arial" w:cs="Arial"/>
                    <w:b/>
                    <w:color w:val="009CDD"/>
                  </w:rPr>
                  <w:t>R</w:t>
                </w:r>
                <w:r w:rsidRPr="005643BE">
                  <w:rPr>
                    <w:rFonts w:ascii="Arial" w:hAnsi="Arial" w:cs="Arial"/>
                    <w:b/>
                    <w:color w:val="009CDD"/>
                  </w:rPr>
                  <w:t>eport 201</w:t>
                </w:r>
                <w:r>
                  <w:rPr>
                    <w:rFonts w:ascii="Arial" w:hAnsi="Arial" w:cs="Arial"/>
                    <w:b/>
                    <w:color w:val="009CDD"/>
                  </w:rPr>
                  <w:t>1</w:t>
                </w:r>
                <w:r w:rsidRPr="005643BE">
                  <w:rPr>
                    <w:rFonts w:ascii="Arial" w:hAnsi="Arial" w:cs="Arial"/>
                    <w:b/>
                    <w:color w:val="009CDD"/>
                  </w:rPr>
                  <w:t xml:space="preserve"> – </w:t>
                </w:r>
                <w:r>
                  <w:rPr>
                    <w:rFonts w:ascii="Arial" w:hAnsi="Arial" w:cs="Arial"/>
                    <w:b/>
                    <w:color w:val="009CDD"/>
                  </w:rPr>
                  <w:t>Interim Condensed Consolidated Financial Statements</w:t>
                </w:r>
              </w:p>
            </w:txbxContent>
          </v:textbox>
        </v:shape>
      </w:pict>
    </w:r>
    <w:r w:rsidR="0009548B">
      <w:tab/>
    </w:r>
    <w:r w:rsidR="0009548B">
      <w:tab/>
    </w:r>
    <w:r w:rsidR="0009548B">
      <w:tab/>
    </w:r>
    <w:r w:rsidR="0009548B">
      <w:tab/>
    </w:r>
    <w:r w:rsidR="0009548B">
      <w:tab/>
    </w:r>
    <w:r w:rsidR="0009548B">
      <w:tab/>
    </w:r>
    <w:r w:rsidR="0009548B">
      <w:tab/>
    </w:r>
    <w:r w:rsidR="0009548B">
      <w:rPr>
        <w:noProof/>
        <w:lang w:val="nl-NL" w:eastAsia="nl-NL"/>
      </w:rPr>
      <w:drawing>
        <wp:inline distT="0" distB="0" distL="0" distR="0">
          <wp:extent cx="741045" cy="441325"/>
          <wp:effectExtent l="19050" t="0" r="1905" b="0"/>
          <wp:docPr id="8" name="Picture 4" descr="st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logo3"/>
                  <pic:cNvPicPr>
                    <a:picLocks noChangeAspect="1" noChangeArrowheads="1"/>
                  </pic:cNvPicPr>
                </pic:nvPicPr>
                <pic:blipFill>
                  <a:blip r:embed="rId1"/>
                  <a:srcRect/>
                  <a:stretch>
                    <a:fillRect/>
                  </a:stretch>
                </pic:blipFill>
                <pic:spPr bwMode="auto">
                  <a:xfrm>
                    <a:off x="0" y="0"/>
                    <a:ext cx="741045" cy="441325"/>
                  </a:xfrm>
                  <a:prstGeom prst="rect">
                    <a:avLst/>
                  </a:prstGeom>
                  <a:noFill/>
                  <a:ln w="9525">
                    <a:noFill/>
                    <a:miter lim="800000"/>
                    <a:headEnd/>
                    <a:tailEnd/>
                  </a:ln>
                </pic:spPr>
              </pic:pic>
            </a:graphicData>
          </a:graphic>
        </wp:inline>
      </w:drawing>
    </w:r>
    <w:r w:rsidR="0009548B">
      <w:rPr>
        <w:noProof/>
        <w:lang w:val="nl-NL" w:eastAsia="nl-NL"/>
      </w:rPr>
      <w:drawing>
        <wp:inline distT="0" distB="0" distL="0" distR="0">
          <wp:extent cx="9241536" cy="59494"/>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245558" cy="59520"/>
                  </a:xfrm>
                  <a:prstGeom prst="rect">
                    <a:avLst/>
                  </a:prstGeom>
                  <a:noFill/>
                  <a:ln w="9525">
                    <a:noFill/>
                    <a:miter lim="800000"/>
                    <a:headEnd/>
                    <a:tailEnd/>
                  </a:ln>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8B" w:rsidRDefault="007C2E65" w:rsidP="005643BE">
    <w:pPr>
      <w:pStyle w:val="Header"/>
      <w:tabs>
        <w:tab w:val="clear" w:pos="4703"/>
        <w:tab w:val="clear" w:pos="9406"/>
        <w:tab w:val="left" w:pos="0"/>
      </w:tabs>
      <w:ind w:left="-1418" w:right="-428"/>
      <w:jc w:val="right"/>
    </w:pPr>
    <w:r w:rsidRPr="007C2E65">
      <w:rPr>
        <w:noProof/>
      </w:rPr>
      <w:pict>
        <v:shapetype id="_x0000_t202" coordsize="21600,21600" o:spt="202" path="m,l,21600r21600,l21600,xe">
          <v:stroke joinstyle="miter"/>
          <v:path gradientshapeok="t" o:connecttype="rect"/>
        </v:shapetype>
        <v:shape id="_x0000_s1040" type="#_x0000_t202" style="position:absolute;left:0;text-align:left;margin-left:-2.45pt;margin-top:10.75pt;width:447.3pt;height:43.2pt;z-index:251664896" filled="f" stroked="f">
          <v:textbox style="mso-next-textbox:#_x0000_s1040">
            <w:txbxContent>
              <w:p w:rsidR="0009548B" w:rsidRPr="005643BE" w:rsidRDefault="0009548B">
                <w:pPr>
                  <w:rPr>
                    <w:rFonts w:ascii="Arial" w:hAnsi="Arial" w:cs="Arial"/>
                    <w:b/>
                    <w:color w:val="009CDD"/>
                  </w:rPr>
                </w:pPr>
                <w:r>
                  <w:rPr>
                    <w:rFonts w:ascii="Arial" w:hAnsi="Arial" w:cs="Arial"/>
                    <w:b/>
                    <w:color w:val="009CDD"/>
                  </w:rPr>
                  <w:t>Semi-A</w:t>
                </w:r>
                <w:r w:rsidRPr="005643BE">
                  <w:rPr>
                    <w:rFonts w:ascii="Arial" w:hAnsi="Arial" w:cs="Arial"/>
                    <w:b/>
                    <w:color w:val="009CDD"/>
                  </w:rPr>
                  <w:t xml:space="preserve">nnual </w:t>
                </w:r>
                <w:r>
                  <w:rPr>
                    <w:rFonts w:ascii="Arial" w:hAnsi="Arial" w:cs="Arial"/>
                    <w:b/>
                    <w:color w:val="009CDD"/>
                  </w:rPr>
                  <w:t>R</w:t>
                </w:r>
                <w:r w:rsidRPr="005643BE">
                  <w:rPr>
                    <w:rFonts w:ascii="Arial" w:hAnsi="Arial" w:cs="Arial"/>
                    <w:b/>
                    <w:color w:val="009CDD"/>
                  </w:rPr>
                  <w:t>eport 201</w:t>
                </w:r>
                <w:r>
                  <w:rPr>
                    <w:rFonts w:ascii="Arial" w:hAnsi="Arial" w:cs="Arial"/>
                    <w:b/>
                    <w:color w:val="009CDD"/>
                  </w:rPr>
                  <w:t>1</w:t>
                </w:r>
                <w:r w:rsidRPr="005643BE">
                  <w:rPr>
                    <w:rFonts w:ascii="Arial" w:hAnsi="Arial" w:cs="Arial"/>
                    <w:b/>
                    <w:color w:val="009CDD"/>
                  </w:rPr>
                  <w:t xml:space="preserve"> – </w:t>
                </w:r>
                <w:r>
                  <w:rPr>
                    <w:rFonts w:ascii="Arial" w:hAnsi="Arial" w:cs="Arial"/>
                    <w:b/>
                    <w:color w:val="009CDD"/>
                  </w:rPr>
                  <w:t>Notes to the Semi-Annual Financial Statements</w:t>
                </w:r>
              </w:p>
            </w:txbxContent>
          </v:textbox>
        </v:shape>
      </w:pict>
    </w:r>
    <w:r w:rsidR="0009548B">
      <w:tab/>
    </w:r>
    <w:r w:rsidR="0009548B">
      <w:tab/>
    </w:r>
    <w:r w:rsidR="0009548B">
      <w:tab/>
    </w:r>
    <w:r w:rsidR="0009548B">
      <w:tab/>
    </w:r>
    <w:r w:rsidR="0009548B">
      <w:tab/>
    </w:r>
    <w:r w:rsidR="0009548B">
      <w:tab/>
    </w:r>
    <w:r w:rsidR="0009548B">
      <w:tab/>
    </w:r>
    <w:r w:rsidR="0009548B">
      <w:rPr>
        <w:noProof/>
        <w:lang w:val="nl-NL" w:eastAsia="nl-NL"/>
      </w:rPr>
      <w:drawing>
        <wp:inline distT="0" distB="0" distL="0" distR="0">
          <wp:extent cx="741045" cy="441325"/>
          <wp:effectExtent l="19050" t="0" r="1905" b="0"/>
          <wp:docPr id="23" name="Picture 4" descr="st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logo3"/>
                  <pic:cNvPicPr>
                    <a:picLocks noChangeAspect="1" noChangeArrowheads="1"/>
                  </pic:cNvPicPr>
                </pic:nvPicPr>
                <pic:blipFill>
                  <a:blip r:embed="rId1"/>
                  <a:srcRect/>
                  <a:stretch>
                    <a:fillRect/>
                  </a:stretch>
                </pic:blipFill>
                <pic:spPr bwMode="auto">
                  <a:xfrm>
                    <a:off x="0" y="0"/>
                    <a:ext cx="741045" cy="441325"/>
                  </a:xfrm>
                  <a:prstGeom prst="rect">
                    <a:avLst/>
                  </a:prstGeom>
                  <a:noFill/>
                  <a:ln w="9525">
                    <a:noFill/>
                    <a:miter lim="800000"/>
                    <a:headEnd/>
                    <a:tailEnd/>
                  </a:ln>
                </pic:spPr>
              </pic:pic>
            </a:graphicData>
          </a:graphic>
        </wp:inline>
      </w:drawing>
    </w:r>
    <w:r w:rsidR="0009548B">
      <w:rPr>
        <w:noProof/>
        <w:lang w:val="nl-NL" w:eastAsia="nl-NL"/>
      </w:rPr>
      <w:drawing>
        <wp:inline distT="0" distB="0" distL="0" distR="0">
          <wp:extent cx="9241536" cy="59494"/>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245558" cy="59520"/>
                  </a:xfrm>
                  <a:prstGeom prst="rect">
                    <a:avLst/>
                  </a:prstGeom>
                  <a:noFill/>
                  <a:ln w="9525">
                    <a:noFill/>
                    <a:miter lim="800000"/>
                    <a:headEnd/>
                    <a:tailEnd/>
                  </a:ln>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8B" w:rsidRDefault="007C2E65" w:rsidP="005643BE">
    <w:pPr>
      <w:pStyle w:val="Header"/>
      <w:tabs>
        <w:tab w:val="clear" w:pos="4703"/>
        <w:tab w:val="clear" w:pos="9406"/>
        <w:tab w:val="left" w:pos="0"/>
      </w:tabs>
      <w:ind w:left="-1418" w:right="-428"/>
      <w:jc w:val="right"/>
    </w:pPr>
    <w:r w:rsidRPr="007C2E65">
      <w:rPr>
        <w:noProof/>
      </w:rPr>
      <w:pict>
        <v:shapetype id="_x0000_t202" coordsize="21600,21600" o:spt="202" path="m,l,21600r21600,l21600,xe">
          <v:stroke joinstyle="miter"/>
          <v:path gradientshapeok="t" o:connecttype="rect"/>
        </v:shapetype>
        <v:shape id="_x0000_s1030" type="#_x0000_t202" style="position:absolute;left:0;text-align:left;margin-left:-2.45pt;margin-top:18.25pt;width:447.3pt;height:29.75pt;z-index:251658752" filled="f" stroked="f">
          <v:textbox style="mso-next-textbox:#_x0000_s1030">
            <w:txbxContent>
              <w:p w:rsidR="0009548B" w:rsidRPr="005643BE" w:rsidRDefault="0009548B">
                <w:pPr>
                  <w:rPr>
                    <w:rFonts w:ascii="Arial" w:hAnsi="Arial" w:cs="Arial"/>
                    <w:b/>
                    <w:color w:val="009CDD"/>
                  </w:rPr>
                </w:pPr>
                <w:r w:rsidRPr="005643BE">
                  <w:rPr>
                    <w:rFonts w:ascii="Arial" w:hAnsi="Arial" w:cs="Arial"/>
                    <w:b/>
                    <w:color w:val="009CDD"/>
                  </w:rPr>
                  <w:t>Semi-annual report 201</w:t>
                </w:r>
                <w:r>
                  <w:rPr>
                    <w:rFonts w:ascii="Arial" w:hAnsi="Arial" w:cs="Arial"/>
                    <w:b/>
                    <w:color w:val="009CDD"/>
                  </w:rPr>
                  <w:t>1</w:t>
                </w:r>
                <w:r w:rsidRPr="005643BE">
                  <w:rPr>
                    <w:rFonts w:ascii="Arial" w:hAnsi="Arial" w:cs="Arial"/>
                    <w:b/>
                    <w:color w:val="009CDD"/>
                  </w:rPr>
                  <w:t xml:space="preserve"> – </w:t>
                </w:r>
                <w:r>
                  <w:rPr>
                    <w:rFonts w:ascii="Arial" w:hAnsi="Arial" w:cs="Arial"/>
                    <w:b/>
                    <w:color w:val="009CDD"/>
                  </w:rPr>
                  <w:t>Notes to the Semi-Annual Financial Statements</w:t>
                </w:r>
              </w:p>
            </w:txbxContent>
          </v:textbox>
        </v:shape>
      </w:pict>
    </w:r>
    <w:r w:rsidR="0009548B">
      <w:tab/>
    </w:r>
    <w:r w:rsidR="0009548B">
      <w:tab/>
    </w:r>
    <w:r w:rsidR="0009548B">
      <w:tab/>
    </w:r>
    <w:r w:rsidR="0009548B">
      <w:tab/>
    </w:r>
    <w:r w:rsidR="0009548B">
      <w:tab/>
    </w:r>
    <w:r w:rsidR="0009548B">
      <w:tab/>
    </w:r>
    <w:r w:rsidR="0009548B">
      <w:tab/>
    </w:r>
    <w:r w:rsidR="0009548B">
      <w:rPr>
        <w:noProof/>
        <w:lang w:val="nl-NL" w:eastAsia="nl-NL"/>
      </w:rPr>
      <w:drawing>
        <wp:inline distT="0" distB="0" distL="0" distR="0">
          <wp:extent cx="741045" cy="441325"/>
          <wp:effectExtent l="19050" t="0" r="1905" b="0"/>
          <wp:docPr id="18" name="Picture 4" descr="st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logo3"/>
                  <pic:cNvPicPr>
                    <a:picLocks noChangeAspect="1" noChangeArrowheads="1"/>
                  </pic:cNvPicPr>
                </pic:nvPicPr>
                <pic:blipFill>
                  <a:blip r:embed="rId1"/>
                  <a:srcRect/>
                  <a:stretch>
                    <a:fillRect/>
                  </a:stretch>
                </pic:blipFill>
                <pic:spPr bwMode="auto">
                  <a:xfrm>
                    <a:off x="0" y="0"/>
                    <a:ext cx="741045" cy="441325"/>
                  </a:xfrm>
                  <a:prstGeom prst="rect">
                    <a:avLst/>
                  </a:prstGeom>
                  <a:noFill/>
                  <a:ln w="9525">
                    <a:noFill/>
                    <a:miter lim="800000"/>
                    <a:headEnd/>
                    <a:tailEnd/>
                  </a:ln>
                </pic:spPr>
              </pic:pic>
            </a:graphicData>
          </a:graphic>
        </wp:inline>
      </w:drawing>
    </w:r>
    <w:r w:rsidR="0009548B">
      <w:rPr>
        <w:noProof/>
        <w:lang w:val="nl-NL" w:eastAsia="nl-NL"/>
      </w:rPr>
      <w:drawing>
        <wp:inline distT="0" distB="0" distL="0" distR="0">
          <wp:extent cx="9241536" cy="59494"/>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245558" cy="59520"/>
                  </a:xfrm>
                  <a:prstGeom prst="rect">
                    <a:avLst/>
                  </a:prstGeom>
                  <a:noFill/>
                  <a:ln w="9525">
                    <a:noFill/>
                    <a:miter lim="800000"/>
                    <a:headEnd/>
                    <a:tailEnd/>
                  </a:ln>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8B" w:rsidRDefault="007C2E65" w:rsidP="005643BE">
    <w:pPr>
      <w:pStyle w:val="Header"/>
      <w:tabs>
        <w:tab w:val="clear" w:pos="4703"/>
        <w:tab w:val="clear" w:pos="9406"/>
        <w:tab w:val="left" w:pos="0"/>
      </w:tabs>
      <w:ind w:left="-1418" w:right="-428"/>
      <w:jc w:val="right"/>
    </w:pPr>
    <w:r w:rsidRPr="007C2E65">
      <w:rPr>
        <w:noProof/>
      </w:rPr>
      <w:pict>
        <v:shapetype id="_x0000_t202" coordsize="21600,21600" o:spt="202" path="m,l,21600r21600,l21600,xe">
          <v:stroke joinstyle="miter"/>
          <v:path gradientshapeok="t" o:connecttype="rect"/>
        </v:shapetype>
        <v:shape id="_x0000_s1049" type="#_x0000_t202" style="position:absolute;left:0;text-align:left;margin-left:-2.45pt;margin-top:18.25pt;width:447.3pt;height:29.75pt;z-index:251666944" filled="f" stroked="f">
          <v:textbox style="mso-next-textbox:#_x0000_s1049">
            <w:txbxContent>
              <w:p w:rsidR="0009548B" w:rsidRPr="005643BE" w:rsidRDefault="0009548B">
                <w:pPr>
                  <w:rPr>
                    <w:rFonts w:ascii="Arial" w:hAnsi="Arial" w:cs="Arial"/>
                    <w:b/>
                    <w:color w:val="009CDD"/>
                  </w:rPr>
                </w:pPr>
                <w:r w:rsidRPr="005643BE">
                  <w:rPr>
                    <w:rFonts w:ascii="Arial" w:hAnsi="Arial" w:cs="Arial"/>
                    <w:b/>
                    <w:color w:val="009CDD"/>
                  </w:rPr>
                  <w:t>Semi-annual report 201</w:t>
                </w:r>
                <w:r>
                  <w:rPr>
                    <w:rFonts w:ascii="Arial" w:hAnsi="Arial" w:cs="Arial"/>
                    <w:b/>
                    <w:color w:val="009CDD"/>
                  </w:rPr>
                  <w:t>1</w:t>
                </w:r>
                <w:r w:rsidRPr="005643BE">
                  <w:rPr>
                    <w:rFonts w:ascii="Arial" w:hAnsi="Arial" w:cs="Arial"/>
                    <w:b/>
                    <w:color w:val="009CDD"/>
                  </w:rPr>
                  <w:t xml:space="preserve"> – </w:t>
                </w:r>
                <w:r>
                  <w:rPr>
                    <w:rFonts w:ascii="Arial" w:hAnsi="Arial" w:cs="Arial"/>
                    <w:b/>
                    <w:color w:val="009CDD"/>
                  </w:rPr>
                  <w:t>Sole Member of the Managing Board’s statement</w:t>
                </w:r>
              </w:p>
            </w:txbxContent>
          </v:textbox>
        </v:shape>
      </w:pict>
    </w:r>
    <w:r w:rsidR="0009548B">
      <w:tab/>
    </w:r>
    <w:r w:rsidR="0009548B">
      <w:tab/>
    </w:r>
    <w:r w:rsidR="0009548B">
      <w:tab/>
    </w:r>
    <w:r w:rsidR="0009548B">
      <w:tab/>
    </w:r>
    <w:r w:rsidR="0009548B">
      <w:tab/>
    </w:r>
    <w:r w:rsidR="0009548B">
      <w:tab/>
    </w:r>
    <w:r w:rsidR="0009548B">
      <w:tab/>
    </w:r>
    <w:r w:rsidR="0009548B">
      <w:rPr>
        <w:noProof/>
        <w:lang w:val="nl-NL" w:eastAsia="nl-NL"/>
      </w:rPr>
      <w:drawing>
        <wp:inline distT="0" distB="0" distL="0" distR="0">
          <wp:extent cx="741045" cy="441325"/>
          <wp:effectExtent l="19050" t="0" r="1905" b="0"/>
          <wp:docPr id="11" name="Picture 4" descr="st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logo3"/>
                  <pic:cNvPicPr>
                    <a:picLocks noChangeAspect="1" noChangeArrowheads="1"/>
                  </pic:cNvPicPr>
                </pic:nvPicPr>
                <pic:blipFill>
                  <a:blip r:embed="rId1"/>
                  <a:srcRect/>
                  <a:stretch>
                    <a:fillRect/>
                  </a:stretch>
                </pic:blipFill>
                <pic:spPr bwMode="auto">
                  <a:xfrm>
                    <a:off x="0" y="0"/>
                    <a:ext cx="741045" cy="441325"/>
                  </a:xfrm>
                  <a:prstGeom prst="rect">
                    <a:avLst/>
                  </a:prstGeom>
                  <a:noFill/>
                  <a:ln w="9525">
                    <a:noFill/>
                    <a:miter lim="800000"/>
                    <a:headEnd/>
                    <a:tailEnd/>
                  </a:ln>
                </pic:spPr>
              </pic:pic>
            </a:graphicData>
          </a:graphic>
        </wp:inline>
      </w:drawing>
    </w:r>
    <w:r w:rsidR="0009548B">
      <w:rPr>
        <w:noProof/>
        <w:lang w:val="nl-NL" w:eastAsia="nl-NL"/>
      </w:rPr>
      <w:drawing>
        <wp:inline distT="0" distB="0" distL="0" distR="0">
          <wp:extent cx="9241536" cy="59494"/>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245558" cy="595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667"/>
    <w:multiLevelType w:val="hybridMultilevel"/>
    <w:tmpl w:val="C9DC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321E4"/>
    <w:multiLevelType w:val="multilevel"/>
    <w:tmpl w:val="3154DFB0"/>
    <w:styleLink w:val="THQ-Bullet"/>
    <w:lvl w:ilvl="0">
      <w:start w:val="1"/>
      <w:numFmt w:val="bullet"/>
      <w:lvlText w:val=""/>
      <w:lvlJc w:val="left"/>
      <w:pPr>
        <w:tabs>
          <w:tab w:val="num" w:pos="720"/>
        </w:tabs>
        <w:ind w:left="72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6F231B"/>
    <w:multiLevelType w:val="hybridMultilevel"/>
    <w:tmpl w:val="D796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5553E"/>
    <w:multiLevelType w:val="hybridMultilevel"/>
    <w:tmpl w:val="37EE37DA"/>
    <w:lvl w:ilvl="0" w:tplc="63DA3D60">
      <w:start w:val="1"/>
      <w:numFmt w:val="bullet"/>
      <w:pStyle w:val="Bulletclear"/>
      <w:lvlText w:val="o"/>
      <w:lvlJc w:val="left"/>
      <w:pPr>
        <w:tabs>
          <w:tab w:val="num" w:pos="2160"/>
        </w:tabs>
        <w:ind w:left="2160" w:hanging="720"/>
      </w:pPr>
      <w:rPr>
        <w:rFonts w:ascii="Courier New" w:hAnsi="Courier New"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8467F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0D4549C6"/>
    <w:multiLevelType w:val="multilevel"/>
    <w:tmpl w:val="D70EED26"/>
    <w:lvl w:ilvl="0">
      <w:start w:val="1"/>
      <w:numFmt w:val="lowerLetter"/>
      <w:pStyle w:val="aNumberinglist"/>
      <w:lvlText w:val="%1."/>
      <w:lvlJc w:val="left"/>
      <w:pPr>
        <w:tabs>
          <w:tab w:val="num" w:pos="567"/>
        </w:tabs>
        <w:ind w:left="1134" w:hanging="567"/>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483873"/>
    <w:multiLevelType w:val="hybridMultilevel"/>
    <w:tmpl w:val="91BA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A3E8D"/>
    <w:multiLevelType w:val="hybridMultilevel"/>
    <w:tmpl w:val="F0429BEA"/>
    <w:lvl w:ilvl="0" w:tplc="839C95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2288B"/>
    <w:multiLevelType w:val="hybridMultilevel"/>
    <w:tmpl w:val="00CCF382"/>
    <w:lvl w:ilvl="0" w:tplc="45568AA2">
      <w:start w:val="1"/>
      <w:numFmt w:val="lowerLetter"/>
      <w:pStyle w:val="THQ-Title4"/>
      <w:lvlText w:val="%1)"/>
      <w:lvlJc w:val="left"/>
      <w:pPr>
        <w:tabs>
          <w:tab w:val="num" w:pos="720"/>
        </w:tabs>
        <w:ind w:left="720" w:hanging="360"/>
      </w:pPr>
    </w:lvl>
    <w:lvl w:ilvl="1" w:tplc="E46A3244">
      <w:start w:val="1"/>
      <w:numFmt w:val="decimal"/>
      <w:lvlText w:val="%2."/>
      <w:lvlJc w:val="left"/>
      <w:pPr>
        <w:tabs>
          <w:tab w:val="num" w:pos="1440"/>
        </w:tabs>
        <w:ind w:left="1440" w:hanging="360"/>
      </w:pPr>
    </w:lvl>
    <w:lvl w:ilvl="2" w:tplc="BE902588">
      <w:start w:val="1"/>
      <w:numFmt w:val="decimal"/>
      <w:lvlText w:val="%3."/>
      <w:lvlJc w:val="left"/>
      <w:pPr>
        <w:tabs>
          <w:tab w:val="num" w:pos="2160"/>
        </w:tabs>
        <w:ind w:left="2160" w:hanging="360"/>
      </w:pPr>
    </w:lvl>
    <w:lvl w:ilvl="3" w:tplc="3234578E">
      <w:start w:val="1"/>
      <w:numFmt w:val="decimal"/>
      <w:lvlText w:val="%4."/>
      <w:lvlJc w:val="left"/>
      <w:pPr>
        <w:tabs>
          <w:tab w:val="num" w:pos="2880"/>
        </w:tabs>
        <w:ind w:left="2880" w:hanging="360"/>
      </w:pPr>
    </w:lvl>
    <w:lvl w:ilvl="4" w:tplc="502E5D9C">
      <w:start w:val="1"/>
      <w:numFmt w:val="decimal"/>
      <w:lvlText w:val="%5."/>
      <w:lvlJc w:val="left"/>
      <w:pPr>
        <w:tabs>
          <w:tab w:val="num" w:pos="3600"/>
        </w:tabs>
        <w:ind w:left="3600" w:hanging="360"/>
      </w:pPr>
    </w:lvl>
    <w:lvl w:ilvl="5" w:tplc="BDC6E736">
      <w:start w:val="1"/>
      <w:numFmt w:val="decimal"/>
      <w:lvlText w:val="%6."/>
      <w:lvlJc w:val="left"/>
      <w:pPr>
        <w:tabs>
          <w:tab w:val="num" w:pos="4320"/>
        </w:tabs>
        <w:ind w:left="4320" w:hanging="360"/>
      </w:pPr>
    </w:lvl>
    <w:lvl w:ilvl="6" w:tplc="B47EFD1C">
      <w:start w:val="1"/>
      <w:numFmt w:val="decimal"/>
      <w:lvlText w:val="%7."/>
      <w:lvlJc w:val="left"/>
      <w:pPr>
        <w:tabs>
          <w:tab w:val="num" w:pos="5040"/>
        </w:tabs>
        <w:ind w:left="5040" w:hanging="360"/>
      </w:pPr>
    </w:lvl>
    <w:lvl w:ilvl="7" w:tplc="D87242AC">
      <w:start w:val="1"/>
      <w:numFmt w:val="decimal"/>
      <w:lvlText w:val="%8."/>
      <w:lvlJc w:val="left"/>
      <w:pPr>
        <w:tabs>
          <w:tab w:val="num" w:pos="5760"/>
        </w:tabs>
        <w:ind w:left="5760" w:hanging="360"/>
      </w:pPr>
    </w:lvl>
    <w:lvl w:ilvl="8" w:tplc="2CD2FE42">
      <w:start w:val="1"/>
      <w:numFmt w:val="decimal"/>
      <w:lvlText w:val="%9."/>
      <w:lvlJc w:val="left"/>
      <w:pPr>
        <w:tabs>
          <w:tab w:val="num" w:pos="6480"/>
        </w:tabs>
        <w:ind w:left="6480" w:hanging="360"/>
      </w:pPr>
    </w:lvl>
  </w:abstractNum>
  <w:abstractNum w:abstractNumId="9">
    <w:nsid w:val="20005D2D"/>
    <w:multiLevelType w:val="hybridMultilevel"/>
    <w:tmpl w:val="ACC45C66"/>
    <w:lvl w:ilvl="0" w:tplc="04090013">
      <w:start w:val="1"/>
      <w:numFmt w:val="bullet"/>
      <w:pStyle w:val="BulletedList2"/>
      <w:lvlText w:val="-"/>
      <w:lvlJc w:val="left"/>
      <w:pPr>
        <w:tabs>
          <w:tab w:val="num" w:pos="709"/>
        </w:tabs>
        <w:ind w:left="1418" w:hanging="709"/>
      </w:pPr>
      <w:rPr>
        <w:rFonts w:ascii="Courier New" w:hAnsi="Courier New"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5EF7C43"/>
    <w:multiLevelType w:val="hybridMultilevel"/>
    <w:tmpl w:val="D1F412D6"/>
    <w:lvl w:ilvl="0" w:tplc="04090013">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2B5E71DC"/>
    <w:multiLevelType w:val="hybridMultilevel"/>
    <w:tmpl w:val="F07674E0"/>
    <w:lvl w:ilvl="0" w:tplc="D99E1EAC">
      <w:start w:val="1"/>
      <w:numFmt w:val="bullet"/>
      <w:pStyle w:val="Hyphenlist"/>
      <w:lvlText w:val="­"/>
      <w:lvlJc w:val="left"/>
      <w:pPr>
        <w:tabs>
          <w:tab w:val="num" w:pos="864"/>
        </w:tabs>
        <w:ind w:left="792" w:hanging="360"/>
      </w:pPr>
      <w:rPr>
        <w:rFonts w:ascii="Courier New" w:hAnsi="Courier New" w:cs="Times New Roman" w:hint="default"/>
      </w:rPr>
    </w:lvl>
    <w:lvl w:ilvl="1" w:tplc="184ED51A">
      <w:start w:val="1"/>
      <w:numFmt w:val="decimal"/>
      <w:lvlText w:val="%2."/>
      <w:lvlJc w:val="left"/>
      <w:pPr>
        <w:tabs>
          <w:tab w:val="num" w:pos="1440"/>
        </w:tabs>
        <w:ind w:left="1440" w:hanging="360"/>
      </w:pPr>
    </w:lvl>
    <w:lvl w:ilvl="2" w:tplc="EAF65F7A">
      <w:start w:val="1"/>
      <w:numFmt w:val="decimal"/>
      <w:lvlText w:val="%3."/>
      <w:lvlJc w:val="left"/>
      <w:pPr>
        <w:tabs>
          <w:tab w:val="num" w:pos="2160"/>
        </w:tabs>
        <w:ind w:left="2160" w:hanging="360"/>
      </w:pPr>
    </w:lvl>
    <w:lvl w:ilvl="3" w:tplc="5DF4BA22">
      <w:start w:val="1"/>
      <w:numFmt w:val="decimal"/>
      <w:lvlText w:val="%4."/>
      <w:lvlJc w:val="left"/>
      <w:pPr>
        <w:tabs>
          <w:tab w:val="num" w:pos="2880"/>
        </w:tabs>
        <w:ind w:left="2880" w:hanging="360"/>
      </w:pPr>
    </w:lvl>
    <w:lvl w:ilvl="4" w:tplc="5146695A">
      <w:start w:val="1"/>
      <w:numFmt w:val="decimal"/>
      <w:lvlText w:val="%5."/>
      <w:lvlJc w:val="left"/>
      <w:pPr>
        <w:tabs>
          <w:tab w:val="num" w:pos="3600"/>
        </w:tabs>
        <w:ind w:left="3600" w:hanging="360"/>
      </w:pPr>
    </w:lvl>
    <w:lvl w:ilvl="5" w:tplc="2E34E08C">
      <w:start w:val="1"/>
      <w:numFmt w:val="decimal"/>
      <w:lvlText w:val="%6."/>
      <w:lvlJc w:val="left"/>
      <w:pPr>
        <w:tabs>
          <w:tab w:val="num" w:pos="4320"/>
        </w:tabs>
        <w:ind w:left="4320" w:hanging="360"/>
      </w:pPr>
    </w:lvl>
    <w:lvl w:ilvl="6" w:tplc="EAB2635A">
      <w:start w:val="1"/>
      <w:numFmt w:val="decimal"/>
      <w:lvlText w:val="%7."/>
      <w:lvlJc w:val="left"/>
      <w:pPr>
        <w:tabs>
          <w:tab w:val="num" w:pos="5040"/>
        </w:tabs>
        <w:ind w:left="5040" w:hanging="360"/>
      </w:pPr>
    </w:lvl>
    <w:lvl w:ilvl="7" w:tplc="E20C7FDA">
      <w:start w:val="1"/>
      <w:numFmt w:val="decimal"/>
      <w:lvlText w:val="%8."/>
      <w:lvlJc w:val="left"/>
      <w:pPr>
        <w:tabs>
          <w:tab w:val="num" w:pos="5760"/>
        </w:tabs>
        <w:ind w:left="5760" w:hanging="360"/>
      </w:pPr>
    </w:lvl>
    <w:lvl w:ilvl="8" w:tplc="4DFE9CC8">
      <w:start w:val="1"/>
      <w:numFmt w:val="decimal"/>
      <w:lvlText w:val="%9."/>
      <w:lvlJc w:val="left"/>
      <w:pPr>
        <w:tabs>
          <w:tab w:val="num" w:pos="6480"/>
        </w:tabs>
        <w:ind w:left="6480" w:hanging="360"/>
      </w:pPr>
    </w:lvl>
  </w:abstractNum>
  <w:abstractNum w:abstractNumId="12">
    <w:nsid w:val="2F14433A"/>
    <w:multiLevelType w:val="hybridMultilevel"/>
    <w:tmpl w:val="CA2C9A74"/>
    <w:lvl w:ilvl="0" w:tplc="04090001">
      <w:start w:val="1"/>
      <w:numFmt w:val="bullet"/>
      <w:lvlText w:val=""/>
      <w:lvlJc w:val="left"/>
      <w:pPr>
        <w:ind w:left="720" w:hanging="360"/>
      </w:pPr>
      <w:rPr>
        <w:rFonts w:ascii="Symbol" w:hAnsi="Symbol" w:hint="default"/>
      </w:rPr>
    </w:lvl>
    <w:lvl w:ilvl="1" w:tplc="5800554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3A285B"/>
    <w:multiLevelType w:val="hybridMultilevel"/>
    <w:tmpl w:val="D868A482"/>
    <w:lvl w:ilvl="0" w:tplc="04090013">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35E1484B"/>
    <w:multiLevelType w:val="multilevel"/>
    <w:tmpl w:val="8BBA0B0A"/>
    <w:lvl w:ilvl="0">
      <w:start w:val="1"/>
      <w:numFmt w:val="decimal"/>
      <w:pStyle w:val="THQ-Title2"/>
      <w:lvlText w:val="%1."/>
      <w:lvlJc w:val="left"/>
      <w:pPr>
        <w:tabs>
          <w:tab w:val="num" w:pos="576"/>
        </w:tabs>
        <w:ind w:left="576" w:hanging="576"/>
      </w:pPr>
    </w:lvl>
    <w:lvl w:ilvl="1">
      <w:start w:val="1"/>
      <w:numFmt w:val="decimal"/>
      <w:pStyle w:val="THQ-Title2"/>
      <w:isLgl/>
      <w:lvlText w:val="%1.%2."/>
      <w:lvlJc w:val="left"/>
      <w:pPr>
        <w:tabs>
          <w:tab w:val="num" w:pos="576"/>
        </w:tabs>
        <w:ind w:left="576" w:hanging="576"/>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6DD78D6"/>
    <w:multiLevelType w:val="hybridMultilevel"/>
    <w:tmpl w:val="6FB62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8E70E6"/>
    <w:multiLevelType w:val="hybridMultilevel"/>
    <w:tmpl w:val="0F989FA4"/>
    <w:lvl w:ilvl="0" w:tplc="839C95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AF555F"/>
    <w:multiLevelType w:val="hybridMultilevel"/>
    <w:tmpl w:val="DF0C5DB4"/>
    <w:lvl w:ilvl="0" w:tplc="0413000F">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8">
    <w:nsid w:val="41830C5F"/>
    <w:multiLevelType w:val="multilevel"/>
    <w:tmpl w:val="50925E9A"/>
    <w:lvl w:ilvl="0">
      <w:start w:val="1"/>
      <w:numFmt w:val="decimal"/>
      <w:pStyle w:val="Titlenumbered"/>
      <w:suff w:val="nothing"/>
      <w:lvlText w:val="%1 — "/>
      <w:lvlJc w:val="left"/>
      <w:pPr>
        <w:ind w:left="1287" w:hanging="567"/>
      </w:pPr>
      <w:rPr>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421442CC"/>
    <w:multiLevelType w:val="hybridMultilevel"/>
    <w:tmpl w:val="B8A0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078FE"/>
    <w:multiLevelType w:val="hybridMultilevel"/>
    <w:tmpl w:val="D22A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90191D"/>
    <w:multiLevelType w:val="multilevel"/>
    <w:tmpl w:val="D850024C"/>
    <w:lvl w:ilvl="0">
      <w:start w:val="1"/>
      <w:numFmt w:val="decimal"/>
      <w:pStyle w:val="THQ-Title1"/>
      <w:lvlText w:val="%1."/>
      <w:lvlJc w:val="left"/>
      <w:pPr>
        <w:tabs>
          <w:tab w:val="num" w:pos="576"/>
        </w:tabs>
        <w:ind w:left="576" w:hanging="576"/>
      </w:pPr>
    </w:lvl>
    <w:lvl w:ilvl="1">
      <w:start w:val="1"/>
      <w:numFmt w:val="upperLetter"/>
      <w:lvlText w:val="%2."/>
      <w:lvlJc w:val="left"/>
      <w:pPr>
        <w:tabs>
          <w:tab w:val="num" w:pos="792"/>
        </w:tabs>
        <w:ind w:left="792" w:firstLine="72"/>
      </w:pPr>
    </w:lvl>
    <w:lvl w:ilvl="2">
      <w:start w:val="1"/>
      <w:numFmt w:val="lowerRoman"/>
      <w:lvlText w:val="%3."/>
      <w:lvlJc w:val="left"/>
      <w:pPr>
        <w:tabs>
          <w:tab w:val="num" w:pos="1440"/>
        </w:tabs>
        <w:ind w:left="19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4BB0AE8"/>
    <w:multiLevelType w:val="hybridMultilevel"/>
    <w:tmpl w:val="161E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FE750A"/>
    <w:multiLevelType w:val="hybridMultilevel"/>
    <w:tmpl w:val="AB74FA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498F260D"/>
    <w:multiLevelType w:val="hybridMultilevel"/>
    <w:tmpl w:val="D3D66CF8"/>
    <w:lvl w:ilvl="0" w:tplc="839C95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9402E3"/>
    <w:multiLevelType w:val="hybridMultilevel"/>
    <w:tmpl w:val="EB9A2E62"/>
    <w:lvl w:ilvl="0" w:tplc="ADE0FB2E">
      <w:start w:val="1"/>
      <w:numFmt w:val="bullet"/>
      <w:lvlText w:val=""/>
      <w:lvlJc w:val="left"/>
      <w:pPr>
        <w:ind w:left="720" w:hanging="360"/>
      </w:pPr>
      <w:rPr>
        <w:rFonts w:ascii="Symbol" w:hAnsi="Symbol" w:hint="default"/>
      </w:rPr>
    </w:lvl>
    <w:lvl w:ilvl="1" w:tplc="9E3CE926" w:tentative="1">
      <w:start w:val="1"/>
      <w:numFmt w:val="bullet"/>
      <w:lvlText w:val="o"/>
      <w:lvlJc w:val="left"/>
      <w:pPr>
        <w:ind w:left="1440" w:hanging="360"/>
      </w:pPr>
      <w:rPr>
        <w:rFonts w:ascii="Courier New" w:hAnsi="Courier New" w:hint="default"/>
      </w:rPr>
    </w:lvl>
    <w:lvl w:ilvl="2" w:tplc="D7B25896" w:tentative="1">
      <w:start w:val="1"/>
      <w:numFmt w:val="bullet"/>
      <w:lvlText w:val=""/>
      <w:lvlJc w:val="left"/>
      <w:pPr>
        <w:ind w:left="2160" w:hanging="360"/>
      </w:pPr>
      <w:rPr>
        <w:rFonts w:ascii="Wingdings" w:hAnsi="Wingdings" w:hint="default"/>
      </w:rPr>
    </w:lvl>
    <w:lvl w:ilvl="3" w:tplc="F4A88A0A" w:tentative="1">
      <w:start w:val="1"/>
      <w:numFmt w:val="bullet"/>
      <w:lvlText w:val=""/>
      <w:lvlJc w:val="left"/>
      <w:pPr>
        <w:ind w:left="2880" w:hanging="360"/>
      </w:pPr>
      <w:rPr>
        <w:rFonts w:ascii="Symbol" w:hAnsi="Symbol" w:hint="default"/>
      </w:rPr>
    </w:lvl>
    <w:lvl w:ilvl="4" w:tplc="416A08BC" w:tentative="1">
      <w:start w:val="1"/>
      <w:numFmt w:val="bullet"/>
      <w:lvlText w:val="o"/>
      <w:lvlJc w:val="left"/>
      <w:pPr>
        <w:ind w:left="3600" w:hanging="360"/>
      </w:pPr>
      <w:rPr>
        <w:rFonts w:ascii="Courier New" w:hAnsi="Courier New" w:hint="default"/>
      </w:rPr>
    </w:lvl>
    <w:lvl w:ilvl="5" w:tplc="806C2CDC" w:tentative="1">
      <w:start w:val="1"/>
      <w:numFmt w:val="bullet"/>
      <w:lvlText w:val=""/>
      <w:lvlJc w:val="left"/>
      <w:pPr>
        <w:ind w:left="4320" w:hanging="360"/>
      </w:pPr>
      <w:rPr>
        <w:rFonts w:ascii="Wingdings" w:hAnsi="Wingdings" w:hint="default"/>
      </w:rPr>
    </w:lvl>
    <w:lvl w:ilvl="6" w:tplc="76728BD4" w:tentative="1">
      <w:start w:val="1"/>
      <w:numFmt w:val="bullet"/>
      <w:lvlText w:val=""/>
      <w:lvlJc w:val="left"/>
      <w:pPr>
        <w:ind w:left="5040" w:hanging="360"/>
      </w:pPr>
      <w:rPr>
        <w:rFonts w:ascii="Symbol" w:hAnsi="Symbol" w:hint="default"/>
      </w:rPr>
    </w:lvl>
    <w:lvl w:ilvl="7" w:tplc="B0F8A2F4" w:tentative="1">
      <w:start w:val="1"/>
      <w:numFmt w:val="bullet"/>
      <w:lvlText w:val="o"/>
      <w:lvlJc w:val="left"/>
      <w:pPr>
        <w:ind w:left="5760" w:hanging="360"/>
      </w:pPr>
      <w:rPr>
        <w:rFonts w:ascii="Courier New" w:hAnsi="Courier New" w:hint="default"/>
      </w:rPr>
    </w:lvl>
    <w:lvl w:ilvl="8" w:tplc="038EAB70" w:tentative="1">
      <w:start w:val="1"/>
      <w:numFmt w:val="bullet"/>
      <w:lvlText w:val=""/>
      <w:lvlJc w:val="left"/>
      <w:pPr>
        <w:ind w:left="6480" w:hanging="360"/>
      </w:pPr>
      <w:rPr>
        <w:rFonts w:ascii="Wingdings" w:hAnsi="Wingdings" w:hint="default"/>
      </w:rPr>
    </w:lvl>
  </w:abstractNum>
  <w:abstractNum w:abstractNumId="26">
    <w:nsid w:val="54C26B9E"/>
    <w:multiLevelType w:val="hybridMultilevel"/>
    <w:tmpl w:val="EA94F604"/>
    <w:lvl w:ilvl="0" w:tplc="0413000F">
      <w:start w:val="1"/>
      <w:numFmt w:val="decimal"/>
      <w:pStyle w:val="Titre21"/>
      <w:lvlText w:val="2.%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58F0E4E"/>
    <w:multiLevelType w:val="multilevel"/>
    <w:tmpl w:val="D2D82FE2"/>
    <w:lvl w:ilvl="0">
      <w:start w:val="1"/>
      <w:numFmt w:val="decimal"/>
      <w:pStyle w:val="Numberinglist"/>
      <w:lvlText w:val="%1."/>
      <w:lvlJc w:val="left"/>
      <w:pPr>
        <w:tabs>
          <w:tab w:val="num" w:pos="567"/>
        </w:tabs>
        <w:ind w:left="567" w:hanging="567"/>
      </w:pPr>
    </w:lvl>
    <w:lvl w:ilvl="1">
      <w:start w:val="1"/>
      <w:numFmt w:val="lowerLetter"/>
      <w:lvlText w:val="%2."/>
      <w:lvlJc w:val="left"/>
      <w:pPr>
        <w:tabs>
          <w:tab w:val="num" w:pos="567"/>
        </w:tabs>
        <w:ind w:left="1134" w:hanging="567"/>
      </w:pPr>
      <w:rPr>
        <w:rFonts w:ascii="Times New Roman" w:hAnsi="Times New Roman" w:cs="Times New Roman" w:hint="default"/>
        <w:b w:val="0"/>
        <w:i w:val="0"/>
        <w:sz w:val="22"/>
        <w:szCs w:val="22"/>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83A035A"/>
    <w:multiLevelType w:val="hybridMultilevel"/>
    <w:tmpl w:val="885A64A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172B4B"/>
    <w:multiLevelType w:val="hybridMultilevel"/>
    <w:tmpl w:val="3FAC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AA3E17"/>
    <w:multiLevelType w:val="hybridMultilevel"/>
    <w:tmpl w:val="7DFEFB1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nsid w:val="66801525"/>
    <w:multiLevelType w:val="hybridMultilevel"/>
    <w:tmpl w:val="DDB86624"/>
    <w:lvl w:ilvl="0" w:tplc="B838CEF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6A771371"/>
    <w:multiLevelType w:val="hybridMultilevel"/>
    <w:tmpl w:val="42DC4D52"/>
    <w:lvl w:ilvl="0" w:tplc="04090001">
      <w:start w:val="1"/>
      <w:numFmt w:val="bullet"/>
      <w:pStyle w:val="Bold"/>
      <w:lvlText w:val=""/>
      <w:lvlJc w:val="left"/>
      <w:pPr>
        <w:tabs>
          <w:tab w:val="num" w:pos="720"/>
        </w:tabs>
        <w:ind w:left="144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B9C1593"/>
    <w:multiLevelType w:val="hybridMultilevel"/>
    <w:tmpl w:val="C9DC93CC"/>
    <w:lvl w:ilvl="0" w:tplc="8E6C477E">
      <w:start w:val="1"/>
      <w:numFmt w:val="bullet"/>
      <w:lvlText w:val=""/>
      <w:lvlJc w:val="left"/>
      <w:pPr>
        <w:ind w:left="720" w:hanging="360"/>
      </w:pPr>
      <w:rPr>
        <w:rFonts w:ascii="Symbol" w:hAnsi="Symbol" w:hint="default"/>
      </w:rPr>
    </w:lvl>
    <w:lvl w:ilvl="1" w:tplc="4412F6B2" w:tentative="1">
      <w:start w:val="1"/>
      <w:numFmt w:val="bullet"/>
      <w:lvlText w:val="o"/>
      <w:lvlJc w:val="left"/>
      <w:pPr>
        <w:ind w:left="1440" w:hanging="360"/>
      </w:pPr>
      <w:rPr>
        <w:rFonts w:ascii="Courier New" w:hAnsi="Courier New" w:cs="Courier New" w:hint="default"/>
      </w:rPr>
    </w:lvl>
    <w:lvl w:ilvl="2" w:tplc="CF021E8C" w:tentative="1">
      <w:start w:val="1"/>
      <w:numFmt w:val="bullet"/>
      <w:lvlText w:val=""/>
      <w:lvlJc w:val="left"/>
      <w:pPr>
        <w:ind w:left="2160" w:hanging="360"/>
      </w:pPr>
      <w:rPr>
        <w:rFonts w:ascii="Wingdings" w:hAnsi="Wingdings" w:hint="default"/>
      </w:rPr>
    </w:lvl>
    <w:lvl w:ilvl="3" w:tplc="253AA8C6" w:tentative="1">
      <w:start w:val="1"/>
      <w:numFmt w:val="bullet"/>
      <w:lvlText w:val=""/>
      <w:lvlJc w:val="left"/>
      <w:pPr>
        <w:ind w:left="2880" w:hanging="360"/>
      </w:pPr>
      <w:rPr>
        <w:rFonts w:ascii="Symbol" w:hAnsi="Symbol" w:hint="default"/>
      </w:rPr>
    </w:lvl>
    <w:lvl w:ilvl="4" w:tplc="241E12D6" w:tentative="1">
      <w:start w:val="1"/>
      <w:numFmt w:val="bullet"/>
      <w:lvlText w:val="o"/>
      <w:lvlJc w:val="left"/>
      <w:pPr>
        <w:ind w:left="3600" w:hanging="360"/>
      </w:pPr>
      <w:rPr>
        <w:rFonts w:ascii="Courier New" w:hAnsi="Courier New" w:cs="Courier New" w:hint="default"/>
      </w:rPr>
    </w:lvl>
    <w:lvl w:ilvl="5" w:tplc="FC284920" w:tentative="1">
      <w:start w:val="1"/>
      <w:numFmt w:val="bullet"/>
      <w:lvlText w:val=""/>
      <w:lvlJc w:val="left"/>
      <w:pPr>
        <w:ind w:left="4320" w:hanging="360"/>
      </w:pPr>
      <w:rPr>
        <w:rFonts w:ascii="Wingdings" w:hAnsi="Wingdings" w:hint="default"/>
      </w:rPr>
    </w:lvl>
    <w:lvl w:ilvl="6" w:tplc="BAA49B70" w:tentative="1">
      <w:start w:val="1"/>
      <w:numFmt w:val="bullet"/>
      <w:lvlText w:val=""/>
      <w:lvlJc w:val="left"/>
      <w:pPr>
        <w:ind w:left="5040" w:hanging="360"/>
      </w:pPr>
      <w:rPr>
        <w:rFonts w:ascii="Symbol" w:hAnsi="Symbol" w:hint="default"/>
      </w:rPr>
    </w:lvl>
    <w:lvl w:ilvl="7" w:tplc="82B265A2" w:tentative="1">
      <w:start w:val="1"/>
      <w:numFmt w:val="bullet"/>
      <w:lvlText w:val="o"/>
      <w:lvlJc w:val="left"/>
      <w:pPr>
        <w:ind w:left="5760" w:hanging="360"/>
      </w:pPr>
      <w:rPr>
        <w:rFonts w:ascii="Courier New" w:hAnsi="Courier New" w:cs="Courier New" w:hint="default"/>
      </w:rPr>
    </w:lvl>
    <w:lvl w:ilvl="8" w:tplc="7D3A7DE8" w:tentative="1">
      <w:start w:val="1"/>
      <w:numFmt w:val="bullet"/>
      <w:lvlText w:val=""/>
      <w:lvlJc w:val="left"/>
      <w:pPr>
        <w:ind w:left="6480" w:hanging="360"/>
      </w:pPr>
      <w:rPr>
        <w:rFonts w:ascii="Wingdings" w:hAnsi="Wingdings" w:hint="default"/>
      </w:rPr>
    </w:lvl>
  </w:abstractNum>
  <w:abstractNum w:abstractNumId="34">
    <w:nsid w:val="6C280839"/>
    <w:multiLevelType w:val="multilevel"/>
    <w:tmpl w:val="092419F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5">
    <w:nsid w:val="706A5385"/>
    <w:multiLevelType w:val="hybridMultilevel"/>
    <w:tmpl w:val="2C32E2AC"/>
    <w:lvl w:ilvl="0" w:tplc="C0D4277C">
      <w:start w:val="1"/>
      <w:numFmt w:val="bullet"/>
      <w:pStyle w:val="bullet1"/>
      <w:lvlText w:val=""/>
      <w:lvlJc w:val="left"/>
      <w:pPr>
        <w:tabs>
          <w:tab w:val="num" w:pos="720"/>
        </w:tabs>
        <w:ind w:left="720" w:hanging="360"/>
      </w:pPr>
      <w:rPr>
        <w:rFonts w:ascii="Symbol" w:hAnsi="Symbol" w:hint="default"/>
      </w:rPr>
    </w:lvl>
    <w:lvl w:ilvl="1" w:tplc="315E52C2">
      <w:start w:val="1"/>
      <w:numFmt w:val="bullet"/>
      <w:lvlText w:val=""/>
      <w:lvlJc w:val="left"/>
      <w:pPr>
        <w:tabs>
          <w:tab w:val="num" w:pos="1440"/>
        </w:tabs>
        <w:ind w:left="1440" w:hanging="360"/>
      </w:pPr>
      <w:rPr>
        <w:rFonts w:ascii="Symbol" w:hAnsi="Symbol" w:hint="default"/>
      </w:rPr>
    </w:lvl>
    <w:lvl w:ilvl="2" w:tplc="446A14BC">
      <w:start w:val="1"/>
      <w:numFmt w:val="decimal"/>
      <w:lvlText w:val="%3."/>
      <w:lvlJc w:val="left"/>
      <w:pPr>
        <w:tabs>
          <w:tab w:val="num" w:pos="2160"/>
        </w:tabs>
        <w:ind w:left="2160" w:hanging="360"/>
      </w:pPr>
    </w:lvl>
    <w:lvl w:ilvl="3" w:tplc="F26E235C">
      <w:start w:val="1"/>
      <w:numFmt w:val="decimal"/>
      <w:lvlText w:val="%4."/>
      <w:lvlJc w:val="left"/>
      <w:pPr>
        <w:tabs>
          <w:tab w:val="num" w:pos="2880"/>
        </w:tabs>
        <w:ind w:left="2880" w:hanging="360"/>
      </w:pPr>
    </w:lvl>
    <w:lvl w:ilvl="4" w:tplc="07ACD45A">
      <w:start w:val="1"/>
      <w:numFmt w:val="decimal"/>
      <w:lvlText w:val="%5."/>
      <w:lvlJc w:val="left"/>
      <w:pPr>
        <w:tabs>
          <w:tab w:val="num" w:pos="3600"/>
        </w:tabs>
        <w:ind w:left="3600" w:hanging="360"/>
      </w:pPr>
    </w:lvl>
    <w:lvl w:ilvl="5" w:tplc="27C4EBC4">
      <w:start w:val="1"/>
      <w:numFmt w:val="decimal"/>
      <w:lvlText w:val="%6."/>
      <w:lvlJc w:val="left"/>
      <w:pPr>
        <w:tabs>
          <w:tab w:val="num" w:pos="4320"/>
        </w:tabs>
        <w:ind w:left="4320" w:hanging="360"/>
      </w:pPr>
    </w:lvl>
    <w:lvl w:ilvl="6" w:tplc="4078C334">
      <w:start w:val="1"/>
      <w:numFmt w:val="decimal"/>
      <w:lvlText w:val="%7."/>
      <w:lvlJc w:val="left"/>
      <w:pPr>
        <w:tabs>
          <w:tab w:val="num" w:pos="5040"/>
        </w:tabs>
        <w:ind w:left="5040" w:hanging="360"/>
      </w:pPr>
    </w:lvl>
    <w:lvl w:ilvl="7" w:tplc="28A250DE">
      <w:start w:val="1"/>
      <w:numFmt w:val="decimal"/>
      <w:lvlText w:val="%8."/>
      <w:lvlJc w:val="left"/>
      <w:pPr>
        <w:tabs>
          <w:tab w:val="num" w:pos="5760"/>
        </w:tabs>
        <w:ind w:left="5760" w:hanging="360"/>
      </w:pPr>
    </w:lvl>
    <w:lvl w:ilvl="8" w:tplc="EEF82B7E">
      <w:start w:val="1"/>
      <w:numFmt w:val="decimal"/>
      <w:lvlText w:val="%9."/>
      <w:lvlJc w:val="left"/>
      <w:pPr>
        <w:tabs>
          <w:tab w:val="num" w:pos="6480"/>
        </w:tabs>
        <w:ind w:left="6480" w:hanging="360"/>
      </w:pPr>
    </w:lvl>
  </w:abstractNum>
  <w:abstractNum w:abstractNumId="36">
    <w:nsid w:val="75C844BB"/>
    <w:multiLevelType w:val="hybridMultilevel"/>
    <w:tmpl w:val="170A2F4C"/>
    <w:lvl w:ilvl="0" w:tplc="BB1E1166">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86C13A7"/>
    <w:multiLevelType w:val="hybridMultilevel"/>
    <w:tmpl w:val="22C2D032"/>
    <w:lvl w:ilvl="0" w:tplc="04090003">
      <w:start w:val="1"/>
      <w:numFmt w:val="bullet"/>
      <w:pStyle w:val="Bullet05"/>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625BCF"/>
    <w:multiLevelType w:val="hybridMultilevel"/>
    <w:tmpl w:val="B596BF36"/>
    <w:lvl w:ilvl="0" w:tplc="BB1E116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7AA73824"/>
    <w:multiLevelType w:val="hybridMultilevel"/>
    <w:tmpl w:val="1C401806"/>
    <w:lvl w:ilvl="0" w:tplc="BB1E116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7EF96F6B"/>
    <w:multiLevelType w:val="hybridMultilevel"/>
    <w:tmpl w:val="52A4DA4C"/>
    <w:lvl w:ilvl="0" w:tplc="BB1E116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F6D3FDD"/>
    <w:multiLevelType w:val="hybridMultilevel"/>
    <w:tmpl w:val="61D6C996"/>
    <w:lvl w:ilvl="0" w:tplc="839C95DE">
      <w:start w:val="1"/>
      <w:numFmt w:val="decimal"/>
      <w:pStyle w:val="Style2"/>
      <w:lvlText w:val="%1."/>
      <w:lvlJc w:val="center"/>
      <w:pPr>
        <w:tabs>
          <w:tab w:val="num" w:pos="11"/>
        </w:tabs>
        <w:ind w:left="720" w:hanging="709"/>
      </w:pPr>
      <w:rPr>
        <w:rFonts w:ascii="Times New Roman Bold" w:hAnsi="Times New Roman Bold" w:hint="default"/>
        <w:b/>
        <w:i w:val="0"/>
        <w:sz w:val="24"/>
        <w:szCs w:val="24"/>
      </w:rPr>
    </w:lvl>
    <w:lvl w:ilvl="1" w:tplc="04090003">
      <w:start w:val="1"/>
      <w:numFmt w:val="lowerLetter"/>
      <w:lvlText w:val="%2."/>
      <w:lvlJc w:val="left"/>
      <w:pPr>
        <w:tabs>
          <w:tab w:val="num" w:pos="1451"/>
        </w:tabs>
        <w:ind w:left="1451"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17"/>
  </w:num>
  <w:num w:numId="3">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8"/>
  </w:num>
  <w:num w:numId="19">
    <w:abstractNumId w:val="26"/>
  </w:num>
  <w:num w:numId="20">
    <w:abstractNumId w:val="34"/>
  </w:num>
  <w:num w:numId="21">
    <w:abstractNumId w:val="40"/>
  </w:num>
  <w:num w:numId="22">
    <w:abstractNumId w:val="38"/>
  </w:num>
  <w:num w:numId="23">
    <w:abstractNumId w:val="33"/>
  </w:num>
  <w:num w:numId="24">
    <w:abstractNumId w:val="31"/>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9"/>
  </w:num>
  <w:num w:numId="28">
    <w:abstractNumId w:val="13"/>
  </w:num>
  <w:num w:numId="29">
    <w:abstractNumId w:val="25"/>
  </w:num>
  <w:num w:numId="30">
    <w:abstractNumId w:val="32"/>
  </w:num>
  <w:num w:numId="31">
    <w:abstractNumId w:val="23"/>
  </w:num>
  <w:num w:numId="32">
    <w:abstractNumId w:val="3"/>
  </w:num>
  <w:num w:numId="33">
    <w:abstractNumId w:val="28"/>
  </w:num>
  <w:num w:numId="34">
    <w:abstractNumId w:val="19"/>
  </w:num>
  <w:num w:numId="35">
    <w:abstractNumId w:val="22"/>
  </w:num>
  <w:num w:numId="36">
    <w:abstractNumId w:val="15"/>
  </w:num>
  <w:num w:numId="37">
    <w:abstractNumId w:val="6"/>
  </w:num>
  <w:num w:numId="38">
    <w:abstractNumId w:val="30"/>
  </w:num>
  <w:num w:numId="39">
    <w:abstractNumId w:val="20"/>
  </w:num>
  <w:num w:numId="40">
    <w:abstractNumId w:val="29"/>
  </w:num>
  <w:num w:numId="41">
    <w:abstractNumId w:val="0"/>
  </w:num>
  <w:num w:numId="42">
    <w:abstractNumId w:val="37"/>
  </w:num>
  <w:num w:numId="43">
    <w:abstractNumId w:val="2"/>
  </w:num>
  <w:num w:numId="44">
    <w:abstractNumId w:val="39"/>
  </w:num>
  <w:num w:numId="45">
    <w:abstractNumId w:val="41"/>
  </w:num>
  <w:num w:numId="46">
    <w:abstractNumId w:val="7"/>
  </w:num>
  <w:num w:numId="47">
    <w:abstractNumId w:val="24"/>
  </w:num>
  <w:num w:numId="48">
    <w:abstractNumId w:val="36"/>
  </w:num>
  <w:num w:numId="49">
    <w:abstractNumId w:val="16"/>
  </w:num>
  <w:num w:numId="50">
    <w:abstractNumId w:val="34"/>
  </w:num>
  <w:num w:numId="51">
    <w:abstractNumId w:val="1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hyphenationZone w:val="425"/>
  <w:drawingGridHorizontalSpacing w:val="110"/>
  <w:displayHorizontalDrawingGridEvery w:val="2"/>
  <w:characterSpacingControl w:val="doNotCompress"/>
  <w:hdrShapeDefaults>
    <o:shapedefaults v:ext="edit" spidmax="2050">
      <o:colormenu v:ext="edit" fillcolor="none" strokecolor="none"/>
    </o:shapedefaults>
    <o:shapelayout v:ext="edit">
      <o:idmap v:ext="edit" data="1"/>
    </o:shapelayout>
  </w:hdrShapeDefaults>
  <w:footnotePr>
    <w:footnote w:id="-1"/>
    <w:footnote w:id="0"/>
  </w:footnotePr>
  <w:endnotePr>
    <w:endnote w:id="-1"/>
    <w:endnote w:id="0"/>
  </w:endnotePr>
  <w:compat/>
  <w:docVars>
    <w:docVar w:name="AppVer" w:val="᥉᥄᥆"/>
    <w:docVar w:name="CheckSum" w:val="᥊᥌᥍᥊"/>
    <w:docVar w:name="CLIName" w:val="ᥫᦄᥙᦂ᥷ᦉᦉ᥿᥼᥿᥻᥺"/>
    <w:docVar w:name="DateTime" w:val="᥌᥅᥇᥌᥅᥈᥆᥇᥆ᤶᤶ᥇᥈ᥐ᥈᥎ᥗᥣᤶ᤾ᥝᥣᥪ᥁᥈ᥐ᥆᤿"/>
    <w:docVar w:name="DoneBy" w:val="ᥩᥪᥲᦈᦅ᥸᥿ᦄᤶᦄᦅ᥻ᦂᦉ"/>
    <w:docVar w:name="IPAddress" w:val="ᥝᥬᥗᥢᥪ᥉᥆᥉᥉᥆"/>
    <w:docVar w:name="Random" w:val="22"/>
  </w:docVars>
  <w:rsids>
    <w:rsidRoot w:val="00D56FEC"/>
    <w:rsid w:val="00001B30"/>
    <w:rsid w:val="000028AF"/>
    <w:rsid w:val="00002A35"/>
    <w:rsid w:val="00013274"/>
    <w:rsid w:val="00013B53"/>
    <w:rsid w:val="0001582F"/>
    <w:rsid w:val="00020AD7"/>
    <w:rsid w:val="00023BB9"/>
    <w:rsid w:val="00025C13"/>
    <w:rsid w:val="000309BD"/>
    <w:rsid w:val="00031389"/>
    <w:rsid w:val="00031B9E"/>
    <w:rsid w:val="00034E48"/>
    <w:rsid w:val="000377B6"/>
    <w:rsid w:val="00042A42"/>
    <w:rsid w:val="00044F75"/>
    <w:rsid w:val="00050DFC"/>
    <w:rsid w:val="00052CE7"/>
    <w:rsid w:val="000537A0"/>
    <w:rsid w:val="00055A05"/>
    <w:rsid w:val="00056FB5"/>
    <w:rsid w:val="00063274"/>
    <w:rsid w:val="00064D48"/>
    <w:rsid w:val="00067B30"/>
    <w:rsid w:val="00076640"/>
    <w:rsid w:val="00083735"/>
    <w:rsid w:val="00087079"/>
    <w:rsid w:val="00095138"/>
    <w:rsid w:val="00095475"/>
    <w:rsid w:val="0009548B"/>
    <w:rsid w:val="0009694B"/>
    <w:rsid w:val="000A1B34"/>
    <w:rsid w:val="000A30F0"/>
    <w:rsid w:val="000B001B"/>
    <w:rsid w:val="000B2D76"/>
    <w:rsid w:val="000B3BDE"/>
    <w:rsid w:val="000B4E72"/>
    <w:rsid w:val="000C12D7"/>
    <w:rsid w:val="000C1939"/>
    <w:rsid w:val="000C373F"/>
    <w:rsid w:val="000C6350"/>
    <w:rsid w:val="000C6914"/>
    <w:rsid w:val="000D1406"/>
    <w:rsid w:val="000D147F"/>
    <w:rsid w:val="000D1FE3"/>
    <w:rsid w:val="000D3DFA"/>
    <w:rsid w:val="000D70EC"/>
    <w:rsid w:val="000D7374"/>
    <w:rsid w:val="000E10DE"/>
    <w:rsid w:val="000E1A65"/>
    <w:rsid w:val="000E71DE"/>
    <w:rsid w:val="000F1110"/>
    <w:rsid w:val="000F201A"/>
    <w:rsid w:val="001009B4"/>
    <w:rsid w:val="001059CA"/>
    <w:rsid w:val="00105F94"/>
    <w:rsid w:val="00114B2E"/>
    <w:rsid w:val="00116480"/>
    <w:rsid w:val="00126B94"/>
    <w:rsid w:val="00132ABA"/>
    <w:rsid w:val="001372D6"/>
    <w:rsid w:val="0013752A"/>
    <w:rsid w:val="00141D3A"/>
    <w:rsid w:val="00143345"/>
    <w:rsid w:val="0014656A"/>
    <w:rsid w:val="00146B4D"/>
    <w:rsid w:val="00147520"/>
    <w:rsid w:val="0016106B"/>
    <w:rsid w:val="001627EF"/>
    <w:rsid w:val="00170860"/>
    <w:rsid w:val="0017575E"/>
    <w:rsid w:val="00182D85"/>
    <w:rsid w:val="00197E93"/>
    <w:rsid w:val="001A5A90"/>
    <w:rsid w:val="001B6E1C"/>
    <w:rsid w:val="001C6E69"/>
    <w:rsid w:val="001D29F8"/>
    <w:rsid w:val="001D6628"/>
    <w:rsid w:val="001E0F0A"/>
    <w:rsid w:val="001E3A6D"/>
    <w:rsid w:val="001E5AAE"/>
    <w:rsid w:val="001F0995"/>
    <w:rsid w:val="001F47BF"/>
    <w:rsid w:val="00210B45"/>
    <w:rsid w:val="002112A7"/>
    <w:rsid w:val="00211DC6"/>
    <w:rsid w:val="00211E4C"/>
    <w:rsid w:val="002276F7"/>
    <w:rsid w:val="00230D20"/>
    <w:rsid w:val="00231884"/>
    <w:rsid w:val="0023337A"/>
    <w:rsid w:val="00235568"/>
    <w:rsid w:val="00243872"/>
    <w:rsid w:val="00244437"/>
    <w:rsid w:val="00247883"/>
    <w:rsid w:val="0025257A"/>
    <w:rsid w:val="00252832"/>
    <w:rsid w:val="00254A1E"/>
    <w:rsid w:val="00260182"/>
    <w:rsid w:val="00261217"/>
    <w:rsid w:val="00270B39"/>
    <w:rsid w:val="00277785"/>
    <w:rsid w:val="00280C36"/>
    <w:rsid w:val="002879C1"/>
    <w:rsid w:val="002A17C8"/>
    <w:rsid w:val="002A2332"/>
    <w:rsid w:val="002A44CC"/>
    <w:rsid w:val="002A4A96"/>
    <w:rsid w:val="002A7D17"/>
    <w:rsid w:val="002B329B"/>
    <w:rsid w:val="002C5628"/>
    <w:rsid w:val="002C6E16"/>
    <w:rsid w:val="002D10BE"/>
    <w:rsid w:val="002D46EA"/>
    <w:rsid w:val="002D46F8"/>
    <w:rsid w:val="002E07F0"/>
    <w:rsid w:val="002E15B7"/>
    <w:rsid w:val="002E71AB"/>
    <w:rsid w:val="002F097B"/>
    <w:rsid w:val="002F5240"/>
    <w:rsid w:val="00300743"/>
    <w:rsid w:val="00301B18"/>
    <w:rsid w:val="003020ED"/>
    <w:rsid w:val="003048C1"/>
    <w:rsid w:val="00307E41"/>
    <w:rsid w:val="00310BC5"/>
    <w:rsid w:val="00327E44"/>
    <w:rsid w:val="00330101"/>
    <w:rsid w:val="00330E67"/>
    <w:rsid w:val="00335346"/>
    <w:rsid w:val="00335724"/>
    <w:rsid w:val="00337AB0"/>
    <w:rsid w:val="00343C73"/>
    <w:rsid w:val="003542FB"/>
    <w:rsid w:val="00360336"/>
    <w:rsid w:val="00361444"/>
    <w:rsid w:val="00366509"/>
    <w:rsid w:val="00366EF5"/>
    <w:rsid w:val="003752F9"/>
    <w:rsid w:val="00383156"/>
    <w:rsid w:val="00385C01"/>
    <w:rsid w:val="00385D7B"/>
    <w:rsid w:val="00390326"/>
    <w:rsid w:val="0039780B"/>
    <w:rsid w:val="003A03F3"/>
    <w:rsid w:val="003A58DC"/>
    <w:rsid w:val="003A62E5"/>
    <w:rsid w:val="003C39A0"/>
    <w:rsid w:val="003C3BFF"/>
    <w:rsid w:val="003D0AFE"/>
    <w:rsid w:val="003D22F5"/>
    <w:rsid w:val="003E06EF"/>
    <w:rsid w:val="003E18C0"/>
    <w:rsid w:val="003E32CF"/>
    <w:rsid w:val="003E335B"/>
    <w:rsid w:val="003E519F"/>
    <w:rsid w:val="003E554E"/>
    <w:rsid w:val="003F3D04"/>
    <w:rsid w:val="003F3F1F"/>
    <w:rsid w:val="003F5B10"/>
    <w:rsid w:val="004021F1"/>
    <w:rsid w:val="0041047D"/>
    <w:rsid w:val="00410B65"/>
    <w:rsid w:val="004116F1"/>
    <w:rsid w:val="00417723"/>
    <w:rsid w:val="00422A7D"/>
    <w:rsid w:val="004321E7"/>
    <w:rsid w:val="004443B0"/>
    <w:rsid w:val="00452C14"/>
    <w:rsid w:val="004561EA"/>
    <w:rsid w:val="00462B01"/>
    <w:rsid w:val="00467C94"/>
    <w:rsid w:val="004743C0"/>
    <w:rsid w:val="00475F58"/>
    <w:rsid w:val="00481CFF"/>
    <w:rsid w:val="004855CE"/>
    <w:rsid w:val="00490852"/>
    <w:rsid w:val="00496682"/>
    <w:rsid w:val="004A0862"/>
    <w:rsid w:val="004A3F32"/>
    <w:rsid w:val="004B02C0"/>
    <w:rsid w:val="004C201E"/>
    <w:rsid w:val="004D1E9E"/>
    <w:rsid w:val="004E1731"/>
    <w:rsid w:val="004E5D02"/>
    <w:rsid w:val="004F1CEC"/>
    <w:rsid w:val="00513423"/>
    <w:rsid w:val="00516074"/>
    <w:rsid w:val="00522DD1"/>
    <w:rsid w:val="005326A6"/>
    <w:rsid w:val="00533406"/>
    <w:rsid w:val="00543C49"/>
    <w:rsid w:val="005454D8"/>
    <w:rsid w:val="00550029"/>
    <w:rsid w:val="005506DC"/>
    <w:rsid w:val="00551E58"/>
    <w:rsid w:val="00557431"/>
    <w:rsid w:val="005577D5"/>
    <w:rsid w:val="0056172A"/>
    <w:rsid w:val="005637CA"/>
    <w:rsid w:val="005637F5"/>
    <w:rsid w:val="005643BE"/>
    <w:rsid w:val="005667D7"/>
    <w:rsid w:val="00571564"/>
    <w:rsid w:val="00572E99"/>
    <w:rsid w:val="00577597"/>
    <w:rsid w:val="005808E5"/>
    <w:rsid w:val="00582C57"/>
    <w:rsid w:val="0058410C"/>
    <w:rsid w:val="00585709"/>
    <w:rsid w:val="00586128"/>
    <w:rsid w:val="00587E68"/>
    <w:rsid w:val="00590FF4"/>
    <w:rsid w:val="005912E1"/>
    <w:rsid w:val="005A1D08"/>
    <w:rsid w:val="005A2EBA"/>
    <w:rsid w:val="005A57DF"/>
    <w:rsid w:val="005B0603"/>
    <w:rsid w:val="005B3ECC"/>
    <w:rsid w:val="005C4F0B"/>
    <w:rsid w:val="005C53B5"/>
    <w:rsid w:val="005D03CE"/>
    <w:rsid w:val="005E1A21"/>
    <w:rsid w:val="005E1E77"/>
    <w:rsid w:val="005E2804"/>
    <w:rsid w:val="005E3CBE"/>
    <w:rsid w:val="005E4436"/>
    <w:rsid w:val="005E689B"/>
    <w:rsid w:val="005F5EB9"/>
    <w:rsid w:val="00603240"/>
    <w:rsid w:val="006152A5"/>
    <w:rsid w:val="00615896"/>
    <w:rsid w:val="0061695F"/>
    <w:rsid w:val="006265F9"/>
    <w:rsid w:val="00634B64"/>
    <w:rsid w:val="00634E6E"/>
    <w:rsid w:val="00637B09"/>
    <w:rsid w:val="0064100A"/>
    <w:rsid w:val="00647F47"/>
    <w:rsid w:val="00660501"/>
    <w:rsid w:val="00665D7E"/>
    <w:rsid w:val="00672481"/>
    <w:rsid w:val="00675D93"/>
    <w:rsid w:val="00681539"/>
    <w:rsid w:val="00684F9F"/>
    <w:rsid w:val="00687BD0"/>
    <w:rsid w:val="00691A31"/>
    <w:rsid w:val="00694676"/>
    <w:rsid w:val="00695BB7"/>
    <w:rsid w:val="006974EA"/>
    <w:rsid w:val="006A6FAD"/>
    <w:rsid w:val="006B0EC1"/>
    <w:rsid w:val="006B1024"/>
    <w:rsid w:val="006B421A"/>
    <w:rsid w:val="006B58EB"/>
    <w:rsid w:val="006C2EAE"/>
    <w:rsid w:val="006C6E98"/>
    <w:rsid w:val="006D01F5"/>
    <w:rsid w:val="006D0980"/>
    <w:rsid w:val="006D2E44"/>
    <w:rsid w:val="006D5810"/>
    <w:rsid w:val="006D777B"/>
    <w:rsid w:val="006D7F0A"/>
    <w:rsid w:val="006E3F45"/>
    <w:rsid w:val="006E6744"/>
    <w:rsid w:val="006F36A4"/>
    <w:rsid w:val="00702592"/>
    <w:rsid w:val="00704628"/>
    <w:rsid w:val="007122A5"/>
    <w:rsid w:val="0071401A"/>
    <w:rsid w:val="0071517B"/>
    <w:rsid w:val="00721521"/>
    <w:rsid w:val="007219C6"/>
    <w:rsid w:val="00727810"/>
    <w:rsid w:val="00744318"/>
    <w:rsid w:val="00754357"/>
    <w:rsid w:val="00754443"/>
    <w:rsid w:val="00756DAD"/>
    <w:rsid w:val="0076080C"/>
    <w:rsid w:val="00762F17"/>
    <w:rsid w:val="00767A3D"/>
    <w:rsid w:val="0077262A"/>
    <w:rsid w:val="007727DC"/>
    <w:rsid w:val="00772A20"/>
    <w:rsid w:val="00772E5D"/>
    <w:rsid w:val="00774E2D"/>
    <w:rsid w:val="00783F70"/>
    <w:rsid w:val="007860A9"/>
    <w:rsid w:val="00793ED4"/>
    <w:rsid w:val="00794899"/>
    <w:rsid w:val="007A18EC"/>
    <w:rsid w:val="007A4955"/>
    <w:rsid w:val="007C0413"/>
    <w:rsid w:val="007C2E65"/>
    <w:rsid w:val="007D0E6D"/>
    <w:rsid w:val="007D1EF2"/>
    <w:rsid w:val="007D347C"/>
    <w:rsid w:val="007D4F65"/>
    <w:rsid w:val="007D6161"/>
    <w:rsid w:val="007E06EB"/>
    <w:rsid w:val="007E1EB0"/>
    <w:rsid w:val="007E365F"/>
    <w:rsid w:val="007E3785"/>
    <w:rsid w:val="007E6F93"/>
    <w:rsid w:val="007F0159"/>
    <w:rsid w:val="007F1B87"/>
    <w:rsid w:val="007F4068"/>
    <w:rsid w:val="007F7000"/>
    <w:rsid w:val="007F7010"/>
    <w:rsid w:val="00801501"/>
    <w:rsid w:val="00801700"/>
    <w:rsid w:val="0080754E"/>
    <w:rsid w:val="00813658"/>
    <w:rsid w:val="00816216"/>
    <w:rsid w:val="0082068A"/>
    <w:rsid w:val="00832BFE"/>
    <w:rsid w:val="008366FF"/>
    <w:rsid w:val="00843219"/>
    <w:rsid w:val="008437D7"/>
    <w:rsid w:val="00847BCE"/>
    <w:rsid w:val="008501DA"/>
    <w:rsid w:val="00854E81"/>
    <w:rsid w:val="008679F4"/>
    <w:rsid w:val="008733F0"/>
    <w:rsid w:val="0087493F"/>
    <w:rsid w:val="008819E9"/>
    <w:rsid w:val="00890467"/>
    <w:rsid w:val="00890FB8"/>
    <w:rsid w:val="00892B65"/>
    <w:rsid w:val="00894A4A"/>
    <w:rsid w:val="0089580F"/>
    <w:rsid w:val="008A657F"/>
    <w:rsid w:val="008B0592"/>
    <w:rsid w:val="008B1F05"/>
    <w:rsid w:val="008B3E13"/>
    <w:rsid w:val="008B6F2C"/>
    <w:rsid w:val="008C194C"/>
    <w:rsid w:val="008C2047"/>
    <w:rsid w:val="008C5DB1"/>
    <w:rsid w:val="008D0B7F"/>
    <w:rsid w:val="008D27A9"/>
    <w:rsid w:val="008D3E15"/>
    <w:rsid w:val="008D71C0"/>
    <w:rsid w:val="008D75A1"/>
    <w:rsid w:val="008E2E0A"/>
    <w:rsid w:val="008F29E8"/>
    <w:rsid w:val="008F5372"/>
    <w:rsid w:val="008F5F08"/>
    <w:rsid w:val="008F74BF"/>
    <w:rsid w:val="008F78B4"/>
    <w:rsid w:val="009003DD"/>
    <w:rsid w:val="00900A15"/>
    <w:rsid w:val="0090791A"/>
    <w:rsid w:val="00921C9F"/>
    <w:rsid w:val="00923FB4"/>
    <w:rsid w:val="0092489C"/>
    <w:rsid w:val="00930447"/>
    <w:rsid w:val="00942F3E"/>
    <w:rsid w:val="00957E55"/>
    <w:rsid w:val="00971D3F"/>
    <w:rsid w:val="009752AA"/>
    <w:rsid w:val="00981D6B"/>
    <w:rsid w:val="009865FD"/>
    <w:rsid w:val="00986E49"/>
    <w:rsid w:val="00990F4A"/>
    <w:rsid w:val="00990F6C"/>
    <w:rsid w:val="009910DB"/>
    <w:rsid w:val="009976F9"/>
    <w:rsid w:val="009A17DD"/>
    <w:rsid w:val="009A20B2"/>
    <w:rsid w:val="009A298E"/>
    <w:rsid w:val="009A35B4"/>
    <w:rsid w:val="009A5467"/>
    <w:rsid w:val="009A73B4"/>
    <w:rsid w:val="009B224C"/>
    <w:rsid w:val="009B305E"/>
    <w:rsid w:val="009B3350"/>
    <w:rsid w:val="009C024D"/>
    <w:rsid w:val="009C0CD7"/>
    <w:rsid w:val="009D4F07"/>
    <w:rsid w:val="009E7C69"/>
    <w:rsid w:val="009F641E"/>
    <w:rsid w:val="00A00972"/>
    <w:rsid w:val="00A064EB"/>
    <w:rsid w:val="00A10F1E"/>
    <w:rsid w:val="00A1241F"/>
    <w:rsid w:val="00A127F8"/>
    <w:rsid w:val="00A209FF"/>
    <w:rsid w:val="00A23733"/>
    <w:rsid w:val="00A2711B"/>
    <w:rsid w:val="00A31706"/>
    <w:rsid w:val="00A34960"/>
    <w:rsid w:val="00A42E7B"/>
    <w:rsid w:val="00A50051"/>
    <w:rsid w:val="00A502C3"/>
    <w:rsid w:val="00A51B29"/>
    <w:rsid w:val="00A52BC2"/>
    <w:rsid w:val="00A54D82"/>
    <w:rsid w:val="00A644F2"/>
    <w:rsid w:val="00A748BA"/>
    <w:rsid w:val="00A76588"/>
    <w:rsid w:val="00A7706C"/>
    <w:rsid w:val="00A817CD"/>
    <w:rsid w:val="00A948C1"/>
    <w:rsid w:val="00AA37D4"/>
    <w:rsid w:val="00AA6455"/>
    <w:rsid w:val="00AC0291"/>
    <w:rsid w:val="00AC396D"/>
    <w:rsid w:val="00AD18BA"/>
    <w:rsid w:val="00AD2DD8"/>
    <w:rsid w:val="00AE3157"/>
    <w:rsid w:val="00AE4DAA"/>
    <w:rsid w:val="00AE58EB"/>
    <w:rsid w:val="00AF0F73"/>
    <w:rsid w:val="00B02835"/>
    <w:rsid w:val="00B06008"/>
    <w:rsid w:val="00B13895"/>
    <w:rsid w:val="00B15C1B"/>
    <w:rsid w:val="00B238A0"/>
    <w:rsid w:val="00B32F90"/>
    <w:rsid w:val="00B423FB"/>
    <w:rsid w:val="00B42F66"/>
    <w:rsid w:val="00B514F1"/>
    <w:rsid w:val="00B5776B"/>
    <w:rsid w:val="00B6077B"/>
    <w:rsid w:val="00B625F9"/>
    <w:rsid w:val="00B63A56"/>
    <w:rsid w:val="00B72447"/>
    <w:rsid w:val="00B75F73"/>
    <w:rsid w:val="00B84189"/>
    <w:rsid w:val="00B85FDC"/>
    <w:rsid w:val="00BA2269"/>
    <w:rsid w:val="00BA6019"/>
    <w:rsid w:val="00BA6411"/>
    <w:rsid w:val="00BB1E78"/>
    <w:rsid w:val="00BC3D2F"/>
    <w:rsid w:val="00BC7D5F"/>
    <w:rsid w:val="00BD5792"/>
    <w:rsid w:val="00BE32EC"/>
    <w:rsid w:val="00BE357C"/>
    <w:rsid w:val="00BE7D1C"/>
    <w:rsid w:val="00BF016C"/>
    <w:rsid w:val="00BF0796"/>
    <w:rsid w:val="00BF48C5"/>
    <w:rsid w:val="00BF69B1"/>
    <w:rsid w:val="00C0010D"/>
    <w:rsid w:val="00C05012"/>
    <w:rsid w:val="00C24FD9"/>
    <w:rsid w:val="00C257D0"/>
    <w:rsid w:val="00C25E77"/>
    <w:rsid w:val="00C348D4"/>
    <w:rsid w:val="00C35AD9"/>
    <w:rsid w:val="00C4028F"/>
    <w:rsid w:val="00C50068"/>
    <w:rsid w:val="00C500D7"/>
    <w:rsid w:val="00C5160A"/>
    <w:rsid w:val="00C52B12"/>
    <w:rsid w:val="00C54ACA"/>
    <w:rsid w:val="00C56875"/>
    <w:rsid w:val="00C576E6"/>
    <w:rsid w:val="00C62C15"/>
    <w:rsid w:val="00C769AC"/>
    <w:rsid w:val="00C807AA"/>
    <w:rsid w:val="00C81D3F"/>
    <w:rsid w:val="00C863EB"/>
    <w:rsid w:val="00CA4E6C"/>
    <w:rsid w:val="00CA6290"/>
    <w:rsid w:val="00CA65F8"/>
    <w:rsid w:val="00CB20B1"/>
    <w:rsid w:val="00CB21F2"/>
    <w:rsid w:val="00CB2AB5"/>
    <w:rsid w:val="00CB3B2A"/>
    <w:rsid w:val="00CB5B53"/>
    <w:rsid w:val="00CB61B0"/>
    <w:rsid w:val="00CB69D4"/>
    <w:rsid w:val="00CC6520"/>
    <w:rsid w:val="00CE4EF8"/>
    <w:rsid w:val="00CE7E8B"/>
    <w:rsid w:val="00CF1375"/>
    <w:rsid w:val="00D05C90"/>
    <w:rsid w:val="00D1064A"/>
    <w:rsid w:val="00D12D06"/>
    <w:rsid w:val="00D145B8"/>
    <w:rsid w:val="00D17CEB"/>
    <w:rsid w:val="00D21BC7"/>
    <w:rsid w:val="00D24D83"/>
    <w:rsid w:val="00D275B1"/>
    <w:rsid w:val="00D2777C"/>
    <w:rsid w:val="00D2790B"/>
    <w:rsid w:val="00D30E1E"/>
    <w:rsid w:val="00D40CAE"/>
    <w:rsid w:val="00D415D2"/>
    <w:rsid w:val="00D47A91"/>
    <w:rsid w:val="00D47FC3"/>
    <w:rsid w:val="00D56DAF"/>
    <w:rsid w:val="00D56FEC"/>
    <w:rsid w:val="00D82408"/>
    <w:rsid w:val="00D829CE"/>
    <w:rsid w:val="00D82E23"/>
    <w:rsid w:val="00D90C3A"/>
    <w:rsid w:val="00D910A2"/>
    <w:rsid w:val="00D92381"/>
    <w:rsid w:val="00D97504"/>
    <w:rsid w:val="00D97FA3"/>
    <w:rsid w:val="00DB0803"/>
    <w:rsid w:val="00DB7754"/>
    <w:rsid w:val="00DB7C6C"/>
    <w:rsid w:val="00DC4940"/>
    <w:rsid w:val="00DD1F4C"/>
    <w:rsid w:val="00DD3280"/>
    <w:rsid w:val="00DD3CEA"/>
    <w:rsid w:val="00DE5DCF"/>
    <w:rsid w:val="00E015A3"/>
    <w:rsid w:val="00E07CC9"/>
    <w:rsid w:val="00E101FC"/>
    <w:rsid w:val="00E1625C"/>
    <w:rsid w:val="00E22AA2"/>
    <w:rsid w:val="00E22B64"/>
    <w:rsid w:val="00E247F1"/>
    <w:rsid w:val="00E254DE"/>
    <w:rsid w:val="00E30003"/>
    <w:rsid w:val="00E31D6B"/>
    <w:rsid w:val="00E32252"/>
    <w:rsid w:val="00E350AB"/>
    <w:rsid w:val="00E35348"/>
    <w:rsid w:val="00E361C8"/>
    <w:rsid w:val="00E43BEC"/>
    <w:rsid w:val="00E4412A"/>
    <w:rsid w:val="00E47093"/>
    <w:rsid w:val="00E51A5F"/>
    <w:rsid w:val="00E51BC4"/>
    <w:rsid w:val="00E547D8"/>
    <w:rsid w:val="00E5482D"/>
    <w:rsid w:val="00E5491F"/>
    <w:rsid w:val="00E57AE2"/>
    <w:rsid w:val="00E673DD"/>
    <w:rsid w:val="00E71775"/>
    <w:rsid w:val="00E758C1"/>
    <w:rsid w:val="00E806ED"/>
    <w:rsid w:val="00E87A28"/>
    <w:rsid w:val="00E90EAE"/>
    <w:rsid w:val="00E92C57"/>
    <w:rsid w:val="00E92EAB"/>
    <w:rsid w:val="00E94239"/>
    <w:rsid w:val="00EA4E0B"/>
    <w:rsid w:val="00EA5A4D"/>
    <w:rsid w:val="00EB038E"/>
    <w:rsid w:val="00EB45FF"/>
    <w:rsid w:val="00EB46AA"/>
    <w:rsid w:val="00EB4FF7"/>
    <w:rsid w:val="00EC328B"/>
    <w:rsid w:val="00ED585E"/>
    <w:rsid w:val="00EE488E"/>
    <w:rsid w:val="00EF000F"/>
    <w:rsid w:val="00EF02A1"/>
    <w:rsid w:val="00EF1BC8"/>
    <w:rsid w:val="00EF4B68"/>
    <w:rsid w:val="00EF7226"/>
    <w:rsid w:val="00F012BF"/>
    <w:rsid w:val="00F05957"/>
    <w:rsid w:val="00F05996"/>
    <w:rsid w:val="00F10951"/>
    <w:rsid w:val="00F11475"/>
    <w:rsid w:val="00F12FDB"/>
    <w:rsid w:val="00F14127"/>
    <w:rsid w:val="00F21A6C"/>
    <w:rsid w:val="00F24E68"/>
    <w:rsid w:val="00F2521F"/>
    <w:rsid w:val="00F26723"/>
    <w:rsid w:val="00F33AC5"/>
    <w:rsid w:val="00F350D5"/>
    <w:rsid w:val="00F37513"/>
    <w:rsid w:val="00F37C7D"/>
    <w:rsid w:val="00F432FD"/>
    <w:rsid w:val="00F45425"/>
    <w:rsid w:val="00F5021F"/>
    <w:rsid w:val="00F524A0"/>
    <w:rsid w:val="00F5570D"/>
    <w:rsid w:val="00F567EA"/>
    <w:rsid w:val="00F60550"/>
    <w:rsid w:val="00F63F7A"/>
    <w:rsid w:val="00F64C75"/>
    <w:rsid w:val="00F64CB0"/>
    <w:rsid w:val="00F7101A"/>
    <w:rsid w:val="00F71FC6"/>
    <w:rsid w:val="00F72874"/>
    <w:rsid w:val="00F72C35"/>
    <w:rsid w:val="00F731AC"/>
    <w:rsid w:val="00F747E6"/>
    <w:rsid w:val="00F74B39"/>
    <w:rsid w:val="00F76036"/>
    <w:rsid w:val="00F857DE"/>
    <w:rsid w:val="00F86571"/>
    <w:rsid w:val="00F90AAB"/>
    <w:rsid w:val="00F9224A"/>
    <w:rsid w:val="00F93F67"/>
    <w:rsid w:val="00F94D7A"/>
    <w:rsid w:val="00FA165C"/>
    <w:rsid w:val="00FA1B50"/>
    <w:rsid w:val="00FA3584"/>
    <w:rsid w:val="00FA4BA1"/>
    <w:rsid w:val="00FA4DD2"/>
    <w:rsid w:val="00FA578B"/>
    <w:rsid w:val="00FB0FED"/>
    <w:rsid w:val="00FB2185"/>
    <w:rsid w:val="00FB3623"/>
    <w:rsid w:val="00FB5ACD"/>
    <w:rsid w:val="00FB6FBF"/>
    <w:rsid w:val="00FC3A80"/>
    <w:rsid w:val="00FC3DBA"/>
    <w:rsid w:val="00FC5E6B"/>
    <w:rsid w:val="00FD3C75"/>
    <w:rsid w:val="00FD7114"/>
    <w:rsid w:val="00FE00A8"/>
    <w:rsid w:val="00FE24D4"/>
    <w:rsid w:val="00FE5FA6"/>
    <w:rsid w:val="00FF4292"/>
    <w:rsid w:val="00FF48B7"/>
    <w:rsid w:val="00FF6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Outline List 2"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72"/>
    <w:pPr>
      <w:spacing w:after="200" w:line="276" w:lineRule="auto"/>
    </w:pPr>
    <w:rPr>
      <w:sz w:val="22"/>
      <w:szCs w:val="22"/>
    </w:rPr>
  </w:style>
  <w:style w:type="paragraph" w:styleId="Heading1">
    <w:name w:val="heading 1"/>
    <w:aliases w:val="Hoofdstukkop"/>
    <w:basedOn w:val="Normal"/>
    <w:next w:val="Normal"/>
    <w:link w:val="Heading1Char"/>
    <w:uiPriority w:val="9"/>
    <w:qFormat/>
    <w:rsid w:val="00847BCE"/>
    <w:pPr>
      <w:numPr>
        <w:numId w:val="20"/>
      </w:numPr>
      <w:spacing w:before="300" w:after="40"/>
      <w:outlineLvl w:val="0"/>
    </w:pPr>
    <w:rPr>
      <w:rFonts w:asciiTheme="minorHAnsi" w:eastAsia="Times New Roman" w:hAnsiTheme="minorHAnsi" w:cstheme="minorBidi"/>
      <w:smallCaps/>
      <w:spacing w:val="5"/>
      <w:sz w:val="32"/>
      <w:szCs w:val="32"/>
      <w:lang w:bidi="en-US"/>
    </w:rPr>
  </w:style>
  <w:style w:type="paragraph" w:styleId="Heading2">
    <w:name w:val="heading 2"/>
    <w:basedOn w:val="Normal"/>
    <w:next w:val="Normal"/>
    <w:link w:val="Heading2Char"/>
    <w:uiPriority w:val="9"/>
    <w:unhideWhenUsed/>
    <w:qFormat/>
    <w:rsid w:val="00847BCE"/>
    <w:pPr>
      <w:numPr>
        <w:ilvl w:val="1"/>
        <w:numId w:val="20"/>
      </w:numPr>
      <w:spacing w:before="240" w:after="80"/>
      <w:outlineLvl w:val="1"/>
    </w:pPr>
    <w:rPr>
      <w:rFonts w:asciiTheme="minorHAnsi" w:eastAsia="Times New Roman" w:hAnsiTheme="minorHAnsi" w:cstheme="minorBidi"/>
      <w:smallCaps/>
      <w:spacing w:val="5"/>
      <w:sz w:val="28"/>
      <w:szCs w:val="28"/>
      <w:lang w:bidi="en-US"/>
    </w:rPr>
  </w:style>
  <w:style w:type="paragraph" w:styleId="Heading3">
    <w:name w:val="heading 3"/>
    <w:basedOn w:val="Normal"/>
    <w:next w:val="Normal"/>
    <w:link w:val="Heading3Char"/>
    <w:uiPriority w:val="9"/>
    <w:unhideWhenUsed/>
    <w:qFormat/>
    <w:rsid w:val="00847BCE"/>
    <w:pPr>
      <w:numPr>
        <w:ilvl w:val="2"/>
        <w:numId w:val="20"/>
      </w:numPr>
      <w:spacing w:after="0"/>
      <w:outlineLvl w:val="2"/>
    </w:pPr>
    <w:rPr>
      <w:rFonts w:asciiTheme="minorHAnsi" w:eastAsia="Times New Roman" w:hAnsiTheme="minorHAnsi" w:cstheme="minorBidi"/>
      <w:smallCaps/>
      <w:spacing w:val="5"/>
      <w:sz w:val="24"/>
      <w:szCs w:val="24"/>
      <w:lang w:bidi="en-US"/>
    </w:rPr>
  </w:style>
  <w:style w:type="paragraph" w:styleId="Heading4">
    <w:name w:val="heading 4"/>
    <w:basedOn w:val="Normal"/>
    <w:next w:val="Normal"/>
    <w:link w:val="Heading4Char"/>
    <w:uiPriority w:val="9"/>
    <w:unhideWhenUsed/>
    <w:qFormat/>
    <w:rsid w:val="00847BCE"/>
    <w:pPr>
      <w:numPr>
        <w:ilvl w:val="3"/>
        <w:numId w:val="20"/>
      </w:numPr>
      <w:spacing w:before="240" w:after="0"/>
      <w:outlineLvl w:val="3"/>
    </w:pPr>
    <w:rPr>
      <w:rFonts w:asciiTheme="minorHAnsi" w:eastAsia="Times New Roman" w:hAnsiTheme="minorHAnsi" w:cstheme="minorBidi"/>
      <w:smallCaps/>
      <w:spacing w:val="10"/>
      <w:lang w:bidi="en-US"/>
    </w:rPr>
  </w:style>
  <w:style w:type="paragraph" w:styleId="Heading5">
    <w:name w:val="heading 5"/>
    <w:basedOn w:val="Normal"/>
    <w:next w:val="Normal"/>
    <w:link w:val="Heading5Char"/>
    <w:uiPriority w:val="9"/>
    <w:semiHidden/>
    <w:unhideWhenUsed/>
    <w:qFormat/>
    <w:rsid w:val="00847BCE"/>
    <w:pPr>
      <w:numPr>
        <w:ilvl w:val="4"/>
        <w:numId w:val="20"/>
      </w:numPr>
      <w:spacing w:before="200" w:after="0"/>
      <w:outlineLvl w:val="4"/>
    </w:pPr>
    <w:rPr>
      <w:rFonts w:asciiTheme="minorHAnsi" w:eastAsia="Times New Roman" w:hAnsiTheme="minorHAnsi" w:cstheme="minorBidi"/>
      <w:smallCaps/>
      <w:color w:val="943634" w:themeColor="accent2" w:themeShade="BF"/>
      <w:spacing w:val="10"/>
      <w:szCs w:val="26"/>
      <w:lang w:bidi="en-US"/>
    </w:rPr>
  </w:style>
  <w:style w:type="paragraph" w:styleId="Heading6">
    <w:name w:val="heading 6"/>
    <w:basedOn w:val="Normal"/>
    <w:next w:val="Normal"/>
    <w:link w:val="Heading6Char"/>
    <w:uiPriority w:val="9"/>
    <w:semiHidden/>
    <w:unhideWhenUsed/>
    <w:qFormat/>
    <w:rsid w:val="00847BCE"/>
    <w:pPr>
      <w:numPr>
        <w:ilvl w:val="5"/>
        <w:numId w:val="20"/>
      </w:numPr>
      <w:spacing w:after="0"/>
      <w:outlineLvl w:val="5"/>
    </w:pPr>
    <w:rPr>
      <w:rFonts w:asciiTheme="minorHAnsi" w:eastAsia="Times New Roman" w:hAnsiTheme="minorHAnsi" w:cstheme="minorBidi"/>
      <w:smallCaps/>
      <w:color w:val="C0504D" w:themeColor="accent2"/>
      <w:spacing w:val="5"/>
      <w:szCs w:val="20"/>
      <w:lang w:bidi="en-US"/>
    </w:rPr>
  </w:style>
  <w:style w:type="paragraph" w:styleId="Heading7">
    <w:name w:val="heading 7"/>
    <w:basedOn w:val="Normal"/>
    <w:next w:val="Normal"/>
    <w:link w:val="Heading7Char"/>
    <w:uiPriority w:val="9"/>
    <w:semiHidden/>
    <w:unhideWhenUsed/>
    <w:qFormat/>
    <w:rsid w:val="00847BCE"/>
    <w:pPr>
      <w:numPr>
        <w:ilvl w:val="6"/>
        <w:numId w:val="20"/>
      </w:numPr>
      <w:spacing w:after="0"/>
      <w:outlineLvl w:val="6"/>
    </w:pPr>
    <w:rPr>
      <w:rFonts w:asciiTheme="minorHAnsi" w:eastAsiaTheme="minorEastAsia" w:hAnsiTheme="minorHAnsi" w:cstheme="minorBidi"/>
      <w:b/>
      <w:smallCaps/>
      <w:color w:val="C0504D" w:themeColor="accent2"/>
      <w:spacing w:val="10"/>
      <w:sz w:val="20"/>
      <w:szCs w:val="20"/>
      <w:lang w:bidi="en-US"/>
    </w:rPr>
  </w:style>
  <w:style w:type="paragraph" w:styleId="Heading8">
    <w:name w:val="heading 8"/>
    <w:basedOn w:val="Normal"/>
    <w:next w:val="Normal"/>
    <w:link w:val="Heading8Char"/>
    <w:uiPriority w:val="9"/>
    <w:semiHidden/>
    <w:unhideWhenUsed/>
    <w:qFormat/>
    <w:rsid w:val="00847BCE"/>
    <w:pPr>
      <w:numPr>
        <w:ilvl w:val="7"/>
        <w:numId w:val="20"/>
      </w:numPr>
      <w:spacing w:after="0"/>
      <w:outlineLvl w:val="7"/>
    </w:pPr>
    <w:rPr>
      <w:rFonts w:asciiTheme="minorHAnsi" w:eastAsiaTheme="minorEastAsia" w:hAnsiTheme="minorHAnsi" w:cstheme="minorBidi"/>
      <w:b/>
      <w:i/>
      <w:smallCaps/>
      <w:color w:val="943634" w:themeColor="accent2" w:themeShade="BF"/>
      <w:sz w:val="20"/>
      <w:szCs w:val="20"/>
      <w:lang w:bidi="en-US"/>
    </w:rPr>
  </w:style>
  <w:style w:type="paragraph" w:styleId="Heading9">
    <w:name w:val="heading 9"/>
    <w:basedOn w:val="Normal"/>
    <w:next w:val="Normal"/>
    <w:link w:val="Heading9Char"/>
    <w:uiPriority w:val="9"/>
    <w:semiHidden/>
    <w:unhideWhenUsed/>
    <w:qFormat/>
    <w:rsid w:val="00847BCE"/>
    <w:pPr>
      <w:numPr>
        <w:ilvl w:val="8"/>
        <w:numId w:val="20"/>
      </w:numPr>
      <w:spacing w:after="0"/>
      <w:outlineLvl w:val="8"/>
    </w:pPr>
    <w:rPr>
      <w:rFonts w:asciiTheme="minorHAnsi" w:eastAsiaTheme="minorEastAsia" w:hAnsiTheme="minorHAnsi" w:cstheme="minorBidi"/>
      <w:b/>
      <w:i/>
      <w:smallCaps/>
      <w:color w:val="622423" w:themeColor="accent2" w:themeShade="7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FEC"/>
    <w:rPr>
      <w:color w:val="0000FF"/>
      <w:u w:val="single"/>
    </w:rPr>
  </w:style>
  <w:style w:type="paragraph" w:styleId="PlainText">
    <w:name w:val="Plain Text"/>
    <w:basedOn w:val="Normal"/>
    <w:link w:val="PlainTextChar"/>
    <w:uiPriority w:val="99"/>
    <w:semiHidden/>
    <w:unhideWhenUsed/>
    <w:rsid w:val="00D56F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56FEC"/>
    <w:rPr>
      <w:rFonts w:ascii="Consolas" w:hAnsi="Consolas" w:cs="Times New Roman"/>
      <w:sz w:val="21"/>
      <w:szCs w:val="21"/>
    </w:rPr>
  </w:style>
  <w:style w:type="paragraph" w:styleId="Header">
    <w:name w:val="header"/>
    <w:basedOn w:val="Normal"/>
    <w:link w:val="HeaderChar"/>
    <w:unhideWhenUsed/>
    <w:rsid w:val="00D56FEC"/>
    <w:pPr>
      <w:tabs>
        <w:tab w:val="center" w:pos="4703"/>
        <w:tab w:val="right" w:pos="9406"/>
      </w:tabs>
      <w:spacing w:after="0" w:line="240" w:lineRule="auto"/>
    </w:pPr>
  </w:style>
  <w:style w:type="character" w:customStyle="1" w:styleId="HeaderChar">
    <w:name w:val="Header Char"/>
    <w:basedOn w:val="DefaultParagraphFont"/>
    <w:link w:val="Header"/>
    <w:uiPriority w:val="99"/>
    <w:rsid w:val="00D56FEC"/>
  </w:style>
  <w:style w:type="paragraph" w:styleId="Footer">
    <w:name w:val="footer"/>
    <w:basedOn w:val="Normal"/>
    <w:link w:val="FooterChar"/>
    <w:unhideWhenUsed/>
    <w:rsid w:val="00D56FEC"/>
    <w:pPr>
      <w:tabs>
        <w:tab w:val="center" w:pos="4703"/>
        <w:tab w:val="right" w:pos="9406"/>
      </w:tabs>
      <w:spacing w:after="0" w:line="240" w:lineRule="auto"/>
    </w:pPr>
  </w:style>
  <w:style w:type="character" w:customStyle="1" w:styleId="FooterChar">
    <w:name w:val="Footer Char"/>
    <w:basedOn w:val="DefaultParagraphFont"/>
    <w:link w:val="Footer"/>
    <w:uiPriority w:val="99"/>
    <w:rsid w:val="00D56FEC"/>
  </w:style>
  <w:style w:type="paragraph" w:styleId="BalloonText">
    <w:name w:val="Balloon Text"/>
    <w:basedOn w:val="Normal"/>
    <w:link w:val="BalloonTextChar"/>
    <w:uiPriority w:val="99"/>
    <w:semiHidden/>
    <w:unhideWhenUsed/>
    <w:rsid w:val="00957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E55"/>
    <w:rPr>
      <w:rFonts w:ascii="Tahoma" w:hAnsi="Tahoma" w:cs="Tahoma"/>
      <w:sz w:val="16"/>
      <w:szCs w:val="16"/>
    </w:rPr>
  </w:style>
  <w:style w:type="character" w:customStyle="1" w:styleId="Heading1Char">
    <w:name w:val="Heading 1 Char"/>
    <w:aliases w:val="Hoofdstukkop Char"/>
    <w:basedOn w:val="DefaultParagraphFont"/>
    <w:link w:val="Heading1"/>
    <w:uiPriority w:val="9"/>
    <w:rsid w:val="00847BCE"/>
    <w:rPr>
      <w:rFonts w:asciiTheme="minorHAnsi" w:eastAsia="Times New Roman" w:hAnsiTheme="minorHAnsi" w:cstheme="minorBidi"/>
      <w:smallCaps/>
      <w:spacing w:val="5"/>
      <w:sz w:val="32"/>
      <w:szCs w:val="32"/>
      <w:lang w:bidi="en-US"/>
    </w:rPr>
  </w:style>
  <w:style w:type="character" w:customStyle="1" w:styleId="Heading2Char">
    <w:name w:val="Heading 2 Char"/>
    <w:basedOn w:val="DefaultParagraphFont"/>
    <w:link w:val="Heading2"/>
    <w:uiPriority w:val="9"/>
    <w:rsid w:val="00847BCE"/>
    <w:rPr>
      <w:rFonts w:asciiTheme="minorHAnsi" w:eastAsia="Times New Roman" w:hAnsiTheme="minorHAnsi" w:cstheme="minorBidi"/>
      <w:smallCaps/>
      <w:spacing w:val="5"/>
      <w:sz w:val="28"/>
      <w:szCs w:val="28"/>
      <w:lang w:bidi="en-US"/>
    </w:rPr>
  </w:style>
  <w:style w:type="character" w:customStyle="1" w:styleId="Heading3Char">
    <w:name w:val="Heading 3 Char"/>
    <w:basedOn w:val="DefaultParagraphFont"/>
    <w:link w:val="Heading3"/>
    <w:uiPriority w:val="9"/>
    <w:rsid w:val="00847BCE"/>
    <w:rPr>
      <w:rFonts w:asciiTheme="minorHAnsi" w:eastAsia="Times New Roman" w:hAnsiTheme="minorHAnsi" w:cstheme="minorBidi"/>
      <w:smallCaps/>
      <w:spacing w:val="5"/>
      <w:sz w:val="24"/>
      <w:szCs w:val="24"/>
      <w:lang w:bidi="en-US"/>
    </w:rPr>
  </w:style>
  <w:style w:type="character" w:customStyle="1" w:styleId="Heading4Char">
    <w:name w:val="Heading 4 Char"/>
    <w:basedOn w:val="DefaultParagraphFont"/>
    <w:link w:val="Heading4"/>
    <w:uiPriority w:val="9"/>
    <w:rsid w:val="00847BCE"/>
    <w:rPr>
      <w:rFonts w:asciiTheme="minorHAnsi" w:eastAsia="Times New Roman" w:hAnsiTheme="minorHAnsi" w:cstheme="minorBidi"/>
      <w:smallCaps/>
      <w:spacing w:val="10"/>
      <w:sz w:val="22"/>
      <w:szCs w:val="22"/>
      <w:lang w:bidi="en-US"/>
    </w:rPr>
  </w:style>
  <w:style w:type="character" w:customStyle="1" w:styleId="Heading5Char">
    <w:name w:val="Heading 5 Char"/>
    <w:basedOn w:val="DefaultParagraphFont"/>
    <w:link w:val="Heading5"/>
    <w:uiPriority w:val="9"/>
    <w:semiHidden/>
    <w:rsid w:val="00847BCE"/>
    <w:rPr>
      <w:rFonts w:asciiTheme="minorHAnsi" w:eastAsia="Times New Roman" w:hAnsiTheme="minorHAnsi" w:cstheme="minorBidi"/>
      <w:smallCaps/>
      <w:color w:val="943634" w:themeColor="accent2" w:themeShade="BF"/>
      <w:spacing w:val="10"/>
      <w:sz w:val="22"/>
      <w:szCs w:val="26"/>
      <w:lang w:bidi="en-US"/>
    </w:rPr>
  </w:style>
  <w:style w:type="character" w:customStyle="1" w:styleId="Heading6Char">
    <w:name w:val="Heading 6 Char"/>
    <w:basedOn w:val="DefaultParagraphFont"/>
    <w:link w:val="Heading6"/>
    <w:uiPriority w:val="9"/>
    <w:semiHidden/>
    <w:rsid w:val="00847BCE"/>
    <w:rPr>
      <w:rFonts w:asciiTheme="minorHAnsi" w:eastAsia="Times New Roman" w:hAnsiTheme="minorHAnsi" w:cstheme="minorBidi"/>
      <w:smallCaps/>
      <w:color w:val="C0504D" w:themeColor="accent2"/>
      <w:spacing w:val="5"/>
      <w:sz w:val="22"/>
      <w:lang w:bidi="en-US"/>
    </w:rPr>
  </w:style>
  <w:style w:type="character" w:customStyle="1" w:styleId="Heading7Char">
    <w:name w:val="Heading 7 Char"/>
    <w:basedOn w:val="DefaultParagraphFont"/>
    <w:link w:val="Heading7"/>
    <w:uiPriority w:val="9"/>
    <w:semiHidden/>
    <w:rsid w:val="00847BCE"/>
    <w:rPr>
      <w:rFonts w:asciiTheme="minorHAnsi" w:eastAsiaTheme="minorEastAsia" w:hAnsiTheme="minorHAnsi" w:cstheme="minorBidi"/>
      <w:b/>
      <w:smallCaps/>
      <w:color w:val="C0504D" w:themeColor="accent2"/>
      <w:spacing w:val="10"/>
      <w:lang w:bidi="en-US"/>
    </w:rPr>
  </w:style>
  <w:style w:type="character" w:customStyle="1" w:styleId="Heading8Char">
    <w:name w:val="Heading 8 Char"/>
    <w:basedOn w:val="DefaultParagraphFont"/>
    <w:link w:val="Heading8"/>
    <w:uiPriority w:val="9"/>
    <w:semiHidden/>
    <w:rsid w:val="00847BCE"/>
    <w:rPr>
      <w:rFonts w:asciiTheme="minorHAnsi" w:eastAsiaTheme="minorEastAsia" w:hAnsiTheme="minorHAnsi" w:cstheme="minorBidi"/>
      <w:b/>
      <w:i/>
      <w:smallCaps/>
      <w:color w:val="943634" w:themeColor="accent2" w:themeShade="BF"/>
      <w:lang w:bidi="en-US"/>
    </w:rPr>
  </w:style>
  <w:style w:type="character" w:customStyle="1" w:styleId="Heading9Char">
    <w:name w:val="Heading 9 Char"/>
    <w:basedOn w:val="DefaultParagraphFont"/>
    <w:link w:val="Heading9"/>
    <w:uiPriority w:val="9"/>
    <w:semiHidden/>
    <w:rsid w:val="00847BCE"/>
    <w:rPr>
      <w:rFonts w:asciiTheme="minorHAnsi" w:eastAsiaTheme="minorEastAsia" w:hAnsiTheme="minorHAnsi" w:cstheme="minorBidi"/>
      <w:b/>
      <w:i/>
      <w:smallCaps/>
      <w:color w:val="622423" w:themeColor="accent2" w:themeShade="7F"/>
      <w:lang w:bidi="en-US"/>
    </w:rPr>
  </w:style>
  <w:style w:type="character" w:styleId="FollowedHyperlink">
    <w:name w:val="FollowedHyperlink"/>
    <w:basedOn w:val="DefaultParagraphFont"/>
    <w:semiHidden/>
    <w:unhideWhenUsed/>
    <w:rsid w:val="00847BCE"/>
    <w:rPr>
      <w:rFonts w:ascii="Times New Roman" w:hAnsi="Times New Roman" w:cs="Times New Roman" w:hint="default"/>
      <w:color w:val="800080"/>
      <w:u w:val="single"/>
    </w:rPr>
  </w:style>
  <w:style w:type="character" w:styleId="Emphasis">
    <w:name w:val="Emphasis"/>
    <w:uiPriority w:val="20"/>
    <w:qFormat/>
    <w:rsid w:val="00847BCE"/>
    <w:rPr>
      <w:b/>
      <w:bCs w:val="0"/>
      <w:i/>
      <w:iCs w:val="0"/>
      <w:spacing w:val="10"/>
    </w:rPr>
  </w:style>
  <w:style w:type="character" w:customStyle="1" w:styleId="Heading1Char1">
    <w:name w:val="Heading 1 Char1"/>
    <w:aliases w:val="Hoofdstukkop Char1"/>
    <w:basedOn w:val="DefaultParagraphFont"/>
    <w:uiPriority w:val="9"/>
    <w:rsid w:val="00847BCE"/>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semiHidden/>
    <w:unhideWhenUsed/>
    <w:rsid w:val="0084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bidi="en-US"/>
    </w:rPr>
  </w:style>
  <w:style w:type="character" w:customStyle="1" w:styleId="HTMLPreformattedChar">
    <w:name w:val="HTML Preformatted Char"/>
    <w:basedOn w:val="DefaultParagraphFont"/>
    <w:link w:val="HTMLPreformatted"/>
    <w:semiHidden/>
    <w:rsid w:val="00847BCE"/>
    <w:rPr>
      <w:rFonts w:ascii="Courier New" w:eastAsiaTheme="minorEastAsia" w:hAnsi="Courier New" w:cs="Courier New"/>
      <w:lang w:bidi="en-US"/>
    </w:rPr>
  </w:style>
  <w:style w:type="character" w:styleId="Strong">
    <w:name w:val="Strong"/>
    <w:uiPriority w:val="22"/>
    <w:qFormat/>
    <w:rsid w:val="00847BCE"/>
    <w:rPr>
      <w:b/>
      <w:bCs w:val="0"/>
      <w:color w:val="C0504D" w:themeColor="accent2"/>
    </w:rPr>
  </w:style>
  <w:style w:type="paragraph" w:styleId="NormalWeb">
    <w:name w:val="Normal (Web)"/>
    <w:basedOn w:val="Normal"/>
    <w:uiPriority w:val="99"/>
    <w:unhideWhenUsed/>
    <w:rsid w:val="00847BCE"/>
    <w:pPr>
      <w:spacing w:before="100" w:beforeAutospacing="1" w:after="100" w:line="240" w:lineRule="auto"/>
      <w:jc w:val="both"/>
    </w:pPr>
    <w:rPr>
      <w:rFonts w:asciiTheme="minorHAnsi" w:eastAsiaTheme="minorEastAsia" w:hAnsiTheme="minorHAnsi" w:cstheme="minorBidi"/>
      <w:sz w:val="20"/>
      <w:szCs w:val="24"/>
      <w:lang w:bidi="en-US"/>
    </w:rPr>
  </w:style>
  <w:style w:type="paragraph" w:styleId="Index1">
    <w:name w:val="index 1"/>
    <w:basedOn w:val="Normal"/>
    <w:next w:val="Normal"/>
    <w:autoRedefine/>
    <w:uiPriority w:val="99"/>
    <w:semiHidden/>
    <w:unhideWhenUsed/>
    <w:rsid w:val="00847BCE"/>
    <w:pPr>
      <w:spacing w:after="0" w:line="240" w:lineRule="auto"/>
      <w:ind w:left="240" w:hanging="240"/>
      <w:jc w:val="both"/>
    </w:pPr>
    <w:rPr>
      <w:rFonts w:ascii="Times New Roman" w:eastAsiaTheme="minorEastAsia" w:hAnsi="Times New Roman" w:cstheme="minorBidi"/>
      <w:sz w:val="24"/>
      <w:szCs w:val="24"/>
      <w:lang w:val="en-GB" w:bidi="en-US"/>
    </w:rPr>
  </w:style>
  <w:style w:type="paragraph" w:styleId="Index2">
    <w:name w:val="index 2"/>
    <w:basedOn w:val="Normal"/>
    <w:next w:val="Normal"/>
    <w:autoRedefine/>
    <w:uiPriority w:val="99"/>
    <w:semiHidden/>
    <w:unhideWhenUsed/>
    <w:rsid w:val="00847BCE"/>
    <w:pPr>
      <w:spacing w:after="0" w:line="240" w:lineRule="auto"/>
      <w:ind w:left="480" w:hanging="240"/>
      <w:jc w:val="both"/>
    </w:pPr>
    <w:rPr>
      <w:rFonts w:ascii="Times New Roman" w:eastAsiaTheme="minorEastAsia" w:hAnsi="Times New Roman" w:cstheme="minorBidi"/>
      <w:sz w:val="24"/>
      <w:szCs w:val="24"/>
      <w:lang w:val="en-GB" w:bidi="en-US"/>
    </w:rPr>
  </w:style>
  <w:style w:type="paragraph" w:styleId="Index3">
    <w:name w:val="index 3"/>
    <w:basedOn w:val="Normal"/>
    <w:next w:val="Normal"/>
    <w:autoRedefine/>
    <w:uiPriority w:val="99"/>
    <w:semiHidden/>
    <w:unhideWhenUsed/>
    <w:rsid w:val="00847BCE"/>
    <w:pPr>
      <w:spacing w:after="0" w:line="240" w:lineRule="auto"/>
      <w:ind w:left="720" w:hanging="240"/>
      <w:jc w:val="both"/>
    </w:pPr>
    <w:rPr>
      <w:rFonts w:ascii="Times New Roman" w:eastAsiaTheme="minorEastAsia" w:hAnsi="Times New Roman" w:cstheme="minorBidi"/>
      <w:sz w:val="24"/>
      <w:szCs w:val="24"/>
      <w:lang w:val="en-GB" w:bidi="en-US"/>
    </w:rPr>
  </w:style>
  <w:style w:type="paragraph" w:styleId="Index4">
    <w:name w:val="index 4"/>
    <w:basedOn w:val="Normal"/>
    <w:next w:val="Normal"/>
    <w:autoRedefine/>
    <w:uiPriority w:val="99"/>
    <w:semiHidden/>
    <w:unhideWhenUsed/>
    <w:rsid w:val="00847BCE"/>
    <w:pPr>
      <w:spacing w:after="0" w:line="240" w:lineRule="auto"/>
      <w:ind w:left="960" w:hanging="240"/>
      <w:jc w:val="both"/>
    </w:pPr>
    <w:rPr>
      <w:rFonts w:ascii="Times New Roman" w:eastAsiaTheme="minorEastAsia" w:hAnsi="Times New Roman" w:cstheme="minorBidi"/>
      <w:sz w:val="24"/>
      <w:szCs w:val="24"/>
      <w:lang w:val="en-GB" w:bidi="en-US"/>
    </w:rPr>
  </w:style>
  <w:style w:type="paragraph" w:styleId="Index5">
    <w:name w:val="index 5"/>
    <w:basedOn w:val="Normal"/>
    <w:next w:val="Normal"/>
    <w:autoRedefine/>
    <w:uiPriority w:val="99"/>
    <w:semiHidden/>
    <w:unhideWhenUsed/>
    <w:rsid w:val="00847BCE"/>
    <w:pPr>
      <w:spacing w:after="0" w:line="240" w:lineRule="auto"/>
      <w:ind w:left="1200" w:hanging="240"/>
      <w:jc w:val="both"/>
    </w:pPr>
    <w:rPr>
      <w:rFonts w:ascii="Times New Roman" w:eastAsiaTheme="minorEastAsia" w:hAnsi="Times New Roman" w:cstheme="minorBidi"/>
      <w:sz w:val="24"/>
      <w:szCs w:val="24"/>
      <w:lang w:val="en-GB" w:bidi="en-US"/>
    </w:rPr>
  </w:style>
  <w:style w:type="paragraph" w:styleId="Index6">
    <w:name w:val="index 6"/>
    <w:basedOn w:val="Normal"/>
    <w:next w:val="Normal"/>
    <w:autoRedefine/>
    <w:uiPriority w:val="99"/>
    <w:semiHidden/>
    <w:unhideWhenUsed/>
    <w:rsid w:val="00847BCE"/>
    <w:pPr>
      <w:spacing w:after="0" w:line="240" w:lineRule="auto"/>
      <w:ind w:left="1440" w:hanging="240"/>
      <w:jc w:val="both"/>
    </w:pPr>
    <w:rPr>
      <w:rFonts w:ascii="Times New Roman" w:eastAsiaTheme="minorEastAsia" w:hAnsi="Times New Roman" w:cstheme="minorBidi"/>
      <w:sz w:val="24"/>
      <w:szCs w:val="24"/>
      <w:lang w:val="en-GB" w:bidi="en-US"/>
    </w:rPr>
  </w:style>
  <w:style w:type="paragraph" w:styleId="Index7">
    <w:name w:val="index 7"/>
    <w:basedOn w:val="Normal"/>
    <w:next w:val="Normal"/>
    <w:autoRedefine/>
    <w:uiPriority w:val="99"/>
    <w:semiHidden/>
    <w:unhideWhenUsed/>
    <w:rsid w:val="00847BCE"/>
    <w:pPr>
      <w:spacing w:after="0" w:line="240" w:lineRule="auto"/>
      <w:ind w:left="1680" w:hanging="240"/>
      <w:jc w:val="both"/>
    </w:pPr>
    <w:rPr>
      <w:rFonts w:ascii="Times New Roman" w:eastAsiaTheme="minorEastAsia" w:hAnsi="Times New Roman" w:cstheme="minorBidi"/>
      <w:sz w:val="24"/>
      <w:szCs w:val="24"/>
      <w:lang w:val="en-GB" w:bidi="en-US"/>
    </w:rPr>
  </w:style>
  <w:style w:type="paragraph" w:styleId="Index8">
    <w:name w:val="index 8"/>
    <w:basedOn w:val="Normal"/>
    <w:next w:val="Normal"/>
    <w:autoRedefine/>
    <w:uiPriority w:val="99"/>
    <w:semiHidden/>
    <w:unhideWhenUsed/>
    <w:rsid w:val="00847BCE"/>
    <w:pPr>
      <w:spacing w:after="0" w:line="240" w:lineRule="auto"/>
      <w:ind w:left="1920" w:hanging="240"/>
      <w:jc w:val="both"/>
    </w:pPr>
    <w:rPr>
      <w:rFonts w:ascii="Times New Roman" w:eastAsiaTheme="minorEastAsia" w:hAnsi="Times New Roman" w:cstheme="minorBidi"/>
      <w:sz w:val="24"/>
      <w:szCs w:val="24"/>
      <w:lang w:val="en-GB" w:bidi="en-US"/>
    </w:rPr>
  </w:style>
  <w:style w:type="paragraph" w:styleId="Index9">
    <w:name w:val="index 9"/>
    <w:basedOn w:val="Normal"/>
    <w:next w:val="Normal"/>
    <w:autoRedefine/>
    <w:uiPriority w:val="99"/>
    <w:semiHidden/>
    <w:unhideWhenUsed/>
    <w:rsid w:val="00847BCE"/>
    <w:pPr>
      <w:spacing w:after="0" w:line="240" w:lineRule="auto"/>
      <w:ind w:left="2160" w:hanging="240"/>
      <w:jc w:val="both"/>
    </w:pPr>
    <w:rPr>
      <w:rFonts w:ascii="Times New Roman" w:eastAsiaTheme="minorEastAsia" w:hAnsi="Times New Roman" w:cstheme="minorBidi"/>
      <w:sz w:val="24"/>
      <w:szCs w:val="24"/>
      <w:lang w:val="en-GB" w:bidi="en-US"/>
    </w:rPr>
  </w:style>
  <w:style w:type="paragraph" w:styleId="TOC1">
    <w:name w:val="toc 1"/>
    <w:basedOn w:val="Normal"/>
    <w:next w:val="Normal"/>
    <w:autoRedefine/>
    <w:uiPriority w:val="39"/>
    <w:unhideWhenUsed/>
    <w:qFormat/>
    <w:rsid w:val="003E519F"/>
    <w:pPr>
      <w:tabs>
        <w:tab w:val="left" w:pos="460"/>
        <w:tab w:val="right" w:leader="dot" w:pos="10260"/>
      </w:tabs>
      <w:spacing w:after="0" w:line="240" w:lineRule="auto"/>
      <w:jc w:val="both"/>
    </w:pPr>
    <w:rPr>
      <w:rFonts w:asciiTheme="minorHAnsi" w:eastAsiaTheme="minorEastAsia" w:hAnsiTheme="minorHAnsi" w:cstheme="minorBidi"/>
      <w:b/>
      <w:bCs/>
      <w:caps/>
      <w:sz w:val="20"/>
      <w:szCs w:val="20"/>
      <w:lang w:bidi="en-US"/>
    </w:rPr>
  </w:style>
  <w:style w:type="paragraph" w:styleId="TOC2">
    <w:name w:val="toc 2"/>
    <w:basedOn w:val="Normal"/>
    <w:next w:val="Normal"/>
    <w:autoRedefine/>
    <w:uiPriority w:val="39"/>
    <w:unhideWhenUsed/>
    <w:qFormat/>
    <w:rsid w:val="00847BCE"/>
    <w:pPr>
      <w:ind w:left="230"/>
      <w:jc w:val="both"/>
    </w:pPr>
    <w:rPr>
      <w:rFonts w:asciiTheme="minorHAnsi" w:eastAsiaTheme="minorEastAsia" w:hAnsiTheme="minorHAnsi" w:cstheme="minorBidi"/>
      <w:smallCaps/>
      <w:sz w:val="20"/>
      <w:szCs w:val="20"/>
      <w:lang w:bidi="en-US"/>
    </w:rPr>
  </w:style>
  <w:style w:type="paragraph" w:styleId="TOC3">
    <w:name w:val="toc 3"/>
    <w:basedOn w:val="Normal"/>
    <w:next w:val="Normal"/>
    <w:autoRedefine/>
    <w:uiPriority w:val="39"/>
    <w:unhideWhenUsed/>
    <w:qFormat/>
    <w:rsid w:val="00847BCE"/>
    <w:pPr>
      <w:ind w:left="460"/>
      <w:jc w:val="both"/>
    </w:pPr>
    <w:rPr>
      <w:rFonts w:asciiTheme="minorHAnsi" w:eastAsiaTheme="minorEastAsia" w:hAnsiTheme="minorHAnsi" w:cstheme="minorBidi"/>
      <w:i/>
      <w:iCs/>
      <w:sz w:val="20"/>
      <w:szCs w:val="20"/>
      <w:lang w:bidi="en-US"/>
    </w:rPr>
  </w:style>
  <w:style w:type="paragraph" w:styleId="TOC4">
    <w:name w:val="toc 4"/>
    <w:basedOn w:val="Normal"/>
    <w:next w:val="Normal"/>
    <w:autoRedefine/>
    <w:uiPriority w:val="39"/>
    <w:semiHidden/>
    <w:unhideWhenUsed/>
    <w:rsid w:val="00847BCE"/>
    <w:pPr>
      <w:ind w:left="690"/>
      <w:jc w:val="both"/>
    </w:pPr>
    <w:rPr>
      <w:rFonts w:asciiTheme="minorHAnsi" w:eastAsiaTheme="minorEastAsia" w:hAnsiTheme="minorHAnsi" w:cstheme="minorBidi"/>
      <w:sz w:val="18"/>
      <w:szCs w:val="18"/>
      <w:lang w:bidi="en-US"/>
    </w:rPr>
  </w:style>
  <w:style w:type="paragraph" w:styleId="TOC5">
    <w:name w:val="toc 5"/>
    <w:basedOn w:val="Normal"/>
    <w:next w:val="Normal"/>
    <w:autoRedefine/>
    <w:uiPriority w:val="39"/>
    <w:semiHidden/>
    <w:unhideWhenUsed/>
    <w:rsid w:val="00847BCE"/>
    <w:pPr>
      <w:ind w:left="920"/>
      <w:jc w:val="both"/>
    </w:pPr>
    <w:rPr>
      <w:rFonts w:asciiTheme="minorHAnsi" w:eastAsiaTheme="minorEastAsia" w:hAnsiTheme="minorHAnsi" w:cstheme="minorBidi"/>
      <w:sz w:val="18"/>
      <w:szCs w:val="18"/>
      <w:lang w:bidi="en-US"/>
    </w:rPr>
  </w:style>
  <w:style w:type="paragraph" w:styleId="TOC6">
    <w:name w:val="toc 6"/>
    <w:basedOn w:val="Normal"/>
    <w:next w:val="Normal"/>
    <w:autoRedefine/>
    <w:uiPriority w:val="39"/>
    <w:semiHidden/>
    <w:unhideWhenUsed/>
    <w:rsid w:val="00847BCE"/>
    <w:pPr>
      <w:ind w:left="1150"/>
      <w:jc w:val="both"/>
    </w:pPr>
    <w:rPr>
      <w:rFonts w:asciiTheme="minorHAnsi" w:eastAsiaTheme="minorEastAsia" w:hAnsiTheme="minorHAnsi" w:cstheme="minorBidi"/>
      <w:sz w:val="18"/>
      <w:szCs w:val="18"/>
      <w:lang w:bidi="en-US"/>
    </w:rPr>
  </w:style>
  <w:style w:type="paragraph" w:styleId="TOC7">
    <w:name w:val="toc 7"/>
    <w:basedOn w:val="Normal"/>
    <w:next w:val="Normal"/>
    <w:autoRedefine/>
    <w:uiPriority w:val="39"/>
    <w:semiHidden/>
    <w:unhideWhenUsed/>
    <w:rsid w:val="00847BCE"/>
    <w:pPr>
      <w:ind w:left="1380"/>
      <w:jc w:val="both"/>
    </w:pPr>
    <w:rPr>
      <w:rFonts w:asciiTheme="minorHAnsi" w:eastAsiaTheme="minorEastAsia" w:hAnsiTheme="minorHAnsi" w:cstheme="minorBidi"/>
      <w:sz w:val="18"/>
      <w:szCs w:val="18"/>
      <w:lang w:bidi="en-US"/>
    </w:rPr>
  </w:style>
  <w:style w:type="paragraph" w:styleId="TOC8">
    <w:name w:val="toc 8"/>
    <w:basedOn w:val="Normal"/>
    <w:next w:val="Normal"/>
    <w:autoRedefine/>
    <w:uiPriority w:val="39"/>
    <w:semiHidden/>
    <w:unhideWhenUsed/>
    <w:rsid w:val="00847BCE"/>
    <w:pPr>
      <w:ind w:left="1610"/>
      <w:jc w:val="both"/>
    </w:pPr>
    <w:rPr>
      <w:rFonts w:asciiTheme="minorHAnsi" w:eastAsiaTheme="minorEastAsia" w:hAnsiTheme="minorHAnsi" w:cstheme="minorBidi"/>
      <w:sz w:val="18"/>
      <w:szCs w:val="18"/>
      <w:lang w:bidi="en-US"/>
    </w:rPr>
  </w:style>
  <w:style w:type="paragraph" w:styleId="TOC9">
    <w:name w:val="toc 9"/>
    <w:basedOn w:val="Normal"/>
    <w:next w:val="Normal"/>
    <w:autoRedefine/>
    <w:uiPriority w:val="39"/>
    <w:semiHidden/>
    <w:unhideWhenUsed/>
    <w:rsid w:val="00847BCE"/>
    <w:pPr>
      <w:ind w:left="1840"/>
      <w:jc w:val="both"/>
    </w:pPr>
    <w:rPr>
      <w:rFonts w:asciiTheme="minorHAnsi" w:eastAsiaTheme="minorEastAsia" w:hAnsiTheme="minorHAnsi" w:cstheme="minorBidi"/>
      <w:sz w:val="18"/>
      <w:szCs w:val="18"/>
      <w:lang w:bidi="en-US"/>
    </w:rPr>
  </w:style>
  <w:style w:type="paragraph" w:styleId="FootnoteText">
    <w:name w:val="footnote text"/>
    <w:basedOn w:val="Normal"/>
    <w:link w:val="FootnoteTextChar"/>
    <w:uiPriority w:val="99"/>
    <w:semiHidden/>
    <w:unhideWhenUsed/>
    <w:rsid w:val="00847BCE"/>
    <w:pPr>
      <w:spacing w:line="240" w:lineRule="auto"/>
      <w:jc w:val="both"/>
    </w:pPr>
    <w:rPr>
      <w:rFonts w:asciiTheme="minorHAnsi" w:eastAsiaTheme="minorEastAsia" w:hAnsiTheme="minorHAnsi" w:cstheme="minorBidi"/>
      <w:sz w:val="20"/>
      <w:szCs w:val="20"/>
      <w:lang w:val="en-GB" w:bidi="en-US"/>
    </w:rPr>
  </w:style>
  <w:style w:type="character" w:customStyle="1" w:styleId="FootnoteTextChar">
    <w:name w:val="Footnote Text Char"/>
    <w:basedOn w:val="DefaultParagraphFont"/>
    <w:link w:val="FootnoteText"/>
    <w:uiPriority w:val="99"/>
    <w:semiHidden/>
    <w:rsid w:val="00847BCE"/>
    <w:rPr>
      <w:rFonts w:asciiTheme="minorHAnsi" w:eastAsiaTheme="minorEastAsia" w:hAnsiTheme="minorHAnsi" w:cstheme="minorBidi"/>
      <w:lang w:val="en-GB" w:bidi="en-US"/>
    </w:rPr>
  </w:style>
  <w:style w:type="paragraph" w:styleId="CommentText">
    <w:name w:val="annotation text"/>
    <w:basedOn w:val="Normal"/>
    <w:link w:val="CommentTextChar"/>
    <w:uiPriority w:val="99"/>
    <w:semiHidden/>
    <w:unhideWhenUsed/>
    <w:rsid w:val="00847BCE"/>
    <w:pPr>
      <w:spacing w:line="240" w:lineRule="auto"/>
      <w:jc w:val="both"/>
    </w:pPr>
    <w:rPr>
      <w:rFonts w:asciiTheme="minorHAnsi" w:eastAsiaTheme="minorEastAsia" w:hAnsiTheme="minorHAnsi" w:cstheme="minorBidi"/>
      <w:sz w:val="20"/>
      <w:szCs w:val="20"/>
      <w:lang w:val="fr-FR" w:bidi="en-US"/>
    </w:rPr>
  </w:style>
  <w:style w:type="character" w:customStyle="1" w:styleId="CommentTextChar">
    <w:name w:val="Comment Text Char"/>
    <w:basedOn w:val="DefaultParagraphFont"/>
    <w:link w:val="CommentText"/>
    <w:uiPriority w:val="99"/>
    <w:semiHidden/>
    <w:rsid w:val="00847BCE"/>
    <w:rPr>
      <w:rFonts w:asciiTheme="minorHAnsi" w:eastAsiaTheme="minorEastAsia" w:hAnsiTheme="minorHAnsi" w:cstheme="minorBidi"/>
      <w:lang w:val="fr-FR" w:bidi="en-US"/>
    </w:rPr>
  </w:style>
  <w:style w:type="paragraph" w:styleId="IndexHeading">
    <w:name w:val="index heading"/>
    <w:basedOn w:val="Normal"/>
    <w:next w:val="Index1"/>
    <w:uiPriority w:val="99"/>
    <w:semiHidden/>
    <w:unhideWhenUsed/>
    <w:rsid w:val="00847BCE"/>
    <w:pPr>
      <w:spacing w:after="0" w:line="240" w:lineRule="auto"/>
      <w:jc w:val="both"/>
    </w:pPr>
    <w:rPr>
      <w:rFonts w:asciiTheme="minorHAnsi" w:eastAsiaTheme="minorEastAsia" w:hAnsiTheme="minorHAnsi" w:cs="Arial"/>
      <w:b/>
      <w:bCs/>
      <w:sz w:val="24"/>
      <w:szCs w:val="24"/>
      <w:lang w:val="en-GB" w:bidi="en-US"/>
    </w:rPr>
  </w:style>
  <w:style w:type="paragraph" w:styleId="Caption">
    <w:name w:val="caption"/>
    <w:basedOn w:val="Normal"/>
    <w:next w:val="Normal"/>
    <w:uiPriority w:val="35"/>
    <w:semiHidden/>
    <w:unhideWhenUsed/>
    <w:qFormat/>
    <w:rsid w:val="00847BCE"/>
    <w:pPr>
      <w:jc w:val="both"/>
    </w:pPr>
    <w:rPr>
      <w:rFonts w:asciiTheme="minorHAnsi" w:eastAsiaTheme="minorEastAsia" w:hAnsiTheme="minorHAnsi" w:cstheme="minorBidi"/>
      <w:b/>
      <w:bCs/>
      <w:caps/>
      <w:sz w:val="16"/>
      <w:szCs w:val="18"/>
      <w:lang w:bidi="en-US"/>
    </w:rPr>
  </w:style>
  <w:style w:type="paragraph" w:styleId="TableofFigures">
    <w:name w:val="table of figures"/>
    <w:basedOn w:val="Normal"/>
    <w:next w:val="Normal"/>
    <w:uiPriority w:val="99"/>
    <w:semiHidden/>
    <w:unhideWhenUsed/>
    <w:rsid w:val="00847BCE"/>
    <w:pPr>
      <w:spacing w:after="0" w:line="240" w:lineRule="auto"/>
      <w:jc w:val="both"/>
    </w:pPr>
    <w:rPr>
      <w:rFonts w:ascii="Times New Roman" w:eastAsiaTheme="minorEastAsia" w:hAnsi="Times New Roman" w:cstheme="minorBidi"/>
      <w:sz w:val="24"/>
      <w:szCs w:val="24"/>
      <w:lang w:val="en-GB" w:bidi="en-US"/>
    </w:rPr>
  </w:style>
  <w:style w:type="paragraph" w:customStyle="1" w:styleId="EndnoteTextMore">
    <w:name w:val="Endnote TextMore"/>
    <w:basedOn w:val="EndnoteText"/>
    <w:uiPriority w:val="99"/>
    <w:rsid w:val="00847BCE"/>
    <w:pPr>
      <w:ind w:firstLine="0"/>
    </w:pPr>
  </w:style>
  <w:style w:type="paragraph" w:styleId="EndnoteText">
    <w:name w:val="endnote text"/>
    <w:basedOn w:val="Normal"/>
    <w:next w:val="EndnoteTextMore"/>
    <w:link w:val="EndnoteTextChar"/>
    <w:uiPriority w:val="99"/>
    <w:semiHidden/>
    <w:unhideWhenUsed/>
    <w:rsid w:val="00847BCE"/>
    <w:pPr>
      <w:spacing w:line="240" w:lineRule="auto"/>
      <w:ind w:left="720" w:hanging="720"/>
      <w:jc w:val="both"/>
    </w:pPr>
    <w:rPr>
      <w:rFonts w:ascii="Times New Roman" w:eastAsiaTheme="minorEastAsia" w:hAnsi="Times New Roman" w:cstheme="minorBidi"/>
      <w:sz w:val="20"/>
      <w:szCs w:val="20"/>
      <w:lang w:bidi="en-US"/>
    </w:rPr>
  </w:style>
  <w:style w:type="character" w:customStyle="1" w:styleId="EndnoteTextChar">
    <w:name w:val="Endnote Text Char"/>
    <w:basedOn w:val="DefaultParagraphFont"/>
    <w:link w:val="EndnoteText"/>
    <w:uiPriority w:val="99"/>
    <w:semiHidden/>
    <w:rsid w:val="00847BCE"/>
    <w:rPr>
      <w:rFonts w:ascii="Times New Roman" w:eastAsiaTheme="minorEastAsia" w:hAnsi="Times New Roman" w:cstheme="minorBidi"/>
      <w:lang w:bidi="en-US"/>
    </w:rPr>
  </w:style>
  <w:style w:type="paragraph" w:styleId="TableofAuthorities">
    <w:name w:val="table of authorities"/>
    <w:basedOn w:val="Normal"/>
    <w:next w:val="Normal"/>
    <w:uiPriority w:val="99"/>
    <w:semiHidden/>
    <w:unhideWhenUsed/>
    <w:rsid w:val="00847BCE"/>
    <w:pPr>
      <w:spacing w:after="0" w:line="240" w:lineRule="auto"/>
      <w:ind w:left="240" w:hanging="240"/>
      <w:jc w:val="both"/>
    </w:pPr>
    <w:rPr>
      <w:rFonts w:ascii="Times New Roman" w:eastAsiaTheme="minorEastAsia" w:hAnsi="Times New Roman" w:cstheme="minorBidi"/>
      <w:sz w:val="24"/>
      <w:szCs w:val="24"/>
      <w:lang w:val="en-GB" w:bidi="en-US"/>
    </w:rPr>
  </w:style>
  <w:style w:type="paragraph" w:styleId="MacroText">
    <w:name w:val="macro"/>
    <w:link w:val="MacroTextChar"/>
    <w:uiPriority w:val="99"/>
    <w:semiHidden/>
    <w:unhideWhenUsed/>
    <w:rsid w:val="00847BCE"/>
    <w:pPr>
      <w:tabs>
        <w:tab w:val="left" w:pos="480"/>
        <w:tab w:val="left" w:pos="960"/>
        <w:tab w:val="left" w:pos="1440"/>
        <w:tab w:val="left" w:pos="1920"/>
        <w:tab w:val="left" w:pos="2400"/>
        <w:tab w:val="left" w:pos="2880"/>
        <w:tab w:val="left" w:pos="3360"/>
        <w:tab w:val="left" w:pos="3840"/>
        <w:tab w:val="left" w:pos="4320"/>
      </w:tabs>
      <w:spacing w:after="200" w:line="276" w:lineRule="auto"/>
      <w:jc w:val="both"/>
    </w:pPr>
    <w:rPr>
      <w:rFonts w:ascii="Courier New" w:eastAsiaTheme="minorEastAsia" w:hAnsi="Courier New" w:cs="Courier New"/>
      <w:lang w:val="en-GB"/>
    </w:rPr>
  </w:style>
  <w:style w:type="character" w:customStyle="1" w:styleId="MacroTextChar">
    <w:name w:val="Macro Text Char"/>
    <w:basedOn w:val="DefaultParagraphFont"/>
    <w:link w:val="MacroText"/>
    <w:uiPriority w:val="99"/>
    <w:semiHidden/>
    <w:rsid w:val="00847BCE"/>
    <w:rPr>
      <w:rFonts w:ascii="Courier New" w:eastAsiaTheme="minorEastAsia" w:hAnsi="Courier New" w:cs="Courier New"/>
      <w:lang w:val="en-GB"/>
    </w:rPr>
  </w:style>
  <w:style w:type="paragraph" w:styleId="TOAHeading">
    <w:name w:val="toa heading"/>
    <w:basedOn w:val="Normal"/>
    <w:next w:val="Normal"/>
    <w:uiPriority w:val="99"/>
    <w:semiHidden/>
    <w:unhideWhenUsed/>
    <w:rsid w:val="00847BCE"/>
    <w:pPr>
      <w:spacing w:before="120" w:after="0" w:line="240" w:lineRule="auto"/>
      <w:jc w:val="both"/>
    </w:pPr>
    <w:rPr>
      <w:rFonts w:asciiTheme="minorHAnsi" w:eastAsiaTheme="minorEastAsia" w:hAnsiTheme="minorHAnsi" w:cs="Arial"/>
      <w:b/>
      <w:bCs/>
      <w:sz w:val="24"/>
      <w:szCs w:val="24"/>
      <w:lang w:val="en-GB" w:bidi="en-US"/>
    </w:rPr>
  </w:style>
  <w:style w:type="paragraph" w:styleId="List">
    <w:name w:val="List"/>
    <w:basedOn w:val="Normal"/>
    <w:uiPriority w:val="99"/>
    <w:semiHidden/>
    <w:unhideWhenUsed/>
    <w:rsid w:val="00847BCE"/>
    <w:pPr>
      <w:spacing w:line="240" w:lineRule="auto"/>
      <w:ind w:left="720" w:hanging="720"/>
      <w:jc w:val="both"/>
    </w:pPr>
    <w:rPr>
      <w:rFonts w:ascii="Times New Roman" w:eastAsiaTheme="minorEastAsia" w:hAnsi="Times New Roman" w:cstheme="minorBidi"/>
      <w:sz w:val="20"/>
      <w:szCs w:val="20"/>
      <w:lang w:bidi="en-US"/>
    </w:rPr>
  </w:style>
  <w:style w:type="paragraph" w:styleId="ListBullet">
    <w:name w:val="List Bullet"/>
    <w:basedOn w:val="Normal"/>
    <w:autoRedefine/>
    <w:uiPriority w:val="99"/>
    <w:semiHidden/>
    <w:unhideWhenUsed/>
    <w:rsid w:val="00847BCE"/>
    <w:pPr>
      <w:tabs>
        <w:tab w:val="num" w:pos="720"/>
      </w:tabs>
      <w:autoSpaceDE w:val="0"/>
      <w:autoSpaceDN w:val="0"/>
      <w:adjustRightInd w:val="0"/>
      <w:spacing w:after="240" w:line="240" w:lineRule="auto"/>
      <w:ind w:left="720" w:hanging="720"/>
      <w:jc w:val="both"/>
    </w:pPr>
    <w:rPr>
      <w:rFonts w:asciiTheme="minorHAnsi" w:eastAsiaTheme="minorEastAsia" w:hAnsiTheme="minorHAnsi" w:cstheme="minorBidi"/>
      <w:sz w:val="20"/>
      <w:szCs w:val="20"/>
      <w:lang w:bidi="en-US"/>
    </w:rPr>
  </w:style>
  <w:style w:type="paragraph" w:styleId="ListNumber">
    <w:name w:val="List Number"/>
    <w:basedOn w:val="Normal"/>
    <w:uiPriority w:val="99"/>
    <w:semiHidden/>
    <w:unhideWhenUsed/>
    <w:rsid w:val="00847BCE"/>
    <w:pPr>
      <w:tabs>
        <w:tab w:val="num" w:pos="360"/>
      </w:tabs>
      <w:autoSpaceDE w:val="0"/>
      <w:autoSpaceDN w:val="0"/>
      <w:adjustRightInd w:val="0"/>
      <w:spacing w:after="0" w:line="240" w:lineRule="auto"/>
      <w:ind w:left="360" w:hanging="360"/>
      <w:jc w:val="both"/>
    </w:pPr>
    <w:rPr>
      <w:rFonts w:ascii="Times New Roman" w:eastAsia="SimSun" w:hAnsi="Times New Roman" w:cstheme="minorBidi"/>
      <w:sz w:val="23"/>
      <w:szCs w:val="20"/>
      <w:lang w:val="en-GB" w:eastAsia="zh-CN" w:bidi="en-US"/>
    </w:rPr>
  </w:style>
  <w:style w:type="paragraph" w:styleId="ListBullet2">
    <w:name w:val="List Bullet 2"/>
    <w:basedOn w:val="Normal"/>
    <w:uiPriority w:val="99"/>
    <w:semiHidden/>
    <w:unhideWhenUsed/>
    <w:rsid w:val="00847BCE"/>
    <w:pPr>
      <w:tabs>
        <w:tab w:val="num" w:pos="1440"/>
      </w:tabs>
      <w:spacing w:line="240" w:lineRule="auto"/>
      <w:ind w:left="1440" w:hanging="360"/>
      <w:jc w:val="both"/>
    </w:pPr>
    <w:rPr>
      <w:rFonts w:ascii="Times New Roman" w:eastAsiaTheme="minorEastAsia" w:hAnsi="Times New Roman" w:cstheme="minorBidi"/>
      <w:sz w:val="20"/>
      <w:szCs w:val="20"/>
      <w:lang w:bidi="en-US"/>
    </w:rPr>
  </w:style>
  <w:style w:type="paragraph" w:styleId="ListBullet3">
    <w:name w:val="List Bullet 3"/>
    <w:basedOn w:val="Normal"/>
    <w:uiPriority w:val="99"/>
    <w:semiHidden/>
    <w:unhideWhenUsed/>
    <w:rsid w:val="00847BCE"/>
    <w:pPr>
      <w:tabs>
        <w:tab w:val="num" w:pos="1800"/>
      </w:tabs>
      <w:spacing w:line="240" w:lineRule="auto"/>
      <w:ind w:left="1800" w:hanging="360"/>
      <w:jc w:val="both"/>
    </w:pPr>
    <w:rPr>
      <w:rFonts w:ascii="Times New Roman" w:eastAsiaTheme="minorEastAsia" w:hAnsi="Times New Roman" w:cstheme="minorBidi"/>
      <w:sz w:val="20"/>
      <w:szCs w:val="20"/>
      <w:lang w:bidi="en-US"/>
    </w:rPr>
  </w:style>
  <w:style w:type="paragraph" w:styleId="Title">
    <w:name w:val="Title"/>
    <w:basedOn w:val="Normal"/>
    <w:next w:val="Normal"/>
    <w:link w:val="TitleChar"/>
    <w:uiPriority w:val="10"/>
    <w:qFormat/>
    <w:rsid w:val="00847BCE"/>
    <w:pPr>
      <w:pBdr>
        <w:top w:val="single" w:sz="12" w:space="1" w:color="C0504D" w:themeColor="accent2"/>
      </w:pBdr>
      <w:spacing w:line="240" w:lineRule="auto"/>
      <w:jc w:val="right"/>
    </w:pPr>
    <w:rPr>
      <w:rFonts w:asciiTheme="minorHAnsi" w:eastAsiaTheme="minorEastAsia" w:hAnsiTheme="minorHAnsi" w:cstheme="minorBidi"/>
      <w:smallCaps/>
      <w:sz w:val="48"/>
      <w:szCs w:val="48"/>
      <w:lang w:bidi="en-US"/>
    </w:rPr>
  </w:style>
  <w:style w:type="character" w:customStyle="1" w:styleId="TitleChar">
    <w:name w:val="Title Char"/>
    <w:basedOn w:val="DefaultParagraphFont"/>
    <w:link w:val="Title"/>
    <w:uiPriority w:val="10"/>
    <w:rsid w:val="00847BCE"/>
    <w:rPr>
      <w:rFonts w:asciiTheme="minorHAnsi" w:eastAsiaTheme="minorEastAsia" w:hAnsiTheme="minorHAnsi" w:cstheme="minorBidi"/>
      <w:smallCaps/>
      <w:sz w:val="48"/>
      <w:szCs w:val="48"/>
      <w:lang w:bidi="en-US"/>
    </w:rPr>
  </w:style>
  <w:style w:type="paragraph" w:styleId="Signature">
    <w:name w:val="Signature"/>
    <w:basedOn w:val="Normal"/>
    <w:link w:val="SignatureChar"/>
    <w:uiPriority w:val="99"/>
    <w:semiHidden/>
    <w:unhideWhenUsed/>
    <w:rsid w:val="00847BCE"/>
    <w:pPr>
      <w:spacing w:line="240" w:lineRule="auto"/>
      <w:ind w:left="5040"/>
      <w:jc w:val="both"/>
    </w:pPr>
    <w:rPr>
      <w:rFonts w:ascii="Times New Roman" w:eastAsiaTheme="minorEastAsia" w:hAnsi="Times New Roman" w:cstheme="minorBidi"/>
      <w:sz w:val="20"/>
      <w:szCs w:val="20"/>
      <w:lang w:bidi="en-US"/>
    </w:rPr>
  </w:style>
  <w:style w:type="character" w:customStyle="1" w:styleId="SignatureChar">
    <w:name w:val="Signature Char"/>
    <w:basedOn w:val="DefaultParagraphFont"/>
    <w:link w:val="Signature"/>
    <w:uiPriority w:val="99"/>
    <w:semiHidden/>
    <w:rsid w:val="00847BCE"/>
    <w:rPr>
      <w:rFonts w:ascii="Times New Roman" w:eastAsiaTheme="minorEastAsia" w:hAnsi="Times New Roman" w:cstheme="minorBidi"/>
      <w:lang w:bidi="en-US"/>
    </w:rPr>
  </w:style>
  <w:style w:type="paragraph" w:styleId="BodyText">
    <w:name w:val="Body Text"/>
    <w:basedOn w:val="Normal"/>
    <w:link w:val="BodyTextChar"/>
    <w:uiPriority w:val="99"/>
    <w:semiHidden/>
    <w:unhideWhenUsed/>
    <w:rsid w:val="00847BCE"/>
    <w:pPr>
      <w:spacing w:line="240" w:lineRule="auto"/>
      <w:ind w:firstLine="720"/>
      <w:jc w:val="both"/>
    </w:pPr>
    <w:rPr>
      <w:rFonts w:asciiTheme="minorHAnsi" w:eastAsiaTheme="minorEastAsia" w:hAnsiTheme="minorHAnsi" w:cstheme="minorBidi"/>
      <w:color w:val="000000"/>
      <w:sz w:val="20"/>
      <w:szCs w:val="20"/>
      <w:lang w:val="en-GB" w:bidi="en-US"/>
    </w:rPr>
  </w:style>
  <w:style w:type="character" w:customStyle="1" w:styleId="BodyTextChar">
    <w:name w:val="Body Text Char"/>
    <w:basedOn w:val="DefaultParagraphFont"/>
    <w:link w:val="BodyText"/>
    <w:uiPriority w:val="99"/>
    <w:semiHidden/>
    <w:rsid w:val="00847BCE"/>
    <w:rPr>
      <w:rFonts w:asciiTheme="minorHAnsi" w:eastAsiaTheme="minorEastAsia" w:hAnsiTheme="minorHAnsi" w:cstheme="minorBidi"/>
      <w:color w:val="000000"/>
      <w:lang w:val="en-GB" w:bidi="en-US"/>
    </w:rPr>
  </w:style>
  <w:style w:type="paragraph" w:styleId="BodyTextIndent">
    <w:name w:val="Body Text Indent"/>
    <w:basedOn w:val="Normal"/>
    <w:link w:val="BodyTextIndentChar"/>
    <w:uiPriority w:val="99"/>
    <w:semiHidden/>
    <w:unhideWhenUsed/>
    <w:rsid w:val="00847BCE"/>
    <w:pPr>
      <w:spacing w:line="240" w:lineRule="auto"/>
      <w:ind w:firstLine="490"/>
      <w:jc w:val="both"/>
    </w:pPr>
    <w:rPr>
      <w:rFonts w:asciiTheme="minorHAnsi" w:eastAsiaTheme="minorEastAsia" w:hAnsiTheme="minorHAnsi" w:cstheme="minorBidi"/>
      <w:color w:val="000000"/>
      <w:sz w:val="20"/>
      <w:szCs w:val="24"/>
      <w:lang w:val="en-GB" w:bidi="en-US"/>
    </w:rPr>
  </w:style>
  <w:style w:type="character" w:customStyle="1" w:styleId="BodyTextIndentChar">
    <w:name w:val="Body Text Indent Char"/>
    <w:basedOn w:val="DefaultParagraphFont"/>
    <w:link w:val="BodyTextIndent"/>
    <w:uiPriority w:val="99"/>
    <w:semiHidden/>
    <w:rsid w:val="00847BCE"/>
    <w:rPr>
      <w:rFonts w:asciiTheme="minorHAnsi" w:eastAsiaTheme="minorEastAsia" w:hAnsiTheme="minorHAnsi" w:cstheme="minorBidi"/>
      <w:color w:val="000000"/>
      <w:szCs w:val="24"/>
      <w:lang w:val="en-GB" w:bidi="en-US"/>
    </w:rPr>
  </w:style>
  <w:style w:type="paragraph" w:styleId="Subtitle">
    <w:name w:val="Subtitle"/>
    <w:basedOn w:val="Normal"/>
    <w:next w:val="Normal"/>
    <w:link w:val="SubtitleChar"/>
    <w:uiPriority w:val="11"/>
    <w:qFormat/>
    <w:rsid w:val="00847BCE"/>
    <w:pPr>
      <w:spacing w:after="720" w:line="240" w:lineRule="auto"/>
      <w:jc w:val="right"/>
    </w:pPr>
    <w:rPr>
      <w:rFonts w:asciiTheme="majorHAnsi" w:eastAsiaTheme="majorEastAsia" w:hAnsiTheme="majorHAnsi" w:cstheme="majorBidi"/>
      <w:sz w:val="20"/>
      <w:lang w:bidi="en-US"/>
    </w:rPr>
  </w:style>
  <w:style w:type="character" w:customStyle="1" w:styleId="SubtitleChar">
    <w:name w:val="Subtitle Char"/>
    <w:basedOn w:val="DefaultParagraphFont"/>
    <w:link w:val="Subtitle"/>
    <w:uiPriority w:val="11"/>
    <w:rsid w:val="00847BCE"/>
    <w:rPr>
      <w:rFonts w:asciiTheme="majorHAnsi" w:eastAsiaTheme="majorEastAsia" w:hAnsiTheme="majorHAnsi" w:cstheme="majorBidi"/>
      <w:szCs w:val="22"/>
      <w:lang w:bidi="en-US"/>
    </w:rPr>
  </w:style>
  <w:style w:type="paragraph" w:styleId="Salutation">
    <w:name w:val="Salutation"/>
    <w:basedOn w:val="Normal"/>
    <w:next w:val="Normal"/>
    <w:link w:val="SalutationChar"/>
    <w:uiPriority w:val="99"/>
    <w:semiHidden/>
    <w:unhideWhenUsed/>
    <w:rsid w:val="00847BCE"/>
    <w:pPr>
      <w:spacing w:after="0" w:line="240" w:lineRule="auto"/>
      <w:jc w:val="both"/>
    </w:pPr>
    <w:rPr>
      <w:rFonts w:ascii="Times New Roman" w:eastAsiaTheme="minorEastAsia" w:hAnsi="Times New Roman" w:cstheme="minorBidi"/>
      <w:sz w:val="20"/>
      <w:szCs w:val="20"/>
      <w:lang w:bidi="en-US"/>
    </w:rPr>
  </w:style>
  <w:style w:type="character" w:customStyle="1" w:styleId="SalutationChar">
    <w:name w:val="Salutation Char"/>
    <w:basedOn w:val="DefaultParagraphFont"/>
    <w:link w:val="Salutation"/>
    <w:uiPriority w:val="99"/>
    <w:semiHidden/>
    <w:rsid w:val="00847BCE"/>
    <w:rPr>
      <w:rFonts w:ascii="Times New Roman" w:eastAsiaTheme="minorEastAsia" w:hAnsi="Times New Roman" w:cstheme="minorBidi"/>
      <w:lang w:bidi="en-US"/>
    </w:rPr>
  </w:style>
  <w:style w:type="paragraph" w:styleId="Date">
    <w:name w:val="Date"/>
    <w:basedOn w:val="Normal"/>
    <w:next w:val="Normal"/>
    <w:link w:val="DateChar"/>
    <w:uiPriority w:val="99"/>
    <w:semiHidden/>
    <w:unhideWhenUsed/>
    <w:rsid w:val="00847BCE"/>
    <w:pPr>
      <w:spacing w:after="240" w:line="240" w:lineRule="auto"/>
      <w:jc w:val="both"/>
    </w:pPr>
    <w:rPr>
      <w:rFonts w:ascii="Times New Roman" w:eastAsiaTheme="minorEastAsia" w:hAnsi="Times New Roman" w:cstheme="minorBidi"/>
      <w:sz w:val="20"/>
      <w:szCs w:val="20"/>
      <w:lang w:bidi="en-US"/>
    </w:rPr>
  </w:style>
  <w:style w:type="character" w:customStyle="1" w:styleId="DateChar">
    <w:name w:val="Date Char"/>
    <w:basedOn w:val="DefaultParagraphFont"/>
    <w:link w:val="Date"/>
    <w:uiPriority w:val="99"/>
    <w:semiHidden/>
    <w:rsid w:val="00847BCE"/>
    <w:rPr>
      <w:rFonts w:ascii="Times New Roman" w:eastAsiaTheme="minorEastAsia" w:hAnsi="Times New Roman" w:cstheme="minorBidi"/>
      <w:lang w:bidi="en-US"/>
    </w:rPr>
  </w:style>
  <w:style w:type="paragraph" w:styleId="BodyText2">
    <w:name w:val="Body Text 2"/>
    <w:basedOn w:val="Normal"/>
    <w:link w:val="BodyText2Char"/>
    <w:uiPriority w:val="99"/>
    <w:semiHidden/>
    <w:unhideWhenUsed/>
    <w:rsid w:val="00847BCE"/>
    <w:pPr>
      <w:autoSpaceDE w:val="0"/>
      <w:autoSpaceDN w:val="0"/>
      <w:adjustRightInd w:val="0"/>
      <w:spacing w:line="240" w:lineRule="auto"/>
      <w:jc w:val="both"/>
    </w:pPr>
    <w:rPr>
      <w:rFonts w:asciiTheme="minorHAnsi" w:eastAsiaTheme="minorEastAsia" w:hAnsiTheme="minorHAnsi" w:cstheme="minorBidi"/>
      <w:sz w:val="20"/>
      <w:szCs w:val="20"/>
      <w:lang w:bidi="en-US"/>
    </w:rPr>
  </w:style>
  <w:style w:type="character" w:customStyle="1" w:styleId="BodyText2Char">
    <w:name w:val="Body Text 2 Char"/>
    <w:basedOn w:val="DefaultParagraphFont"/>
    <w:link w:val="BodyText2"/>
    <w:uiPriority w:val="99"/>
    <w:semiHidden/>
    <w:rsid w:val="00847BCE"/>
    <w:rPr>
      <w:rFonts w:asciiTheme="minorHAnsi" w:eastAsiaTheme="minorEastAsia" w:hAnsiTheme="minorHAnsi" w:cstheme="minorBidi"/>
      <w:lang w:bidi="en-US"/>
    </w:rPr>
  </w:style>
  <w:style w:type="paragraph" w:styleId="BodyText3">
    <w:name w:val="Body Text 3"/>
    <w:basedOn w:val="Normal"/>
    <w:link w:val="BodyText3Char"/>
    <w:uiPriority w:val="99"/>
    <w:semiHidden/>
    <w:unhideWhenUsed/>
    <w:rsid w:val="00847BCE"/>
    <w:pPr>
      <w:spacing w:line="240" w:lineRule="auto"/>
      <w:jc w:val="both"/>
    </w:pPr>
    <w:rPr>
      <w:rFonts w:asciiTheme="minorHAnsi" w:eastAsiaTheme="minorEastAsia" w:hAnsiTheme="minorHAnsi" w:cstheme="minorBidi"/>
      <w:color w:val="000000"/>
      <w:sz w:val="20"/>
      <w:szCs w:val="24"/>
      <w:lang w:val="en-GB" w:bidi="en-US"/>
    </w:rPr>
  </w:style>
  <w:style w:type="character" w:customStyle="1" w:styleId="BodyText3Char">
    <w:name w:val="Body Text 3 Char"/>
    <w:basedOn w:val="DefaultParagraphFont"/>
    <w:link w:val="BodyText3"/>
    <w:uiPriority w:val="99"/>
    <w:semiHidden/>
    <w:rsid w:val="00847BCE"/>
    <w:rPr>
      <w:rFonts w:asciiTheme="minorHAnsi" w:eastAsiaTheme="minorEastAsia" w:hAnsiTheme="minorHAnsi" w:cstheme="minorBidi"/>
      <w:color w:val="000000"/>
      <w:szCs w:val="24"/>
      <w:lang w:val="en-GB" w:bidi="en-US"/>
    </w:rPr>
  </w:style>
  <w:style w:type="paragraph" w:styleId="BodyTextIndent2">
    <w:name w:val="Body Text Indent 2"/>
    <w:basedOn w:val="Normal"/>
    <w:link w:val="BodyTextIndent2Char"/>
    <w:uiPriority w:val="99"/>
    <w:semiHidden/>
    <w:unhideWhenUsed/>
    <w:rsid w:val="00847BCE"/>
    <w:pPr>
      <w:tabs>
        <w:tab w:val="left" w:pos="686"/>
      </w:tabs>
      <w:suppressAutoHyphens/>
      <w:spacing w:after="0" w:line="240" w:lineRule="auto"/>
      <w:ind w:left="720" w:hanging="720"/>
      <w:jc w:val="both"/>
    </w:pPr>
    <w:rPr>
      <w:rFonts w:ascii="Univers" w:eastAsiaTheme="minorEastAsia" w:hAnsi="Univers" w:cstheme="minorBidi"/>
      <w:spacing w:val="-2"/>
      <w:sz w:val="20"/>
      <w:szCs w:val="20"/>
      <w:lang w:bidi="en-US"/>
    </w:rPr>
  </w:style>
  <w:style w:type="character" w:customStyle="1" w:styleId="BodyTextIndent2Char">
    <w:name w:val="Body Text Indent 2 Char"/>
    <w:basedOn w:val="DefaultParagraphFont"/>
    <w:link w:val="BodyTextIndent2"/>
    <w:uiPriority w:val="99"/>
    <w:semiHidden/>
    <w:rsid w:val="00847BCE"/>
    <w:rPr>
      <w:rFonts w:ascii="Univers" w:eastAsiaTheme="minorEastAsia" w:hAnsi="Univers" w:cstheme="minorBidi"/>
      <w:spacing w:val="-2"/>
      <w:lang w:bidi="en-US"/>
    </w:rPr>
  </w:style>
  <w:style w:type="paragraph" w:styleId="BodyTextIndent3">
    <w:name w:val="Body Text Indent 3"/>
    <w:basedOn w:val="Normal"/>
    <w:link w:val="BodyTextIndent3Char"/>
    <w:uiPriority w:val="99"/>
    <w:semiHidden/>
    <w:unhideWhenUsed/>
    <w:rsid w:val="00847BCE"/>
    <w:pPr>
      <w:spacing w:after="0" w:line="240" w:lineRule="auto"/>
      <w:ind w:left="450"/>
      <w:jc w:val="both"/>
    </w:pPr>
    <w:rPr>
      <w:rFonts w:asciiTheme="minorHAnsi" w:eastAsiaTheme="minorEastAsia" w:hAnsiTheme="minorHAnsi" w:cs="Arial"/>
      <w:sz w:val="20"/>
      <w:szCs w:val="20"/>
      <w:lang w:bidi="en-US"/>
    </w:rPr>
  </w:style>
  <w:style w:type="character" w:customStyle="1" w:styleId="BodyTextIndent3Char">
    <w:name w:val="Body Text Indent 3 Char"/>
    <w:basedOn w:val="DefaultParagraphFont"/>
    <w:link w:val="BodyTextIndent3"/>
    <w:uiPriority w:val="99"/>
    <w:semiHidden/>
    <w:rsid w:val="00847BCE"/>
    <w:rPr>
      <w:rFonts w:asciiTheme="minorHAnsi" w:eastAsiaTheme="minorEastAsia" w:hAnsiTheme="minorHAnsi" w:cs="Arial"/>
      <w:lang w:bidi="en-US"/>
    </w:rPr>
  </w:style>
  <w:style w:type="paragraph" w:styleId="BlockText">
    <w:name w:val="Block Text"/>
    <w:basedOn w:val="Normal"/>
    <w:unhideWhenUsed/>
    <w:rsid w:val="00847BCE"/>
    <w:pPr>
      <w:spacing w:line="240" w:lineRule="auto"/>
      <w:jc w:val="both"/>
    </w:pPr>
    <w:rPr>
      <w:rFonts w:asciiTheme="minorHAnsi" w:eastAsiaTheme="minorEastAsia" w:hAnsiTheme="minorHAnsi" w:cstheme="minorBidi"/>
      <w:color w:val="000000"/>
      <w:sz w:val="20"/>
      <w:szCs w:val="20"/>
      <w:lang w:bidi="en-US"/>
    </w:rPr>
  </w:style>
  <w:style w:type="paragraph" w:styleId="DocumentMap">
    <w:name w:val="Document Map"/>
    <w:basedOn w:val="Normal"/>
    <w:link w:val="DocumentMapChar"/>
    <w:uiPriority w:val="99"/>
    <w:semiHidden/>
    <w:unhideWhenUsed/>
    <w:rsid w:val="00847BCE"/>
    <w:pPr>
      <w:shd w:val="clear" w:color="auto" w:fill="000080"/>
      <w:jc w:val="both"/>
    </w:pPr>
    <w:rPr>
      <w:rFonts w:ascii="Tahoma" w:eastAsiaTheme="minorEastAsia" w:hAnsi="Tahoma" w:cs="Tahoma"/>
      <w:sz w:val="20"/>
      <w:szCs w:val="20"/>
      <w:lang w:bidi="en-US"/>
    </w:rPr>
  </w:style>
  <w:style w:type="character" w:customStyle="1" w:styleId="DocumentMapChar">
    <w:name w:val="Document Map Char"/>
    <w:basedOn w:val="DefaultParagraphFont"/>
    <w:link w:val="DocumentMap"/>
    <w:uiPriority w:val="99"/>
    <w:semiHidden/>
    <w:rsid w:val="00847BCE"/>
    <w:rPr>
      <w:rFonts w:ascii="Tahoma" w:eastAsiaTheme="minorEastAsia" w:hAnsi="Tahoma" w:cs="Tahoma"/>
      <w:shd w:val="clear" w:color="auto" w:fill="000080"/>
      <w:lang w:bidi="en-US"/>
    </w:rPr>
  </w:style>
  <w:style w:type="paragraph" w:styleId="CommentSubject">
    <w:name w:val="annotation subject"/>
    <w:basedOn w:val="CommentText"/>
    <w:next w:val="CommentText"/>
    <w:link w:val="CommentSubjectChar"/>
    <w:uiPriority w:val="99"/>
    <w:semiHidden/>
    <w:unhideWhenUsed/>
    <w:rsid w:val="00847BCE"/>
    <w:rPr>
      <w:b/>
      <w:bCs/>
      <w:lang w:val="en-GB"/>
    </w:rPr>
  </w:style>
  <w:style w:type="character" w:customStyle="1" w:styleId="CommentSubjectChar">
    <w:name w:val="Comment Subject Char"/>
    <w:basedOn w:val="CommentTextChar"/>
    <w:link w:val="CommentSubject"/>
    <w:uiPriority w:val="99"/>
    <w:semiHidden/>
    <w:rsid w:val="00847BCE"/>
    <w:rPr>
      <w:b/>
      <w:bCs/>
      <w:lang w:val="en-GB"/>
    </w:rPr>
  </w:style>
  <w:style w:type="character" w:customStyle="1" w:styleId="NoSpacingChar">
    <w:name w:val="No Spacing Char"/>
    <w:basedOn w:val="DefaultParagraphFont"/>
    <w:link w:val="NoSpacing"/>
    <w:uiPriority w:val="1"/>
    <w:locked/>
    <w:rsid w:val="00847BCE"/>
    <w:rPr>
      <w:rFonts w:asciiTheme="minorHAnsi" w:eastAsiaTheme="minorEastAsia" w:hAnsiTheme="minorHAnsi" w:cstheme="minorBidi"/>
      <w:lang w:bidi="en-US"/>
    </w:rPr>
  </w:style>
  <w:style w:type="paragraph" w:styleId="NoSpacing">
    <w:name w:val="No Spacing"/>
    <w:basedOn w:val="Normal"/>
    <w:link w:val="NoSpacingChar"/>
    <w:uiPriority w:val="1"/>
    <w:qFormat/>
    <w:rsid w:val="00847BCE"/>
    <w:pPr>
      <w:spacing w:after="0" w:line="240" w:lineRule="auto"/>
      <w:jc w:val="both"/>
    </w:pPr>
    <w:rPr>
      <w:rFonts w:asciiTheme="minorHAnsi" w:eastAsiaTheme="minorEastAsia" w:hAnsiTheme="minorHAnsi" w:cstheme="minorBidi"/>
      <w:sz w:val="20"/>
      <w:szCs w:val="20"/>
      <w:lang w:bidi="en-US"/>
    </w:rPr>
  </w:style>
  <w:style w:type="paragraph" w:styleId="Revision">
    <w:name w:val="Revision"/>
    <w:uiPriority w:val="99"/>
    <w:semiHidden/>
    <w:rsid w:val="00847BCE"/>
    <w:pPr>
      <w:spacing w:after="200" w:line="276" w:lineRule="auto"/>
      <w:jc w:val="both"/>
    </w:pPr>
    <w:rPr>
      <w:rFonts w:ascii="Arial" w:eastAsiaTheme="minorEastAsia" w:hAnsi="Arial" w:cstheme="minorBidi"/>
    </w:rPr>
  </w:style>
  <w:style w:type="paragraph" w:styleId="ListParagraph">
    <w:name w:val="List Paragraph"/>
    <w:basedOn w:val="Normal"/>
    <w:uiPriority w:val="34"/>
    <w:qFormat/>
    <w:rsid w:val="00847BCE"/>
    <w:pPr>
      <w:ind w:left="720"/>
      <w:contextualSpacing/>
      <w:jc w:val="both"/>
    </w:pPr>
    <w:rPr>
      <w:rFonts w:asciiTheme="minorHAnsi" w:eastAsiaTheme="minorEastAsia" w:hAnsiTheme="minorHAnsi" w:cstheme="minorBidi"/>
      <w:sz w:val="20"/>
      <w:szCs w:val="20"/>
      <w:lang w:bidi="en-US"/>
    </w:rPr>
  </w:style>
  <w:style w:type="paragraph" w:styleId="Quote">
    <w:name w:val="Quote"/>
    <w:basedOn w:val="Normal"/>
    <w:next w:val="Normal"/>
    <w:link w:val="QuoteChar"/>
    <w:uiPriority w:val="29"/>
    <w:qFormat/>
    <w:rsid w:val="00847BCE"/>
    <w:pPr>
      <w:jc w:val="both"/>
    </w:pPr>
    <w:rPr>
      <w:rFonts w:asciiTheme="minorHAnsi" w:eastAsiaTheme="minorEastAsia" w:hAnsiTheme="minorHAnsi" w:cstheme="minorBidi"/>
      <w:i/>
      <w:sz w:val="20"/>
      <w:szCs w:val="20"/>
      <w:lang w:bidi="en-US"/>
    </w:rPr>
  </w:style>
  <w:style w:type="character" w:customStyle="1" w:styleId="QuoteChar">
    <w:name w:val="Quote Char"/>
    <w:basedOn w:val="DefaultParagraphFont"/>
    <w:link w:val="Quote"/>
    <w:uiPriority w:val="29"/>
    <w:rsid w:val="00847BCE"/>
    <w:rPr>
      <w:rFonts w:asciiTheme="minorHAnsi" w:eastAsiaTheme="minorEastAsia" w:hAnsiTheme="minorHAnsi" w:cstheme="minorBidi"/>
      <w:i/>
      <w:lang w:bidi="en-US"/>
    </w:rPr>
  </w:style>
  <w:style w:type="paragraph" w:styleId="IntenseQuote">
    <w:name w:val="Intense Quote"/>
    <w:basedOn w:val="Normal"/>
    <w:next w:val="Normal"/>
    <w:link w:val="IntenseQuoteChar"/>
    <w:uiPriority w:val="30"/>
    <w:qFormat/>
    <w:rsid w:val="00847BC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EastAsia" w:hAnsiTheme="minorHAnsi" w:cstheme="minorBidi"/>
      <w:b/>
      <w:i/>
      <w:color w:val="FFFFFF" w:themeColor="background1"/>
      <w:sz w:val="20"/>
      <w:szCs w:val="20"/>
      <w:lang w:bidi="en-US"/>
    </w:rPr>
  </w:style>
  <w:style w:type="character" w:customStyle="1" w:styleId="IntenseQuoteChar">
    <w:name w:val="Intense Quote Char"/>
    <w:basedOn w:val="DefaultParagraphFont"/>
    <w:link w:val="IntenseQuote"/>
    <w:uiPriority w:val="30"/>
    <w:rsid w:val="00847BCE"/>
    <w:rPr>
      <w:rFonts w:asciiTheme="minorHAnsi" w:eastAsiaTheme="minorEastAsia" w:hAnsiTheme="minorHAnsi" w:cstheme="minorBidi"/>
      <w:b/>
      <w:i/>
      <w:color w:val="FFFFFF" w:themeColor="background1"/>
      <w:shd w:val="clear" w:color="auto" w:fill="C0504D" w:themeFill="accent2"/>
      <w:lang w:bidi="en-US"/>
    </w:rPr>
  </w:style>
  <w:style w:type="paragraph" w:styleId="TOCHeading">
    <w:name w:val="TOC Heading"/>
    <w:basedOn w:val="Heading1"/>
    <w:next w:val="Normal"/>
    <w:uiPriority w:val="39"/>
    <w:unhideWhenUsed/>
    <w:qFormat/>
    <w:rsid w:val="00847BCE"/>
    <w:pPr>
      <w:outlineLvl w:val="9"/>
    </w:pPr>
    <w:rPr>
      <w:rFonts w:eastAsiaTheme="minorEastAsia"/>
    </w:rPr>
  </w:style>
  <w:style w:type="paragraph" w:customStyle="1" w:styleId="BodyTextNumbered">
    <w:name w:val="Body Text Numbered"/>
    <w:basedOn w:val="BodyText"/>
    <w:rsid w:val="00847BCE"/>
    <w:pPr>
      <w:keepNext/>
      <w:keepLines/>
      <w:widowControl w:val="0"/>
      <w:overflowPunct w:val="0"/>
      <w:autoSpaceDE w:val="0"/>
      <w:autoSpaceDN w:val="0"/>
      <w:adjustRightInd w:val="0"/>
      <w:spacing w:after="120"/>
      <w:ind w:firstLine="0"/>
      <w:jc w:val="left"/>
    </w:pPr>
    <w:rPr>
      <w:rFonts w:ascii="Times New Roman Bold" w:hAnsi="Times New Roman Bold"/>
      <w:b/>
      <w:bCs/>
      <w:color w:val="auto"/>
      <w:lang w:val="en-US"/>
    </w:rPr>
  </w:style>
  <w:style w:type="paragraph" w:customStyle="1" w:styleId="Table">
    <w:name w:val="Table"/>
    <w:basedOn w:val="Normal"/>
    <w:uiPriority w:val="99"/>
    <w:rsid w:val="00847BCE"/>
    <w:pPr>
      <w:spacing w:line="240" w:lineRule="auto"/>
      <w:jc w:val="both"/>
    </w:pPr>
    <w:rPr>
      <w:rFonts w:asciiTheme="minorHAnsi" w:eastAsiaTheme="minorEastAsia" w:hAnsiTheme="minorHAnsi" w:cstheme="minorBidi"/>
      <w:sz w:val="24"/>
      <w:szCs w:val="24"/>
      <w:lang w:bidi="en-US"/>
    </w:rPr>
  </w:style>
  <w:style w:type="paragraph" w:customStyle="1" w:styleId="BodyText11">
    <w:name w:val="Body Text 11"/>
    <w:basedOn w:val="BodyText"/>
    <w:rsid w:val="00847BCE"/>
    <w:pPr>
      <w:spacing w:after="240"/>
      <w:ind w:firstLine="0"/>
    </w:pPr>
    <w:rPr>
      <w:color w:val="auto"/>
      <w:lang w:val="en-US"/>
    </w:rPr>
  </w:style>
  <w:style w:type="paragraph" w:customStyle="1" w:styleId="bodytext0">
    <w:name w:val="bodytext"/>
    <w:basedOn w:val="NormalWeb"/>
    <w:uiPriority w:val="99"/>
    <w:rsid w:val="00847BCE"/>
    <w:pPr>
      <w:spacing w:before="0" w:beforeAutospacing="0" w:after="160" w:afterAutospacing="0"/>
      <w:ind w:firstLine="720"/>
    </w:pPr>
    <w:rPr>
      <w:sz w:val="24"/>
      <w:szCs w:val="20"/>
    </w:rPr>
  </w:style>
  <w:style w:type="paragraph" w:customStyle="1" w:styleId="ArialBody10pt">
    <w:name w:val="Arial Body 10pt"/>
    <w:basedOn w:val="Heading1"/>
    <w:uiPriority w:val="99"/>
    <w:rsid w:val="00847BCE"/>
    <w:pPr>
      <w:autoSpaceDE w:val="0"/>
      <w:autoSpaceDN w:val="0"/>
      <w:adjustRightInd w:val="0"/>
      <w:spacing w:before="0" w:after="160" w:line="240" w:lineRule="auto"/>
      <w:ind w:firstLine="357"/>
      <w:jc w:val="both"/>
    </w:pPr>
    <w:rPr>
      <w:rFonts w:ascii="Times New Roman" w:eastAsiaTheme="minorEastAsia" w:hAnsi="Times New Roman" w:cs="Times New Roman"/>
      <w:sz w:val="20"/>
      <w:szCs w:val="20"/>
    </w:rPr>
  </w:style>
  <w:style w:type="paragraph" w:customStyle="1" w:styleId="bullet1">
    <w:name w:val="bullet1"/>
    <w:basedOn w:val="Normal"/>
    <w:uiPriority w:val="99"/>
    <w:rsid w:val="00847BCE"/>
    <w:pPr>
      <w:numPr>
        <w:numId w:val="3"/>
      </w:numPr>
      <w:tabs>
        <w:tab w:val="clear" w:pos="720"/>
        <w:tab w:val="left" w:pos="1440"/>
        <w:tab w:val="left" w:pos="10300"/>
      </w:tabs>
      <w:spacing w:after="120" w:line="240" w:lineRule="auto"/>
      <w:ind w:left="1441" w:hanging="539"/>
      <w:jc w:val="both"/>
    </w:pPr>
    <w:rPr>
      <w:rFonts w:asciiTheme="minorHAnsi" w:eastAsiaTheme="minorEastAsia" w:hAnsiTheme="minorHAnsi" w:cstheme="minorBidi"/>
      <w:color w:val="000000"/>
      <w:sz w:val="20"/>
      <w:szCs w:val="20"/>
      <w:lang w:bidi="en-US"/>
    </w:rPr>
  </w:style>
  <w:style w:type="character" w:customStyle="1" w:styleId="BodytableChar">
    <w:name w:val="Body table Char"/>
    <w:basedOn w:val="DefaultParagraphFont"/>
    <w:link w:val="Bodytable"/>
    <w:locked/>
    <w:rsid w:val="00847BCE"/>
    <w:rPr>
      <w:color w:val="000000"/>
      <w:sz w:val="18"/>
      <w:szCs w:val="18"/>
    </w:rPr>
  </w:style>
  <w:style w:type="paragraph" w:customStyle="1" w:styleId="Bodytable">
    <w:name w:val="Body table"/>
    <w:basedOn w:val="Normal"/>
    <w:link w:val="BodytableChar"/>
    <w:rsid w:val="00847BCE"/>
    <w:pPr>
      <w:keepLines/>
      <w:autoSpaceDE w:val="0"/>
      <w:autoSpaceDN w:val="0"/>
      <w:adjustRightInd w:val="0"/>
      <w:spacing w:line="240" w:lineRule="atLeast"/>
      <w:jc w:val="both"/>
    </w:pPr>
    <w:rPr>
      <w:color w:val="000000"/>
      <w:sz w:val="18"/>
      <w:szCs w:val="18"/>
    </w:rPr>
  </w:style>
  <w:style w:type="paragraph" w:customStyle="1" w:styleId="BlockText5">
    <w:name w:val="Block Text .5"/>
    <w:basedOn w:val="BlockText"/>
    <w:uiPriority w:val="99"/>
    <w:rsid w:val="00847BCE"/>
    <w:pPr>
      <w:spacing w:after="240"/>
      <w:ind w:left="720" w:right="720"/>
      <w:jc w:val="left"/>
    </w:pPr>
    <w:rPr>
      <w:color w:val="auto"/>
      <w:sz w:val="24"/>
      <w:lang w:val="en-GB"/>
    </w:rPr>
  </w:style>
  <w:style w:type="character" w:customStyle="1" w:styleId="BulletedListCharChar">
    <w:name w:val="Bulleted List Char Char"/>
    <w:basedOn w:val="DefaultParagraphFont"/>
    <w:link w:val="BulletedList"/>
    <w:locked/>
    <w:rsid w:val="00847BCE"/>
    <w:rPr>
      <w:sz w:val="24"/>
      <w:szCs w:val="24"/>
      <w:lang w:val="en-GB"/>
    </w:rPr>
  </w:style>
  <w:style w:type="paragraph" w:customStyle="1" w:styleId="BulletedList">
    <w:name w:val="Bulleted List"/>
    <w:basedOn w:val="Normal"/>
    <w:link w:val="BulletedListCharChar"/>
    <w:rsid w:val="00847BCE"/>
    <w:pPr>
      <w:tabs>
        <w:tab w:val="num" w:pos="-1440"/>
      </w:tabs>
      <w:spacing w:after="240" w:line="240" w:lineRule="auto"/>
      <w:ind w:left="-1440" w:hanging="720"/>
      <w:contextualSpacing/>
      <w:jc w:val="both"/>
    </w:pPr>
    <w:rPr>
      <w:sz w:val="24"/>
      <w:szCs w:val="24"/>
      <w:lang w:val="en-GB"/>
    </w:rPr>
  </w:style>
  <w:style w:type="paragraph" w:customStyle="1" w:styleId="FootnoteTextMore">
    <w:name w:val="Footnote TextMore"/>
    <w:basedOn w:val="FootnoteText"/>
    <w:uiPriority w:val="99"/>
    <w:rsid w:val="00847BCE"/>
    <w:pPr>
      <w:ind w:left="360" w:hanging="360"/>
    </w:pPr>
    <w:rPr>
      <w:sz w:val="18"/>
      <w:szCs w:val="16"/>
      <w:lang w:val="en-US"/>
    </w:rPr>
  </w:style>
  <w:style w:type="paragraph" w:customStyle="1" w:styleId="Char1CharCharCharCharCharCharCharCharCharCharChar">
    <w:name w:val="Char1 Char Char Char Char Char Char Char Char Char Char Char"/>
    <w:basedOn w:val="Normal"/>
    <w:uiPriority w:val="99"/>
    <w:rsid w:val="00847BCE"/>
    <w:pPr>
      <w:spacing w:line="240" w:lineRule="exact"/>
      <w:jc w:val="both"/>
    </w:pPr>
    <w:rPr>
      <w:rFonts w:asciiTheme="minorHAnsi" w:eastAsiaTheme="minorEastAsia" w:hAnsiTheme="minorHAnsi" w:cstheme="minorBidi"/>
      <w:noProof/>
      <w:sz w:val="20"/>
      <w:szCs w:val="20"/>
      <w:lang w:val="fr-FR" w:bidi="en-US"/>
    </w:rPr>
  </w:style>
  <w:style w:type="paragraph" w:customStyle="1" w:styleId="Char1CharCharCharCharCharCharCharCharChar">
    <w:name w:val="Char1 Char Char Char Char Char Char Char Char Char"/>
    <w:basedOn w:val="Normal"/>
    <w:uiPriority w:val="99"/>
    <w:rsid w:val="00847BCE"/>
    <w:pPr>
      <w:spacing w:line="240" w:lineRule="exact"/>
      <w:jc w:val="both"/>
    </w:pPr>
    <w:rPr>
      <w:rFonts w:asciiTheme="minorHAnsi" w:eastAsiaTheme="minorEastAsia" w:hAnsiTheme="minorHAnsi" w:cstheme="minorBidi"/>
      <w:noProof/>
      <w:sz w:val="20"/>
      <w:szCs w:val="20"/>
      <w:lang w:val="fr-FR" w:bidi="en-US"/>
    </w:rPr>
  </w:style>
  <w:style w:type="paragraph" w:customStyle="1" w:styleId="Bullet025">
    <w:name w:val="Bullet 0.25"/>
    <w:uiPriority w:val="99"/>
    <w:rsid w:val="00847BCE"/>
    <w:pPr>
      <w:tabs>
        <w:tab w:val="num" w:pos="720"/>
      </w:tabs>
      <w:spacing w:after="240" w:line="276" w:lineRule="auto"/>
      <w:ind w:left="720" w:hanging="360"/>
      <w:jc w:val="both"/>
    </w:pPr>
    <w:rPr>
      <w:rFonts w:asciiTheme="minorHAnsi" w:eastAsiaTheme="minorEastAsia" w:hAnsiTheme="minorHAnsi" w:cstheme="minorBidi"/>
    </w:rPr>
  </w:style>
  <w:style w:type="paragraph" w:customStyle="1" w:styleId="BlockTextIndent">
    <w:name w:val="Block Text Indent"/>
    <w:rsid w:val="00847BCE"/>
    <w:pPr>
      <w:spacing w:after="240" w:line="276" w:lineRule="auto"/>
      <w:ind w:firstLine="720"/>
      <w:jc w:val="both"/>
    </w:pPr>
    <w:rPr>
      <w:rFonts w:asciiTheme="minorHAnsi" w:eastAsiaTheme="minorEastAsia" w:hAnsiTheme="minorHAnsi" w:cstheme="minorBidi"/>
      <w:szCs w:val="24"/>
      <w:lang w:val="en-GB"/>
    </w:rPr>
  </w:style>
  <w:style w:type="paragraph" w:customStyle="1" w:styleId="bullet10">
    <w:name w:val="bullet 1"/>
    <w:basedOn w:val="NormalWeb"/>
    <w:uiPriority w:val="99"/>
    <w:rsid w:val="00847BCE"/>
    <w:pPr>
      <w:tabs>
        <w:tab w:val="num" w:pos="454"/>
      </w:tabs>
      <w:spacing w:before="200" w:beforeAutospacing="0" w:after="200" w:afterAutospacing="0" w:line="240" w:lineRule="atLeast"/>
      <w:ind w:left="454" w:hanging="454"/>
    </w:pPr>
    <w:rPr>
      <w:color w:val="000000"/>
      <w:szCs w:val="20"/>
      <w:lang w:val="en-GB" w:eastAsia="fr-FR"/>
    </w:rPr>
  </w:style>
  <w:style w:type="paragraph" w:customStyle="1" w:styleId="Char1">
    <w:name w:val="Char1"/>
    <w:basedOn w:val="Normal"/>
    <w:uiPriority w:val="99"/>
    <w:rsid w:val="00847BCE"/>
    <w:pPr>
      <w:spacing w:line="240" w:lineRule="exact"/>
      <w:jc w:val="both"/>
    </w:pPr>
    <w:rPr>
      <w:rFonts w:asciiTheme="minorHAnsi" w:eastAsiaTheme="minorEastAsia" w:hAnsiTheme="minorHAnsi" w:cstheme="minorBidi"/>
      <w:noProof/>
      <w:sz w:val="20"/>
      <w:szCs w:val="20"/>
      <w:lang w:val="fr-FR" w:bidi="en-US"/>
    </w:rPr>
  </w:style>
  <w:style w:type="paragraph" w:customStyle="1" w:styleId="aItalbold">
    <w:name w:val="a)Italbold"/>
    <w:basedOn w:val="Normal"/>
    <w:autoRedefine/>
    <w:uiPriority w:val="99"/>
    <w:rsid w:val="00847BCE"/>
    <w:pPr>
      <w:keepNext/>
      <w:keepLines/>
      <w:widowControl w:val="0"/>
      <w:autoSpaceDE w:val="0"/>
      <w:autoSpaceDN w:val="0"/>
      <w:adjustRightInd w:val="0"/>
      <w:spacing w:after="240" w:line="240" w:lineRule="auto"/>
      <w:jc w:val="both"/>
      <w:outlineLvl w:val="0"/>
    </w:pPr>
    <w:rPr>
      <w:rFonts w:asciiTheme="minorHAnsi" w:eastAsiaTheme="minorEastAsia" w:hAnsiTheme="minorHAnsi" w:cs="Arial"/>
      <w:b/>
      <w:bCs/>
      <w:iCs/>
      <w:sz w:val="20"/>
      <w:szCs w:val="20"/>
      <w:lang w:bidi="en-US"/>
    </w:rPr>
  </w:style>
  <w:style w:type="paragraph" w:customStyle="1" w:styleId="CharCharChar1CharCharChar">
    <w:name w:val="Char Char Char1 Char Char Char"/>
    <w:basedOn w:val="Normal"/>
    <w:uiPriority w:val="99"/>
    <w:rsid w:val="00847BCE"/>
    <w:pPr>
      <w:spacing w:line="240" w:lineRule="exact"/>
      <w:jc w:val="both"/>
    </w:pPr>
    <w:rPr>
      <w:rFonts w:asciiTheme="minorHAnsi" w:eastAsiaTheme="minorEastAsia" w:hAnsiTheme="minorHAnsi" w:cstheme="minorBidi"/>
      <w:noProof/>
      <w:sz w:val="20"/>
      <w:szCs w:val="20"/>
      <w:lang w:val="fr-FR" w:bidi="en-US"/>
    </w:rPr>
  </w:style>
  <w:style w:type="paragraph" w:customStyle="1" w:styleId="TableColumnHeader">
    <w:name w:val="Table Column Header"/>
    <w:basedOn w:val="Normal"/>
    <w:uiPriority w:val="99"/>
    <w:rsid w:val="00847BCE"/>
    <w:pPr>
      <w:spacing w:before="120" w:after="170" w:line="290" w:lineRule="atLeast"/>
      <w:jc w:val="both"/>
    </w:pPr>
    <w:rPr>
      <w:rFonts w:asciiTheme="minorHAnsi" w:eastAsiaTheme="minorEastAsia" w:hAnsiTheme="minorHAnsi" w:cstheme="minorBidi"/>
      <w:b/>
      <w:sz w:val="24"/>
      <w:szCs w:val="20"/>
      <w:lang w:val="en-GB" w:bidi="en-US"/>
    </w:rPr>
  </w:style>
  <w:style w:type="paragraph" w:customStyle="1" w:styleId="table0">
    <w:name w:val="table"/>
    <w:basedOn w:val="Normal"/>
    <w:uiPriority w:val="99"/>
    <w:rsid w:val="00847BCE"/>
    <w:pPr>
      <w:spacing w:before="20" w:after="20" w:line="240" w:lineRule="auto"/>
      <w:jc w:val="both"/>
    </w:pPr>
    <w:rPr>
      <w:rFonts w:asciiTheme="minorHAnsi" w:eastAsiaTheme="minorEastAsia" w:hAnsiTheme="minorHAnsi" w:cs="Arial"/>
      <w:bCs/>
      <w:sz w:val="16"/>
      <w:szCs w:val="24"/>
      <w:lang w:val="en-GB" w:bidi="en-US"/>
    </w:rPr>
  </w:style>
  <w:style w:type="paragraph" w:customStyle="1" w:styleId="BlockTextNumber">
    <w:name w:val="Block Text Number"/>
    <w:basedOn w:val="BlockText"/>
    <w:uiPriority w:val="99"/>
    <w:rsid w:val="00847BCE"/>
    <w:rPr>
      <w:bCs/>
      <w:color w:val="0000FF"/>
    </w:rPr>
  </w:style>
  <w:style w:type="paragraph" w:customStyle="1" w:styleId="headingboldcentre">
    <w:name w:val="heading bold centre"/>
    <w:uiPriority w:val="99"/>
    <w:rsid w:val="00847BCE"/>
    <w:pPr>
      <w:keepNext/>
      <w:autoSpaceDE w:val="0"/>
      <w:autoSpaceDN w:val="0"/>
      <w:adjustRightInd w:val="0"/>
      <w:spacing w:after="240" w:line="276" w:lineRule="auto"/>
      <w:jc w:val="center"/>
    </w:pPr>
    <w:rPr>
      <w:rFonts w:asciiTheme="minorHAnsi" w:eastAsiaTheme="minorEastAsia" w:hAnsiTheme="minorHAnsi" w:cstheme="minorBidi"/>
      <w:b/>
      <w:bCs/>
    </w:rPr>
  </w:style>
  <w:style w:type="paragraph" w:customStyle="1" w:styleId="NoteTable">
    <w:name w:val="Note Table"/>
    <w:uiPriority w:val="99"/>
    <w:rsid w:val="00847BCE"/>
    <w:pPr>
      <w:spacing w:before="120" w:after="240" w:line="276" w:lineRule="auto"/>
      <w:ind w:left="357" w:hanging="357"/>
      <w:contextualSpacing/>
      <w:jc w:val="both"/>
    </w:pPr>
    <w:rPr>
      <w:rFonts w:asciiTheme="minorHAnsi" w:eastAsiaTheme="minorEastAsia" w:hAnsiTheme="minorHAnsi" w:cs="Arial"/>
      <w:sz w:val="16"/>
      <w:szCs w:val="15"/>
      <w:lang w:val="en-GB"/>
    </w:rPr>
  </w:style>
  <w:style w:type="paragraph" w:customStyle="1" w:styleId="Char">
    <w:name w:val="Char"/>
    <w:basedOn w:val="Normal"/>
    <w:uiPriority w:val="99"/>
    <w:rsid w:val="00847BCE"/>
    <w:pPr>
      <w:spacing w:line="240" w:lineRule="exact"/>
      <w:jc w:val="both"/>
    </w:pPr>
    <w:rPr>
      <w:rFonts w:asciiTheme="minorHAnsi" w:eastAsiaTheme="minorEastAsia" w:hAnsiTheme="minorHAnsi" w:cstheme="minorBidi"/>
      <w:noProof/>
      <w:sz w:val="20"/>
      <w:szCs w:val="20"/>
      <w:lang w:val="fr-FR" w:bidi="en-US"/>
    </w:rPr>
  </w:style>
  <w:style w:type="paragraph" w:customStyle="1" w:styleId="Char1CharCharCharCharCharCharCharCharCharCharChar1">
    <w:name w:val="Char1 Char Char Char Char Char Char Char Char Char Char Char1"/>
    <w:basedOn w:val="Normal"/>
    <w:uiPriority w:val="99"/>
    <w:rsid w:val="00847BCE"/>
    <w:pPr>
      <w:autoSpaceDE w:val="0"/>
      <w:autoSpaceDN w:val="0"/>
      <w:adjustRightInd w:val="0"/>
      <w:spacing w:line="240" w:lineRule="exact"/>
      <w:jc w:val="both"/>
    </w:pPr>
    <w:rPr>
      <w:rFonts w:asciiTheme="minorHAnsi" w:eastAsia="SimSun" w:hAnsiTheme="minorHAnsi" w:cstheme="minorBidi"/>
      <w:sz w:val="20"/>
      <w:szCs w:val="20"/>
      <w:lang w:val="fr-FR" w:eastAsia="zh-CN" w:bidi="en-US"/>
    </w:rPr>
  </w:style>
  <w:style w:type="paragraph" w:customStyle="1" w:styleId="titlefootnote">
    <w:name w:val="title footnote"/>
    <w:basedOn w:val="Title"/>
    <w:rsid w:val="00847BCE"/>
  </w:style>
  <w:style w:type="paragraph" w:customStyle="1" w:styleId="Default">
    <w:name w:val="Default"/>
    <w:uiPriority w:val="99"/>
    <w:rsid w:val="00847BCE"/>
    <w:pPr>
      <w:autoSpaceDE w:val="0"/>
      <w:autoSpaceDN w:val="0"/>
      <w:adjustRightInd w:val="0"/>
      <w:spacing w:after="200" w:line="276" w:lineRule="auto"/>
      <w:jc w:val="both"/>
    </w:pPr>
    <w:rPr>
      <w:rFonts w:ascii="Arial" w:eastAsiaTheme="minorEastAsia" w:hAnsi="Arial" w:cs="Arial"/>
      <w:color w:val="000000"/>
      <w:sz w:val="24"/>
      <w:szCs w:val="24"/>
    </w:rPr>
  </w:style>
  <w:style w:type="character" w:customStyle="1" w:styleId="ClearFormattingChar">
    <w:name w:val="Clear Formatting Char"/>
    <w:basedOn w:val="BulletedListCharChar"/>
    <w:link w:val="ClearFormatting"/>
    <w:locked/>
    <w:rsid w:val="00847BCE"/>
  </w:style>
  <w:style w:type="paragraph" w:customStyle="1" w:styleId="ClearFormatting">
    <w:name w:val="Clear Formatting"/>
    <w:basedOn w:val="BulletedList"/>
    <w:link w:val="ClearFormattingChar"/>
    <w:uiPriority w:val="99"/>
    <w:rsid w:val="00847BCE"/>
    <w:pPr>
      <w:tabs>
        <w:tab w:val="clear" w:pos="-1440"/>
      </w:tabs>
      <w:ind w:left="720" w:firstLine="0"/>
    </w:pPr>
  </w:style>
  <w:style w:type="paragraph" w:customStyle="1" w:styleId="OpmaakprofielKop3Rechts-002cm">
    <w:name w:val="Opmaakprofiel Kop 3 + Rechts:  -002 cm"/>
    <w:basedOn w:val="Heading3"/>
    <w:uiPriority w:val="99"/>
    <w:rsid w:val="00847BCE"/>
    <w:pPr>
      <w:ind w:right="-14"/>
    </w:pPr>
    <w:rPr>
      <w:rFonts w:eastAsiaTheme="minorEastAsia" w:cs="Times New Roman"/>
      <w:szCs w:val="20"/>
    </w:rPr>
  </w:style>
  <w:style w:type="paragraph" w:customStyle="1" w:styleId="SectionHeading">
    <w:name w:val="SectionHeading"/>
    <w:basedOn w:val="Normal"/>
    <w:next w:val="BodyText"/>
    <w:uiPriority w:val="99"/>
    <w:rsid w:val="00847BCE"/>
    <w:pPr>
      <w:spacing w:after="240" w:line="240" w:lineRule="auto"/>
      <w:jc w:val="center"/>
      <w:outlineLvl w:val="8"/>
    </w:pPr>
    <w:rPr>
      <w:rFonts w:ascii="Times New Roman" w:eastAsiaTheme="minorEastAsia" w:hAnsi="Times New Roman" w:cstheme="minorBidi"/>
      <w:b/>
      <w:caps/>
      <w:sz w:val="20"/>
      <w:szCs w:val="20"/>
      <w:lang w:bidi="en-US"/>
    </w:rPr>
  </w:style>
  <w:style w:type="paragraph" w:customStyle="1" w:styleId="Coverpage">
    <w:name w:val="Coverpage"/>
    <w:basedOn w:val="Normal"/>
    <w:uiPriority w:val="99"/>
    <w:rsid w:val="00847BCE"/>
    <w:pPr>
      <w:spacing w:line="240" w:lineRule="auto"/>
      <w:jc w:val="center"/>
    </w:pPr>
    <w:rPr>
      <w:rFonts w:ascii="Times New Roman" w:eastAsiaTheme="minorEastAsia" w:hAnsi="Times New Roman" w:cstheme="minorBidi"/>
      <w:sz w:val="20"/>
      <w:szCs w:val="20"/>
      <w:lang w:bidi="en-US"/>
    </w:rPr>
  </w:style>
  <w:style w:type="paragraph" w:customStyle="1" w:styleId="SectionPageHeading">
    <w:name w:val="SectionPageHeading"/>
    <w:basedOn w:val="Normal"/>
    <w:next w:val="Normal"/>
    <w:uiPriority w:val="99"/>
    <w:rsid w:val="00847BCE"/>
    <w:pPr>
      <w:spacing w:after="240" w:line="240" w:lineRule="auto"/>
      <w:jc w:val="right"/>
    </w:pPr>
    <w:rPr>
      <w:rFonts w:ascii="Times New Roman" w:eastAsiaTheme="minorEastAsia" w:hAnsi="Times New Roman" w:cstheme="minorBidi"/>
      <w:b/>
      <w:sz w:val="20"/>
      <w:szCs w:val="20"/>
      <w:lang w:bidi="en-US"/>
    </w:rPr>
  </w:style>
  <w:style w:type="paragraph" w:customStyle="1" w:styleId="BodyText2J">
    <w:name w:val="Body Text 2 J"/>
    <w:basedOn w:val="BodyText2"/>
    <w:uiPriority w:val="99"/>
    <w:rsid w:val="00847BCE"/>
    <w:pPr>
      <w:autoSpaceDE/>
      <w:autoSpaceDN/>
      <w:adjustRightInd/>
      <w:spacing w:after="0" w:line="480" w:lineRule="auto"/>
      <w:ind w:firstLine="1440"/>
    </w:pPr>
    <w:rPr>
      <w:rFonts w:ascii="Times New Roman" w:hAnsi="Times New Roman"/>
    </w:rPr>
  </w:style>
  <w:style w:type="paragraph" w:customStyle="1" w:styleId="BodyText3J">
    <w:name w:val="Body Text 3 J"/>
    <w:basedOn w:val="BodyText3"/>
    <w:uiPriority w:val="99"/>
    <w:rsid w:val="00847BCE"/>
    <w:pPr>
      <w:spacing w:after="0" w:line="360" w:lineRule="auto"/>
      <w:ind w:firstLine="1440"/>
    </w:pPr>
    <w:rPr>
      <w:rFonts w:ascii="Times New Roman" w:hAnsi="Times New Roman"/>
      <w:color w:val="auto"/>
      <w:szCs w:val="16"/>
      <w:lang w:val="en-US"/>
    </w:rPr>
  </w:style>
  <w:style w:type="paragraph" w:customStyle="1" w:styleId="BodyTextJ">
    <w:name w:val="Body Text J"/>
    <w:basedOn w:val="BodyText"/>
    <w:uiPriority w:val="99"/>
    <w:rsid w:val="00847BCE"/>
    <w:rPr>
      <w:rFonts w:ascii="Times New Roman" w:hAnsi="Times New Roman"/>
      <w:color w:val="auto"/>
      <w:lang w:val="en-US"/>
    </w:rPr>
  </w:style>
  <w:style w:type="paragraph" w:customStyle="1" w:styleId="BlockText1">
    <w:name w:val="Block Text 1"/>
    <w:basedOn w:val="Normal"/>
    <w:uiPriority w:val="99"/>
    <w:rsid w:val="00847BCE"/>
    <w:pPr>
      <w:spacing w:after="240" w:line="240" w:lineRule="auto"/>
      <w:ind w:left="1440" w:right="1829"/>
      <w:jc w:val="both"/>
    </w:pPr>
    <w:rPr>
      <w:rFonts w:ascii="Times New Roman" w:eastAsiaTheme="minorEastAsia" w:hAnsi="Times New Roman" w:cstheme="minorBidi"/>
      <w:sz w:val="20"/>
      <w:szCs w:val="20"/>
      <w:lang w:bidi="en-US"/>
    </w:rPr>
  </w:style>
  <w:style w:type="paragraph" w:customStyle="1" w:styleId="BlockTextJ">
    <w:name w:val="Block Text J"/>
    <w:basedOn w:val="Normal"/>
    <w:rsid w:val="00847BCE"/>
    <w:pPr>
      <w:spacing w:line="240" w:lineRule="auto"/>
      <w:jc w:val="both"/>
    </w:pPr>
    <w:rPr>
      <w:rFonts w:ascii="Times New Roman" w:eastAsiaTheme="minorEastAsia" w:hAnsi="Times New Roman" w:cstheme="minorBidi"/>
      <w:sz w:val="20"/>
      <w:szCs w:val="20"/>
      <w:lang w:bidi="en-US"/>
    </w:rPr>
  </w:style>
  <w:style w:type="paragraph" w:customStyle="1" w:styleId="TitleL">
    <w:name w:val="Title L"/>
    <w:basedOn w:val="Title"/>
    <w:uiPriority w:val="99"/>
    <w:rsid w:val="00847BCE"/>
    <w:pPr>
      <w:keepNext/>
    </w:pPr>
    <w:rPr>
      <w:rFonts w:ascii="Times New Roman" w:hAnsi="Times New Roman"/>
      <w:sz w:val="20"/>
    </w:rPr>
  </w:style>
  <w:style w:type="paragraph" w:customStyle="1" w:styleId="HangingIndent">
    <w:name w:val="Hanging Indent"/>
    <w:basedOn w:val="BlockText"/>
    <w:uiPriority w:val="99"/>
    <w:rsid w:val="00847BCE"/>
    <w:pPr>
      <w:spacing w:after="240"/>
      <w:ind w:left="2160" w:hanging="2160"/>
      <w:jc w:val="left"/>
    </w:pPr>
    <w:rPr>
      <w:rFonts w:ascii="Times New Roman" w:hAnsi="Times New Roman"/>
      <w:color w:val="auto"/>
    </w:rPr>
  </w:style>
  <w:style w:type="paragraph" w:customStyle="1" w:styleId="TitleLItal5">
    <w:name w:val="Title L Ital .5"/>
    <w:basedOn w:val="Normal"/>
    <w:uiPriority w:val="99"/>
    <w:rsid w:val="00847BCE"/>
    <w:pPr>
      <w:keepNext/>
      <w:spacing w:line="240" w:lineRule="auto"/>
      <w:ind w:left="720"/>
      <w:jc w:val="both"/>
    </w:pPr>
    <w:rPr>
      <w:rFonts w:ascii="Times New Roman" w:eastAsiaTheme="minorEastAsia" w:hAnsi="Times New Roman" w:cstheme="minorBidi"/>
      <w:i/>
      <w:sz w:val="20"/>
      <w:szCs w:val="20"/>
      <w:lang w:bidi="en-US"/>
    </w:rPr>
  </w:style>
  <w:style w:type="paragraph" w:customStyle="1" w:styleId="UK10Block">
    <w:name w:val="UK10 Block"/>
    <w:basedOn w:val="Normal"/>
    <w:uiPriority w:val="99"/>
    <w:rsid w:val="00847BCE"/>
    <w:pPr>
      <w:spacing w:after="240" w:line="246" w:lineRule="atLeast"/>
      <w:jc w:val="both"/>
    </w:pPr>
    <w:rPr>
      <w:rFonts w:ascii="Times New Roman" w:eastAsiaTheme="minorEastAsia" w:hAnsi="Times New Roman" w:cstheme="minorBidi"/>
      <w:sz w:val="20"/>
      <w:szCs w:val="20"/>
      <w:lang w:bidi="en-US"/>
    </w:rPr>
  </w:style>
  <w:style w:type="paragraph" w:customStyle="1" w:styleId="UK10Block05">
    <w:name w:val="UK10 Block 0.5"/>
    <w:basedOn w:val="Normal"/>
    <w:uiPriority w:val="99"/>
    <w:rsid w:val="00847BCE"/>
    <w:pPr>
      <w:spacing w:after="240" w:line="246" w:lineRule="atLeast"/>
      <w:ind w:left="720"/>
      <w:jc w:val="both"/>
    </w:pPr>
    <w:rPr>
      <w:rFonts w:ascii="Times New Roman" w:eastAsiaTheme="minorEastAsia" w:hAnsi="Times New Roman" w:cstheme="minorBidi"/>
      <w:sz w:val="20"/>
      <w:szCs w:val="20"/>
      <w:lang w:bidi="en-US"/>
    </w:rPr>
  </w:style>
  <w:style w:type="paragraph" w:customStyle="1" w:styleId="UK10Block10">
    <w:name w:val="UK10 Block 1.0"/>
    <w:basedOn w:val="Normal"/>
    <w:uiPriority w:val="99"/>
    <w:rsid w:val="00847BCE"/>
    <w:pPr>
      <w:spacing w:after="240" w:line="246" w:lineRule="atLeast"/>
      <w:ind w:left="1440"/>
      <w:jc w:val="both"/>
    </w:pPr>
    <w:rPr>
      <w:rFonts w:ascii="Times New Roman" w:eastAsiaTheme="minorEastAsia" w:hAnsi="Times New Roman" w:cstheme="minorBidi"/>
      <w:sz w:val="20"/>
      <w:szCs w:val="20"/>
      <w:lang w:bidi="en-US"/>
    </w:rPr>
  </w:style>
  <w:style w:type="paragraph" w:customStyle="1" w:styleId="UK10Block15">
    <w:name w:val="UK10 Block 1.5"/>
    <w:basedOn w:val="Normal"/>
    <w:uiPriority w:val="99"/>
    <w:rsid w:val="00847BCE"/>
    <w:pPr>
      <w:spacing w:after="240" w:line="246" w:lineRule="atLeast"/>
      <w:ind w:left="2160"/>
      <w:jc w:val="both"/>
    </w:pPr>
    <w:rPr>
      <w:rFonts w:ascii="Times New Roman" w:eastAsiaTheme="minorEastAsia" w:hAnsi="Times New Roman" w:cstheme="minorBidi"/>
      <w:sz w:val="20"/>
      <w:szCs w:val="20"/>
      <w:lang w:bidi="en-US"/>
    </w:rPr>
  </w:style>
  <w:style w:type="paragraph" w:customStyle="1" w:styleId="UK10Block20">
    <w:name w:val="UK10 Block 2.0"/>
    <w:basedOn w:val="Normal"/>
    <w:uiPriority w:val="99"/>
    <w:rsid w:val="00847BCE"/>
    <w:pPr>
      <w:spacing w:after="240" w:line="246" w:lineRule="atLeast"/>
      <w:ind w:left="2880"/>
      <w:jc w:val="both"/>
    </w:pPr>
    <w:rPr>
      <w:rFonts w:ascii="Times New Roman" w:eastAsiaTheme="minorEastAsia" w:hAnsi="Times New Roman" w:cstheme="minorBidi"/>
      <w:sz w:val="20"/>
      <w:szCs w:val="20"/>
      <w:lang w:bidi="en-US"/>
    </w:rPr>
  </w:style>
  <w:style w:type="paragraph" w:customStyle="1" w:styleId="UK10Block25">
    <w:name w:val="UK10 Block 2.5"/>
    <w:basedOn w:val="Normal"/>
    <w:uiPriority w:val="99"/>
    <w:rsid w:val="00847BCE"/>
    <w:pPr>
      <w:spacing w:after="240" w:line="246" w:lineRule="atLeast"/>
      <w:ind w:left="3600"/>
      <w:jc w:val="both"/>
    </w:pPr>
    <w:rPr>
      <w:rFonts w:ascii="Times New Roman" w:eastAsiaTheme="minorEastAsia" w:hAnsi="Times New Roman" w:cstheme="minorBidi"/>
      <w:sz w:val="20"/>
      <w:szCs w:val="20"/>
      <w:lang w:bidi="en-US"/>
    </w:rPr>
  </w:style>
  <w:style w:type="paragraph" w:customStyle="1" w:styleId="UK10Block30">
    <w:name w:val="UK10 Block 3.0"/>
    <w:basedOn w:val="Normal"/>
    <w:uiPriority w:val="99"/>
    <w:rsid w:val="00847BCE"/>
    <w:pPr>
      <w:spacing w:after="240" w:line="246" w:lineRule="atLeast"/>
      <w:ind w:left="4320"/>
      <w:jc w:val="both"/>
    </w:pPr>
    <w:rPr>
      <w:rFonts w:ascii="Times New Roman" w:eastAsiaTheme="minorEastAsia" w:hAnsi="Times New Roman" w:cstheme="minorBidi"/>
      <w:sz w:val="20"/>
      <w:szCs w:val="20"/>
      <w:lang w:bidi="en-US"/>
    </w:rPr>
  </w:style>
  <w:style w:type="paragraph" w:customStyle="1" w:styleId="UK10Title">
    <w:name w:val="UK10 Title"/>
    <w:basedOn w:val="Normal"/>
    <w:next w:val="UK10Block"/>
    <w:uiPriority w:val="99"/>
    <w:rsid w:val="00847BCE"/>
    <w:pPr>
      <w:spacing w:after="240" w:line="246" w:lineRule="atLeast"/>
      <w:jc w:val="center"/>
    </w:pPr>
    <w:rPr>
      <w:rFonts w:ascii="Times New Roman" w:eastAsiaTheme="minorEastAsia" w:hAnsi="Times New Roman" w:cstheme="minorBidi"/>
      <w:b/>
      <w:kern w:val="28"/>
      <w:sz w:val="20"/>
      <w:szCs w:val="20"/>
      <w:lang w:bidi="en-US"/>
    </w:rPr>
  </w:style>
  <w:style w:type="paragraph" w:customStyle="1" w:styleId="UK11Block">
    <w:name w:val="UK11 Block"/>
    <w:basedOn w:val="Normal"/>
    <w:uiPriority w:val="99"/>
    <w:rsid w:val="00847BCE"/>
    <w:pPr>
      <w:spacing w:after="240" w:line="246" w:lineRule="atLeast"/>
      <w:jc w:val="both"/>
    </w:pPr>
    <w:rPr>
      <w:rFonts w:ascii="Times New Roman" w:eastAsiaTheme="minorEastAsia" w:hAnsi="Times New Roman" w:cstheme="minorBidi"/>
      <w:sz w:val="20"/>
      <w:szCs w:val="20"/>
      <w:lang w:bidi="en-US"/>
    </w:rPr>
  </w:style>
  <w:style w:type="paragraph" w:customStyle="1" w:styleId="UK11Block05">
    <w:name w:val="UK11 Block 0.5"/>
    <w:basedOn w:val="Normal"/>
    <w:uiPriority w:val="99"/>
    <w:rsid w:val="00847BCE"/>
    <w:pPr>
      <w:spacing w:after="240" w:line="246" w:lineRule="atLeast"/>
      <w:ind w:left="720"/>
      <w:jc w:val="both"/>
    </w:pPr>
    <w:rPr>
      <w:rFonts w:ascii="Times New Roman" w:eastAsiaTheme="minorEastAsia" w:hAnsi="Times New Roman" w:cstheme="minorBidi"/>
      <w:sz w:val="20"/>
      <w:szCs w:val="20"/>
      <w:lang w:bidi="en-US"/>
    </w:rPr>
  </w:style>
  <w:style w:type="paragraph" w:customStyle="1" w:styleId="UK11Block10">
    <w:name w:val="UK11 Block 1.0"/>
    <w:basedOn w:val="Normal"/>
    <w:uiPriority w:val="99"/>
    <w:rsid w:val="00847BCE"/>
    <w:pPr>
      <w:spacing w:after="240" w:line="246" w:lineRule="atLeast"/>
      <w:ind w:left="1440"/>
      <w:jc w:val="both"/>
    </w:pPr>
    <w:rPr>
      <w:rFonts w:ascii="Times New Roman" w:eastAsiaTheme="minorEastAsia" w:hAnsi="Times New Roman" w:cstheme="minorBidi"/>
      <w:sz w:val="20"/>
      <w:szCs w:val="20"/>
      <w:lang w:bidi="en-US"/>
    </w:rPr>
  </w:style>
  <w:style w:type="paragraph" w:customStyle="1" w:styleId="UK11Block15">
    <w:name w:val="UK11 Block 1.5"/>
    <w:basedOn w:val="Normal"/>
    <w:uiPriority w:val="99"/>
    <w:rsid w:val="00847BCE"/>
    <w:pPr>
      <w:spacing w:after="240" w:line="246" w:lineRule="atLeast"/>
      <w:ind w:left="2160"/>
      <w:jc w:val="both"/>
    </w:pPr>
    <w:rPr>
      <w:rFonts w:ascii="Times New Roman" w:eastAsiaTheme="minorEastAsia" w:hAnsi="Times New Roman" w:cstheme="minorBidi"/>
      <w:sz w:val="20"/>
      <w:szCs w:val="20"/>
      <w:lang w:bidi="en-US"/>
    </w:rPr>
  </w:style>
  <w:style w:type="paragraph" w:customStyle="1" w:styleId="UK11Block20">
    <w:name w:val="UK11 Block 2.0"/>
    <w:basedOn w:val="Normal"/>
    <w:uiPriority w:val="99"/>
    <w:rsid w:val="00847BCE"/>
    <w:pPr>
      <w:spacing w:after="240" w:line="246" w:lineRule="atLeast"/>
      <w:ind w:left="2880"/>
      <w:jc w:val="both"/>
    </w:pPr>
    <w:rPr>
      <w:rFonts w:ascii="Times New Roman" w:eastAsiaTheme="minorEastAsia" w:hAnsi="Times New Roman" w:cstheme="minorBidi"/>
      <w:sz w:val="20"/>
      <w:szCs w:val="20"/>
      <w:lang w:bidi="en-US"/>
    </w:rPr>
  </w:style>
  <w:style w:type="paragraph" w:customStyle="1" w:styleId="UK11Block25">
    <w:name w:val="UK11 Block 2.5"/>
    <w:basedOn w:val="Normal"/>
    <w:uiPriority w:val="99"/>
    <w:rsid w:val="00847BCE"/>
    <w:pPr>
      <w:spacing w:after="240" w:line="246" w:lineRule="atLeast"/>
      <w:ind w:left="3600"/>
      <w:jc w:val="both"/>
    </w:pPr>
    <w:rPr>
      <w:rFonts w:ascii="Times New Roman" w:eastAsiaTheme="minorEastAsia" w:hAnsi="Times New Roman" w:cstheme="minorBidi"/>
      <w:sz w:val="20"/>
      <w:szCs w:val="20"/>
      <w:lang w:bidi="en-US"/>
    </w:rPr>
  </w:style>
  <w:style w:type="paragraph" w:customStyle="1" w:styleId="UK11Block30">
    <w:name w:val="UK11 Block 3.0"/>
    <w:basedOn w:val="Normal"/>
    <w:uiPriority w:val="99"/>
    <w:rsid w:val="00847BCE"/>
    <w:pPr>
      <w:spacing w:after="240" w:line="246" w:lineRule="atLeast"/>
      <w:ind w:left="4320"/>
      <w:jc w:val="both"/>
    </w:pPr>
    <w:rPr>
      <w:rFonts w:ascii="Times New Roman" w:eastAsiaTheme="minorEastAsia" w:hAnsi="Times New Roman" w:cstheme="minorBidi"/>
      <w:sz w:val="20"/>
      <w:szCs w:val="20"/>
      <w:lang w:bidi="en-US"/>
    </w:rPr>
  </w:style>
  <w:style w:type="paragraph" w:customStyle="1" w:styleId="UK11Title">
    <w:name w:val="UK11 Title"/>
    <w:basedOn w:val="Normal"/>
    <w:next w:val="UK11Block"/>
    <w:uiPriority w:val="99"/>
    <w:rsid w:val="00847BCE"/>
    <w:pPr>
      <w:spacing w:after="240" w:line="246" w:lineRule="atLeast"/>
      <w:jc w:val="center"/>
    </w:pPr>
    <w:rPr>
      <w:rFonts w:ascii="Times New Roman" w:eastAsiaTheme="minorEastAsia" w:hAnsi="Times New Roman" w:cstheme="minorBidi"/>
      <w:b/>
      <w:kern w:val="28"/>
      <w:sz w:val="20"/>
      <w:szCs w:val="20"/>
      <w:lang w:bidi="en-US"/>
    </w:rPr>
  </w:style>
  <w:style w:type="paragraph" w:customStyle="1" w:styleId="UK12Block">
    <w:name w:val="UK12 Block"/>
    <w:basedOn w:val="Normal"/>
    <w:uiPriority w:val="99"/>
    <w:rsid w:val="00847BCE"/>
    <w:pPr>
      <w:spacing w:after="240" w:line="246" w:lineRule="atLeast"/>
      <w:jc w:val="both"/>
    </w:pPr>
    <w:rPr>
      <w:rFonts w:ascii="Times New Roman" w:eastAsiaTheme="minorEastAsia" w:hAnsi="Times New Roman" w:cstheme="minorBidi"/>
      <w:sz w:val="20"/>
      <w:szCs w:val="20"/>
      <w:lang w:bidi="en-US"/>
    </w:rPr>
  </w:style>
  <w:style w:type="paragraph" w:customStyle="1" w:styleId="UK12Block05">
    <w:name w:val="UK12 Block 0.5"/>
    <w:basedOn w:val="Normal"/>
    <w:uiPriority w:val="99"/>
    <w:rsid w:val="00847BCE"/>
    <w:pPr>
      <w:spacing w:after="240" w:line="246" w:lineRule="atLeast"/>
      <w:ind w:left="720"/>
      <w:jc w:val="both"/>
    </w:pPr>
    <w:rPr>
      <w:rFonts w:ascii="Times New Roman" w:eastAsiaTheme="minorEastAsia" w:hAnsi="Times New Roman" w:cstheme="minorBidi"/>
      <w:sz w:val="20"/>
      <w:szCs w:val="20"/>
      <w:lang w:bidi="en-US"/>
    </w:rPr>
  </w:style>
  <w:style w:type="paragraph" w:customStyle="1" w:styleId="UK12Block10">
    <w:name w:val="UK12 Block 1.0"/>
    <w:basedOn w:val="Normal"/>
    <w:uiPriority w:val="99"/>
    <w:rsid w:val="00847BCE"/>
    <w:pPr>
      <w:spacing w:after="240" w:line="246" w:lineRule="atLeast"/>
      <w:ind w:left="1440"/>
      <w:jc w:val="both"/>
    </w:pPr>
    <w:rPr>
      <w:rFonts w:ascii="Times New Roman" w:eastAsiaTheme="minorEastAsia" w:hAnsi="Times New Roman" w:cstheme="minorBidi"/>
      <w:sz w:val="20"/>
      <w:szCs w:val="20"/>
      <w:lang w:bidi="en-US"/>
    </w:rPr>
  </w:style>
  <w:style w:type="paragraph" w:customStyle="1" w:styleId="UK12Block15">
    <w:name w:val="UK12 Block 1.5"/>
    <w:basedOn w:val="Normal"/>
    <w:uiPriority w:val="99"/>
    <w:rsid w:val="00847BCE"/>
    <w:pPr>
      <w:spacing w:after="240" w:line="246" w:lineRule="atLeast"/>
      <w:ind w:left="2160"/>
      <w:jc w:val="both"/>
    </w:pPr>
    <w:rPr>
      <w:rFonts w:ascii="Times New Roman" w:eastAsiaTheme="minorEastAsia" w:hAnsi="Times New Roman" w:cstheme="minorBidi"/>
      <w:sz w:val="20"/>
      <w:szCs w:val="20"/>
      <w:lang w:bidi="en-US"/>
    </w:rPr>
  </w:style>
  <w:style w:type="paragraph" w:customStyle="1" w:styleId="UK12Block20">
    <w:name w:val="UK12 Block 2.0"/>
    <w:basedOn w:val="Normal"/>
    <w:uiPriority w:val="99"/>
    <w:rsid w:val="00847BCE"/>
    <w:pPr>
      <w:spacing w:after="240" w:line="246" w:lineRule="atLeast"/>
      <w:ind w:left="2880"/>
      <w:jc w:val="both"/>
    </w:pPr>
    <w:rPr>
      <w:rFonts w:ascii="Times New Roman" w:eastAsiaTheme="minorEastAsia" w:hAnsi="Times New Roman" w:cstheme="minorBidi"/>
      <w:sz w:val="20"/>
      <w:szCs w:val="20"/>
      <w:lang w:bidi="en-US"/>
    </w:rPr>
  </w:style>
  <w:style w:type="paragraph" w:customStyle="1" w:styleId="UK12Block25">
    <w:name w:val="UK12 Block 2.5"/>
    <w:basedOn w:val="Normal"/>
    <w:uiPriority w:val="99"/>
    <w:rsid w:val="00847BCE"/>
    <w:pPr>
      <w:spacing w:after="240" w:line="246" w:lineRule="atLeast"/>
      <w:ind w:left="3600"/>
      <w:jc w:val="both"/>
    </w:pPr>
    <w:rPr>
      <w:rFonts w:ascii="Times New Roman" w:eastAsiaTheme="minorEastAsia" w:hAnsi="Times New Roman" w:cstheme="minorBidi"/>
      <w:sz w:val="20"/>
      <w:szCs w:val="20"/>
      <w:lang w:bidi="en-US"/>
    </w:rPr>
  </w:style>
  <w:style w:type="paragraph" w:customStyle="1" w:styleId="UK12Block30">
    <w:name w:val="UK12 Block 3.0"/>
    <w:basedOn w:val="Normal"/>
    <w:uiPriority w:val="99"/>
    <w:rsid w:val="00847BCE"/>
    <w:pPr>
      <w:spacing w:after="240" w:line="246" w:lineRule="atLeast"/>
      <w:ind w:left="4320"/>
      <w:jc w:val="both"/>
    </w:pPr>
    <w:rPr>
      <w:rFonts w:ascii="Times New Roman" w:eastAsiaTheme="minorEastAsia" w:hAnsi="Times New Roman" w:cstheme="minorBidi"/>
      <w:sz w:val="20"/>
      <w:szCs w:val="20"/>
      <w:lang w:bidi="en-US"/>
    </w:rPr>
  </w:style>
  <w:style w:type="paragraph" w:customStyle="1" w:styleId="UK12Title">
    <w:name w:val="UK12 Title"/>
    <w:basedOn w:val="Normal"/>
    <w:next w:val="UK12Block"/>
    <w:uiPriority w:val="99"/>
    <w:rsid w:val="00847BCE"/>
    <w:pPr>
      <w:spacing w:after="240" w:line="246" w:lineRule="atLeast"/>
      <w:jc w:val="center"/>
    </w:pPr>
    <w:rPr>
      <w:rFonts w:ascii="Times New Roman" w:eastAsiaTheme="minorEastAsia" w:hAnsi="Times New Roman" w:cstheme="minorBidi"/>
      <w:b/>
      <w:kern w:val="28"/>
      <w:sz w:val="20"/>
      <w:szCs w:val="20"/>
      <w:lang w:bidi="en-US"/>
    </w:rPr>
  </w:style>
  <w:style w:type="paragraph" w:customStyle="1" w:styleId="BodyTextJ8pt">
    <w:name w:val="Body Text J 8pt"/>
    <w:basedOn w:val="Normal"/>
    <w:uiPriority w:val="99"/>
    <w:rsid w:val="00847BCE"/>
    <w:pPr>
      <w:spacing w:line="240" w:lineRule="auto"/>
      <w:ind w:firstLine="360"/>
      <w:jc w:val="both"/>
    </w:pPr>
    <w:rPr>
      <w:rFonts w:ascii="Times New Roman" w:eastAsiaTheme="minorEastAsia" w:hAnsi="Times New Roman" w:cstheme="minorBidi"/>
      <w:sz w:val="16"/>
      <w:szCs w:val="16"/>
      <w:lang w:bidi="en-US"/>
    </w:rPr>
  </w:style>
  <w:style w:type="paragraph" w:customStyle="1" w:styleId="TitleTOC">
    <w:name w:val="Title TOC"/>
    <w:basedOn w:val="Normal"/>
    <w:uiPriority w:val="99"/>
    <w:rsid w:val="00847BCE"/>
    <w:pPr>
      <w:spacing w:line="240" w:lineRule="auto"/>
      <w:jc w:val="center"/>
    </w:pPr>
    <w:rPr>
      <w:rFonts w:ascii="Times New Roman" w:eastAsiaTheme="minorEastAsia" w:hAnsi="Times New Roman" w:cstheme="minorBidi"/>
      <w:b/>
      <w:caps/>
      <w:sz w:val="20"/>
      <w:szCs w:val="20"/>
      <w:lang w:bidi="en-US"/>
    </w:rPr>
  </w:style>
  <w:style w:type="paragraph" w:customStyle="1" w:styleId="TitleLItalUnderline">
    <w:name w:val="Title L Ital Underline"/>
    <w:basedOn w:val="Normal"/>
    <w:uiPriority w:val="99"/>
    <w:rsid w:val="00847BCE"/>
    <w:pPr>
      <w:keepNext/>
      <w:spacing w:line="240" w:lineRule="auto"/>
      <w:jc w:val="both"/>
    </w:pPr>
    <w:rPr>
      <w:rFonts w:ascii="Times New Roman" w:eastAsiaTheme="minorEastAsia" w:hAnsi="Times New Roman" w:cstheme="minorBidi"/>
      <w:i/>
      <w:sz w:val="20"/>
      <w:szCs w:val="20"/>
      <w:u w:val="single"/>
      <w:lang w:bidi="en-US"/>
    </w:rPr>
  </w:style>
  <w:style w:type="paragraph" w:customStyle="1" w:styleId="TitleLItal">
    <w:name w:val="Title L Ital"/>
    <w:basedOn w:val="Normal"/>
    <w:uiPriority w:val="99"/>
    <w:rsid w:val="00847BCE"/>
    <w:pPr>
      <w:keepNext/>
      <w:spacing w:line="240" w:lineRule="auto"/>
      <w:jc w:val="both"/>
    </w:pPr>
    <w:rPr>
      <w:rFonts w:ascii="Times New Roman" w:eastAsiaTheme="minorEastAsia" w:hAnsi="Times New Roman" w:cstheme="minorBidi"/>
      <w:i/>
      <w:sz w:val="20"/>
      <w:szCs w:val="20"/>
      <w:lang w:bidi="en-US"/>
    </w:rPr>
  </w:style>
  <w:style w:type="paragraph" w:customStyle="1" w:styleId="TitleLBoldItal">
    <w:name w:val="Title L Bold Ital"/>
    <w:basedOn w:val="Normal"/>
    <w:uiPriority w:val="99"/>
    <w:rsid w:val="00847BCE"/>
    <w:pPr>
      <w:keepNext/>
      <w:spacing w:line="240" w:lineRule="auto"/>
      <w:jc w:val="both"/>
    </w:pPr>
    <w:rPr>
      <w:rFonts w:ascii="Times New Roman" w:eastAsiaTheme="minorEastAsia" w:hAnsi="Times New Roman" w:cstheme="minorBidi"/>
      <w:b/>
      <w:i/>
      <w:sz w:val="20"/>
      <w:szCs w:val="20"/>
      <w:lang w:bidi="en-US"/>
    </w:rPr>
  </w:style>
  <w:style w:type="paragraph" w:customStyle="1" w:styleId="TitleUnderline">
    <w:name w:val="Title Underline"/>
    <w:basedOn w:val="Normal"/>
    <w:uiPriority w:val="99"/>
    <w:rsid w:val="00847BCE"/>
    <w:pPr>
      <w:keepNext/>
      <w:spacing w:line="240" w:lineRule="auto"/>
      <w:jc w:val="center"/>
    </w:pPr>
    <w:rPr>
      <w:rFonts w:ascii="Times New Roman" w:eastAsiaTheme="minorEastAsia" w:hAnsi="Times New Roman" w:cstheme="minorBidi"/>
      <w:sz w:val="20"/>
      <w:szCs w:val="20"/>
      <w:u w:val="single"/>
      <w:lang w:bidi="en-US"/>
    </w:rPr>
  </w:style>
  <w:style w:type="paragraph" w:customStyle="1" w:styleId="Center">
    <w:name w:val="Center"/>
    <w:basedOn w:val="Normal"/>
    <w:uiPriority w:val="99"/>
    <w:rsid w:val="00847BCE"/>
    <w:pPr>
      <w:keepNext/>
      <w:spacing w:line="240" w:lineRule="auto"/>
      <w:jc w:val="center"/>
    </w:pPr>
    <w:rPr>
      <w:rFonts w:ascii="Times New Roman" w:eastAsiaTheme="minorEastAsia" w:hAnsi="Times New Roman" w:cstheme="minorBidi"/>
      <w:sz w:val="20"/>
      <w:szCs w:val="20"/>
      <w:lang w:bidi="en-US"/>
    </w:rPr>
  </w:style>
  <w:style w:type="paragraph" w:customStyle="1" w:styleId="TableNotes">
    <w:name w:val="Table Notes"/>
    <w:basedOn w:val="Normal"/>
    <w:uiPriority w:val="99"/>
    <w:rsid w:val="00847BCE"/>
    <w:pPr>
      <w:spacing w:line="240" w:lineRule="auto"/>
      <w:ind w:left="360" w:hanging="360"/>
      <w:contextualSpacing/>
      <w:jc w:val="both"/>
    </w:pPr>
    <w:rPr>
      <w:rFonts w:ascii="Times New Roman" w:eastAsiaTheme="minorEastAsia" w:hAnsi="Times New Roman" w:cstheme="minorBidi"/>
      <w:sz w:val="16"/>
      <w:szCs w:val="20"/>
      <w:lang w:bidi="en-US"/>
    </w:rPr>
  </w:style>
  <w:style w:type="paragraph" w:customStyle="1" w:styleId="TOCPage">
    <w:name w:val="TOC Page"/>
    <w:basedOn w:val="Normal"/>
    <w:uiPriority w:val="99"/>
    <w:rsid w:val="00847BCE"/>
    <w:pPr>
      <w:spacing w:after="240" w:line="240" w:lineRule="auto"/>
      <w:jc w:val="right"/>
    </w:pPr>
    <w:rPr>
      <w:rFonts w:ascii="Times New Roman" w:eastAsiaTheme="minorEastAsia" w:hAnsi="Times New Roman" w:cstheme="minorBidi"/>
      <w:b/>
      <w:sz w:val="20"/>
      <w:szCs w:val="20"/>
      <w:lang w:bidi="en-US"/>
    </w:rPr>
  </w:style>
  <w:style w:type="paragraph" w:customStyle="1" w:styleId="Kopvaninhoudsopgave1">
    <w:name w:val="Kop van inhoudsopgave1"/>
    <w:basedOn w:val="Normal"/>
    <w:uiPriority w:val="99"/>
    <w:rsid w:val="00847BCE"/>
    <w:pPr>
      <w:spacing w:after="240" w:line="240" w:lineRule="auto"/>
      <w:jc w:val="center"/>
    </w:pPr>
    <w:rPr>
      <w:rFonts w:ascii="Times New Roman" w:eastAsiaTheme="minorEastAsia" w:hAnsi="Times New Roman" w:cstheme="minorBidi"/>
      <w:b/>
      <w:caps/>
      <w:sz w:val="20"/>
      <w:szCs w:val="20"/>
      <w:lang w:bidi="en-US"/>
    </w:rPr>
  </w:style>
  <w:style w:type="paragraph" w:customStyle="1" w:styleId="THQ-Title1">
    <w:name w:val="THQ - Title 1"/>
    <w:basedOn w:val="Normal"/>
    <w:uiPriority w:val="99"/>
    <w:rsid w:val="00847BCE"/>
    <w:pPr>
      <w:numPr>
        <w:numId w:val="4"/>
      </w:numPr>
      <w:spacing w:after="240" w:line="288" w:lineRule="auto"/>
      <w:jc w:val="both"/>
    </w:pPr>
    <w:rPr>
      <w:rFonts w:eastAsiaTheme="minorEastAsia" w:cstheme="minorBidi"/>
      <w:b/>
      <w:bCs/>
      <w:color w:val="0000FF"/>
      <w:sz w:val="20"/>
      <w:szCs w:val="20"/>
      <w:lang w:bidi="en-US"/>
    </w:rPr>
  </w:style>
  <w:style w:type="character" w:customStyle="1" w:styleId="Titre2Char">
    <w:name w:val="Titre 2 Char"/>
    <w:basedOn w:val="Heading2Char"/>
    <w:link w:val="Titre2"/>
    <w:semiHidden/>
    <w:locked/>
    <w:rsid w:val="00847BCE"/>
    <w:rPr>
      <w:rFonts w:ascii="Cambria" w:hAnsi="Cambria"/>
      <w:color w:val="17365D"/>
      <w:spacing w:val="20"/>
    </w:rPr>
  </w:style>
  <w:style w:type="paragraph" w:customStyle="1" w:styleId="Titre2">
    <w:name w:val="Titre 2"/>
    <w:basedOn w:val="Heading2"/>
    <w:next w:val="Normal"/>
    <w:link w:val="Titre2Char"/>
    <w:semiHidden/>
    <w:rsid w:val="00847BCE"/>
    <w:pPr>
      <w:spacing w:before="120" w:line="240" w:lineRule="auto"/>
      <w:ind w:left="2160"/>
      <w:contextualSpacing/>
    </w:pPr>
    <w:rPr>
      <w:rFonts w:ascii="Cambria" w:hAnsi="Cambria"/>
      <w:color w:val="17365D"/>
      <w:spacing w:val="20"/>
    </w:rPr>
  </w:style>
  <w:style w:type="character" w:customStyle="1" w:styleId="THQ-NormaltextChar">
    <w:name w:val="THQ - Normal text Char"/>
    <w:basedOn w:val="DefaultParagraphFont"/>
    <w:link w:val="THQ-Normaltext"/>
    <w:locked/>
    <w:rsid w:val="00847BCE"/>
    <w:rPr>
      <w:color w:val="5A5A5A"/>
    </w:rPr>
  </w:style>
  <w:style w:type="paragraph" w:customStyle="1" w:styleId="THQ-Normaltext">
    <w:name w:val="THQ - Normal text"/>
    <w:basedOn w:val="Normal"/>
    <w:link w:val="THQ-NormaltextChar"/>
    <w:rsid w:val="00847BCE"/>
    <w:pPr>
      <w:spacing w:after="120" w:line="288" w:lineRule="auto"/>
      <w:ind w:left="2160"/>
      <w:jc w:val="both"/>
    </w:pPr>
    <w:rPr>
      <w:color w:val="5A5A5A"/>
      <w:sz w:val="20"/>
      <w:szCs w:val="20"/>
    </w:rPr>
  </w:style>
  <w:style w:type="paragraph" w:customStyle="1" w:styleId="STText">
    <w:name w:val="ST Text"/>
    <w:basedOn w:val="Normal"/>
    <w:rsid w:val="00847BCE"/>
    <w:pPr>
      <w:spacing w:after="240" w:line="280" w:lineRule="atLeast"/>
      <w:ind w:left="2160"/>
      <w:jc w:val="both"/>
    </w:pPr>
    <w:rPr>
      <w:rFonts w:eastAsiaTheme="minorEastAsia" w:cstheme="minorBidi"/>
      <w:color w:val="000000"/>
      <w:sz w:val="20"/>
      <w:szCs w:val="20"/>
      <w:lang w:bidi="en-US"/>
    </w:rPr>
  </w:style>
  <w:style w:type="character" w:customStyle="1" w:styleId="Titre21Char">
    <w:name w:val="Titre 2.1. Char"/>
    <w:basedOn w:val="Titre2Char"/>
    <w:link w:val="Titre21"/>
    <w:uiPriority w:val="99"/>
    <w:semiHidden/>
    <w:locked/>
    <w:rsid w:val="00847BCE"/>
    <w:rPr>
      <w:szCs w:val="22"/>
    </w:rPr>
  </w:style>
  <w:style w:type="paragraph" w:customStyle="1" w:styleId="Titre21">
    <w:name w:val="Titre 2.1."/>
    <w:basedOn w:val="Titre2"/>
    <w:link w:val="Titre21Char"/>
    <w:uiPriority w:val="99"/>
    <w:semiHidden/>
    <w:rsid w:val="00847BCE"/>
    <w:pPr>
      <w:numPr>
        <w:ilvl w:val="0"/>
        <w:numId w:val="5"/>
      </w:numPr>
    </w:pPr>
    <w:rPr>
      <w:szCs w:val="22"/>
    </w:rPr>
  </w:style>
  <w:style w:type="paragraph" w:customStyle="1" w:styleId="Style1">
    <w:name w:val="Style1"/>
    <w:basedOn w:val="Titre21"/>
    <w:next w:val="Normal"/>
    <w:uiPriority w:val="99"/>
    <w:rsid w:val="00847BCE"/>
  </w:style>
  <w:style w:type="paragraph" w:customStyle="1" w:styleId="THQ-Title2">
    <w:name w:val="THQ - Title 2"/>
    <w:basedOn w:val="Normal"/>
    <w:next w:val="THQ-Normaltext"/>
    <w:uiPriority w:val="99"/>
    <w:rsid w:val="00847BCE"/>
    <w:pPr>
      <w:numPr>
        <w:ilvl w:val="1"/>
        <w:numId w:val="6"/>
      </w:numPr>
      <w:spacing w:after="240" w:line="288" w:lineRule="auto"/>
      <w:jc w:val="both"/>
    </w:pPr>
    <w:rPr>
      <w:rFonts w:eastAsiaTheme="minorEastAsia" w:cstheme="minorBidi"/>
      <w:b/>
      <w:bCs/>
      <w:color w:val="0000FF"/>
      <w:sz w:val="26"/>
      <w:szCs w:val="20"/>
      <w:lang w:bidi="en-US"/>
    </w:rPr>
  </w:style>
  <w:style w:type="paragraph" w:customStyle="1" w:styleId="THQ-Tableheadings">
    <w:name w:val="THQ - Table headings"/>
    <w:basedOn w:val="Normal"/>
    <w:next w:val="Normal"/>
    <w:autoRedefine/>
    <w:uiPriority w:val="99"/>
    <w:rsid w:val="00847BCE"/>
    <w:pPr>
      <w:spacing w:line="288" w:lineRule="auto"/>
      <w:ind w:left="2160"/>
      <w:jc w:val="center"/>
    </w:pPr>
    <w:rPr>
      <w:rFonts w:eastAsiaTheme="minorEastAsia" w:cstheme="minorBidi"/>
      <w:b/>
      <w:color w:val="5A5A5A"/>
      <w:sz w:val="20"/>
      <w:szCs w:val="20"/>
      <w:lang w:bidi="en-US"/>
    </w:rPr>
  </w:style>
  <w:style w:type="paragraph" w:customStyle="1" w:styleId="THQ-Title3">
    <w:name w:val="THQ - Title 3"/>
    <w:basedOn w:val="Normal"/>
    <w:next w:val="THQ-Normaltext"/>
    <w:uiPriority w:val="99"/>
    <w:rsid w:val="00847BCE"/>
    <w:pPr>
      <w:spacing w:after="120" w:line="288" w:lineRule="auto"/>
      <w:ind w:left="2160"/>
      <w:jc w:val="both"/>
    </w:pPr>
    <w:rPr>
      <w:rFonts w:eastAsiaTheme="minorEastAsia" w:cstheme="minorBidi"/>
      <w:b/>
      <w:bCs/>
      <w:i/>
      <w:iCs/>
      <w:color w:val="0000FF"/>
      <w:sz w:val="26"/>
      <w:szCs w:val="20"/>
      <w:u w:val="single"/>
      <w:lang w:bidi="en-US"/>
    </w:rPr>
  </w:style>
  <w:style w:type="paragraph" w:customStyle="1" w:styleId="THQ-Tableheading">
    <w:name w:val="THQ - Table heading"/>
    <w:basedOn w:val="Normal"/>
    <w:next w:val="Normal"/>
    <w:uiPriority w:val="99"/>
    <w:rsid w:val="00847BCE"/>
    <w:pPr>
      <w:spacing w:line="288" w:lineRule="auto"/>
      <w:ind w:left="2160"/>
      <w:jc w:val="center"/>
    </w:pPr>
    <w:rPr>
      <w:rFonts w:eastAsiaTheme="minorEastAsia" w:cstheme="minorBidi"/>
      <w:b/>
      <w:bCs/>
      <w:color w:val="5A5A5A"/>
      <w:sz w:val="20"/>
      <w:szCs w:val="20"/>
      <w:lang w:bidi="en-US"/>
    </w:rPr>
  </w:style>
  <w:style w:type="paragraph" w:customStyle="1" w:styleId="THQ-Tabletext">
    <w:name w:val="THQ - Table text"/>
    <w:basedOn w:val="Normal"/>
    <w:uiPriority w:val="99"/>
    <w:rsid w:val="00847BCE"/>
    <w:pPr>
      <w:spacing w:line="288" w:lineRule="auto"/>
      <w:ind w:left="180" w:hanging="180"/>
      <w:jc w:val="both"/>
    </w:pPr>
    <w:rPr>
      <w:rFonts w:eastAsiaTheme="minorEastAsia" w:cstheme="minorBidi"/>
      <w:color w:val="5A5A5A"/>
      <w:sz w:val="20"/>
      <w:szCs w:val="20"/>
      <w:lang w:bidi="en-US"/>
    </w:rPr>
  </w:style>
  <w:style w:type="paragraph" w:customStyle="1" w:styleId="THQ-Title4">
    <w:name w:val="THQ - Title 4"/>
    <w:basedOn w:val="Normal"/>
    <w:next w:val="THQ-Normaltext"/>
    <w:uiPriority w:val="99"/>
    <w:rsid w:val="00847BCE"/>
    <w:pPr>
      <w:numPr>
        <w:numId w:val="7"/>
      </w:numPr>
      <w:spacing w:before="240" w:after="120" w:line="288" w:lineRule="auto"/>
      <w:jc w:val="both"/>
    </w:pPr>
    <w:rPr>
      <w:rFonts w:eastAsiaTheme="minorEastAsia" w:cstheme="minorBidi"/>
      <w:b/>
      <w:i/>
      <w:iCs/>
      <w:color w:val="0000FF"/>
      <w:sz w:val="20"/>
      <w:szCs w:val="20"/>
      <w:u w:val="single"/>
      <w:lang w:bidi="en-US"/>
    </w:rPr>
  </w:style>
  <w:style w:type="character" w:customStyle="1" w:styleId="THQ-Title5Char">
    <w:name w:val="THQ - Title 5 Char"/>
    <w:basedOn w:val="DefaultParagraphFont"/>
    <w:link w:val="THQ-Title5"/>
    <w:locked/>
    <w:rsid w:val="00847BCE"/>
    <w:rPr>
      <w:b/>
      <w:iCs/>
      <w:color w:val="5A5A5A"/>
      <w:u w:val="single"/>
    </w:rPr>
  </w:style>
  <w:style w:type="paragraph" w:customStyle="1" w:styleId="THQ-Title5">
    <w:name w:val="THQ - Title 5"/>
    <w:basedOn w:val="Normal"/>
    <w:next w:val="THQ-Normaltext"/>
    <w:link w:val="THQ-Title5Char"/>
    <w:rsid w:val="00847BCE"/>
    <w:pPr>
      <w:spacing w:after="120" w:line="288" w:lineRule="auto"/>
      <w:ind w:left="2160"/>
      <w:jc w:val="both"/>
    </w:pPr>
    <w:rPr>
      <w:b/>
      <w:iCs/>
      <w:color w:val="5A5A5A"/>
      <w:sz w:val="20"/>
      <w:szCs w:val="20"/>
      <w:u w:val="single"/>
    </w:rPr>
  </w:style>
  <w:style w:type="paragraph" w:customStyle="1" w:styleId="THQ-Title6">
    <w:name w:val="THQ - Title 6"/>
    <w:basedOn w:val="THQ-Normaltext"/>
    <w:next w:val="THQ-Normaltext"/>
    <w:uiPriority w:val="99"/>
    <w:rsid w:val="00847BCE"/>
    <w:rPr>
      <w:b/>
      <w:color w:val="auto"/>
    </w:rPr>
  </w:style>
  <w:style w:type="paragraph" w:customStyle="1" w:styleId="AccountingPolicy">
    <w:name w:val="Accounting Policy"/>
    <w:basedOn w:val="Normal"/>
    <w:uiPriority w:val="99"/>
    <w:rsid w:val="00847BCE"/>
    <w:pPr>
      <w:widowControl w:val="0"/>
      <w:tabs>
        <w:tab w:val="left" w:pos="1531"/>
        <w:tab w:val="left" w:pos="1871"/>
      </w:tabs>
      <w:suppressAutoHyphens/>
      <w:autoSpaceDE w:val="0"/>
      <w:autoSpaceDN w:val="0"/>
      <w:adjustRightInd w:val="0"/>
      <w:spacing w:line="260" w:lineRule="atLeast"/>
      <w:ind w:left="1531" w:hanging="1531"/>
      <w:jc w:val="both"/>
    </w:pPr>
    <w:rPr>
      <w:rFonts w:ascii="Univers 45 Light" w:eastAsiaTheme="minorEastAsia" w:hAnsi="Univers 45 Light" w:cs="Univers 45 Light"/>
      <w:color w:val="000000"/>
      <w:sz w:val="20"/>
      <w:szCs w:val="20"/>
      <w:lang w:val="en-GB" w:eastAsia="en-GB" w:bidi="en-US"/>
    </w:rPr>
  </w:style>
  <w:style w:type="paragraph" w:customStyle="1" w:styleId="AcctBody16Col">
    <w:name w:val="AcctBody 16 Col"/>
    <w:basedOn w:val="Normal"/>
    <w:uiPriority w:val="99"/>
    <w:rsid w:val="00847BCE"/>
    <w:pPr>
      <w:widowControl w:val="0"/>
      <w:tabs>
        <w:tab w:val="left" w:pos="1531"/>
        <w:tab w:val="decimal" w:pos="4762"/>
        <w:tab w:val="decimal" w:pos="5613"/>
        <w:tab w:val="decimal" w:pos="6463"/>
        <w:tab w:val="decimal" w:pos="7313"/>
        <w:tab w:val="decimal" w:pos="8164"/>
        <w:tab w:val="decimal" w:pos="9014"/>
        <w:tab w:val="decimal" w:pos="9865"/>
        <w:tab w:val="decimal" w:pos="10715"/>
        <w:tab w:val="decimal" w:pos="11509"/>
        <w:tab w:val="decimal" w:pos="12416"/>
        <w:tab w:val="decimal" w:pos="13266"/>
        <w:tab w:val="decimal" w:pos="14117"/>
      </w:tabs>
      <w:autoSpaceDE w:val="0"/>
      <w:autoSpaceDN w:val="0"/>
      <w:adjustRightInd w:val="0"/>
      <w:spacing w:line="260" w:lineRule="atLeast"/>
      <w:ind w:left="2160"/>
      <w:jc w:val="both"/>
    </w:pPr>
    <w:rPr>
      <w:rFonts w:ascii="Univers 45 Light" w:eastAsiaTheme="minorEastAsia" w:hAnsi="Univers 45 Light" w:cs="Univers 45 Light"/>
      <w:color w:val="000000"/>
      <w:sz w:val="20"/>
      <w:szCs w:val="20"/>
      <w:lang w:val="en-GB" w:eastAsia="en-GB" w:bidi="en-US"/>
    </w:rPr>
  </w:style>
  <w:style w:type="paragraph" w:customStyle="1" w:styleId="AcctBody2Col">
    <w:name w:val="Acct Body 2 Col"/>
    <w:basedOn w:val="AcctBody16Col"/>
    <w:next w:val="AcctBody16Col"/>
    <w:uiPriority w:val="99"/>
    <w:rsid w:val="00847BCE"/>
    <w:pPr>
      <w:tabs>
        <w:tab w:val="clear" w:pos="4762"/>
        <w:tab w:val="clear" w:pos="5613"/>
        <w:tab w:val="clear" w:pos="6463"/>
        <w:tab w:val="clear" w:pos="7313"/>
        <w:tab w:val="clear" w:pos="8164"/>
        <w:tab w:val="clear" w:pos="9014"/>
        <w:tab w:val="clear" w:pos="10715"/>
        <w:tab w:val="clear" w:pos="11509"/>
        <w:tab w:val="clear" w:pos="12416"/>
        <w:tab w:val="clear" w:pos="13266"/>
        <w:tab w:val="clear" w:pos="14117"/>
        <w:tab w:val="left" w:pos="1814"/>
        <w:tab w:val="right" w:pos="7824"/>
        <w:tab w:val="decimal" w:pos="8957"/>
      </w:tabs>
    </w:pPr>
  </w:style>
  <w:style w:type="paragraph" w:customStyle="1" w:styleId="AccountHD1">
    <w:name w:val="AccountHD1"/>
    <w:basedOn w:val="AcctBody16Col"/>
    <w:uiPriority w:val="99"/>
    <w:rsid w:val="00847BCE"/>
    <w:pPr>
      <w:tabs>
        <w:tab w:val="clear" w:pos="4762"/>
        <w:tab w:val="clear" w:pos="5613"/>
        <w:tab w:val="clear" w:pos="6463"/>
        <w:tab w:val="clear" w:pos="7313"/>
        <w:tab w:val="clear" w:pos="8164"/>
        <w:tab w:val="clear" w:pos="9014"/>
        <w:tab w:val="clear" w:pos="10715"/>
        <w:tab w:val="clear" w:pos="11509"/>
        <w:tab w:val="clear" w:pos="12416"/>
        <w:tab w:val="clear" w:pos="13266"/>
        <w:tab w:val="clear" w:pos="14117"/>
        <w:tab w:val="decimal" w:pos="7824"/>
        <w:tab w:val="decimal" w:pos="8957"/>
      </w:tabs>
    </w:pPr>
    <w:rPr>
      <w:b/>
      <w:bCs/>
      <w:sz w:val="16"/>
      <w:szCs w:val="16"/>
    </w:rPr>
  </w:style>
  <w:style w:type="paragraph" w:customStyle="1" w:styleId="AcctBody2ColL1">
    <w:name w:val="Acct Body 2 Col L1"/>
    <w:basedOn w:val="AcctBody16Col"/>
    <w:next w:val="AcctBody16Col"/>
    <w:uiPriority w:val="99"/>
    <w:rsid w:val="00847BCE"/>
    <w:pPr>
      <w:pBdr>
        <w:bottom w:val="single" w:sz="2" w:space="2" w:color="0038E5"/>
      </w:pBdr>
      <w:tabs>
        <w:tab w:val="clear" w:pos="4762"/>
        <w:tab w:val="clear" w:pos="5613"/>
        <w:tab w:val="clear" w:pos="6463"/>
        <w:tab w:val="clear" w:pos="7313"/>
        <w:tab w:val="clear" w:pos="8164"/>
        <w:tab w:val="clear" w:pos="9014"/>
        <w:tab w:val="clear" w:pos="10715"/>
        <w:tab w:val="clear" w:pos="11509"/>
        <w:tab w:val="clear" w:pos="12416"/>
        <w:tab w:val="clear" w:pos="13266"/>
        <w:tab w:val="clear" w:pos="14117"/>
        <w:tab w:val="left" w:pos="1814"/>
        <w:tab w:val="right" w:pos="7824"/>
        <w:tab w:val="decimal" w:pos="8957"/>
      </w:tabs>
    </w:pPr>
  </w:style>
  <w:style w:type="paragraph" w:customStyle="1" w:styleId="headingbold0">
    <w:name w:val="heading bold 0"/>
    <w:next w:val="Normal"/>
    <w:uiPriority w:val="99"/>
    <w:rsid w:val="00847BCE"/>
    <w:pPr>
      <w:keepNext/>
      <w:autoSpaceDE w:val="0"/>
      <w:autoSpaceDN w:val="0"/>
      <w:adjustRightInd w:val="0"/>
      <w:spacing w:after="240" w:line="276" w:lineRule="auto"/>
      <w:jc w:val="both"/>
    </w:pPr>
    <w:rPr>
      <w:rFonts w:ascii="Times New Roman Bold" w:eastAsiaTheme="minorEastAsia" w:hAnsi="Times New Roman Bold" w:cstheme="minorBidi"/>
      <w:b/>
      <w:bCs/>
    </w:rPr>
  </w:style>
  <w:style w:type="paragraph" w:customStyle="1" w:styleId="Bulletclear">
    <w:name w:val="Bullet clear"/>
    <w:rsid w:val="00847BCE"/>
    <w:pPr>
      <w:numPr>
        <w:numId w:val="8"/>
      </w:numPr>
      <w:spacing w:after="240" w:line="276" w:lineRule="auto"/>
      <w:jc w:val="both"/>
    </w:pPr>
    <w:rPr>
      <w:rFonts w:asciiTheme="minorHAnsi" w:eastAsiaTheme="minorEastAsia" w:hAnsiTheme="minorHAnsi" w:cstheme="minorBidi"/>
    </w:rPr>
  </w:style>
  <w:style w:type="paragraph" w:customStyle="1" w:styleId="Pyramid">
    <w:name w:val="Pyramid"/>
    <w:basedOn w:val="Normal"/>
    <w:uiPriority w:val="99"/>
    <w:rsid w:val="00847BCE"/>
    <w:pPr>
      <w:keepLines/>
      <w:spacing w:after="0" w:line="240" w:lineRule="auto"/>
      <w:jc w:val="center"/>
    </w:pPr>
    <w:rPr>
      <w:rFonts w:ascii="Times New Roman" w:eastAsiaTheme="minorEastAsia" w:hAnsi="Times New Roman" w:cstheme="minorBidi"/>
      <w:b/>
      <w:sz w:val="20"/>
      <w:szCs w:val="20"/>
      <w:lang w:bidi="en-US"/>
    </w:rPr>
  </w:style>
  <w:style w:type="paragraph" w:customStyle="1" w:styleId="Block075">
    <w:name w:val="Block 0.75"/>
    <w:uiPriority w:val="99"/>
    <w:rsid w:val="00847BCE"/>
    <w:pPr>
      <w:spacing w:after="240" w:line="276" w:lineRule="auto"/>
      <w:ind w:left="1080"/>
      <w:jc w:val="both"/>
    </w:pPr>
    <w:rPr>
      <w:rFonts w:asciiTheme="minorHAnsi" w:eastAsiaTheme="minorEastAsia" w:hAnsiTheme="minorHAnsi" w:cstheme="minorBidi"/>
    </w:rPr>
  </w:style>
  <w:style w:type="paragraph" w:customStyle="1" w:styleId="BodyText05">
    <w:name w:val="Body Text 0.5"/>
    <w:uiPriority w:val="99"/>
    <w:rsid w:val="00847BCE"/>
    <w:pPr>
      <w:autoSpaceDE w:val="0"/>
      <w:autoSpaceDN w:val="0"/>
      <w:adjustRightInd w:val="0"/>
      <w:spacing w:after="240" w:line="276" w:lineRule="auto"/>
      <w:ind w:left="720" w:firstLine="720"/>
      <w:jc w:val="both"/>
    </w:pPr>
    <w:rPr>
      <w:rFonts w:asciiTheme="minorHAnsi" w:eastAsiaTheme="minorEastAsia" w:hAnsiTheme="minorHAnsi" w:cstheme="minorBidi"/>
    </w:rPr>
  </w:style>
  <w:style w:type="paragraph" w:customStyle="1" w:styleId="Footnote">
    <w:name w:val="Footnote"/>
    <w:uiPriority w:val="99"/>
    <w:rsid w:val="00847BCE"/>
    <w:pPr>
      <w:keepNext/>
      <w:autoSpaceDE w:val="0"/>
      <w:autoSpaceDN w:val="0"/>
      <w:adjustRightInd w:val="0"/>
      <w:spacing w:after="240" w:line="276" w:lineRule="auto"/>
      <w:ind w:left="360" w:hanging="360"/>
      <w:contextualSpacing/>
      <w:jc w:val="both"/>
    </w:pPr>
    <w:rPr>
      <w:rFonts w:asciiTheme="minorHAnsi" w:eastAsia="SimSun" w:hAnsiTheme="minorHAnsi" w:cstheme="minorBidi"/>
      <w:sz w:val="16"/>
      <w:lang w:eastAsia="zh-CN"/>
    </w:rPr>
  </w:style>
  <w:style w:type="paragraph" w:customStyle="1" w:styleId="headingboldital0">
    <w:name w:val="heading bold ital 0"/>
    <w:next w:val="BodyText"/>
    <w:uiPriority w:val="99"/>
    <w:rsid w:val="00847BCE"/>
    <w:pPr>
      <w:keepNext/>
      <w:autoSpaceDE w:val="0"/>
      <w:autoSpaceDN w:val="0"/>
      <w:adjustRightInd w:val="0"/>
      <w:spacing w:after="240" w:line="276" w:lineRule="auto"/>
      <w:jc w:val="both"/>
    </w:pPr>
    <w:rPr>
      <w:rFonts w:asciiTheme="minorHAnsi" w:eastAsiaTheme="minorEastAsia" w:hAnsiTheme="minorHAnsi" w:cstheme="minorBidi"/>
      <w:b/>
      <w:bCs/>
      <w:i/>
      <w:iCs/>
    </w:rPr>
  </w:style>
  <w:style w:type="paragraph" w:customStyle="1" w:styleId="Block05">
    <w:name w:val="Block 0.5"/>
    <w:uiPriority w:val="99"/>
    <w:rsid w:val="00847BCE"/>
    <w:pPr>
      <w:spacing w:after="240" w:line="276" w:lineRule="auto"/>
      <w:ind w:left="720"/>
      <w:jc w:val="both"/>
    </w:pPr>
    <w:rPr>
      <w:rFonts w:asciiTheme="minorHAnsi" w:eastAsiaTheme="minorEastAsia" w:hAnsiTheme="minorHAnsi" w:cstheme="minorBidi"/>
    </w:rPr>
  </w:style>
  <w:style w:type="paragraph" w:customStyle="1" w:styleId="headingital0">
    <w:name w:val="heading ital 0"/>
    <w:next w:val="BodyText"/>
    <w:uiPriority w:val="99"/>
    <w:rsid w:val="00847BCE"/>
    <w:pPr>
      <w:keepNext/>
      <w:autoSpaceDE w:val="0"/>
      <w:autoSpaceDN w:val="0"/>
      <w:adjustRightInd w:val="0"/>
      <w:spacing w:after="240" w:line="276" w:lineRule="auto"/>
      <w:jc w:val="both"/>
    </w:pPr>
    <w:rPr>
      <w:rFonts w:asciiTheme="minorHAnsi" w:eastAsiaTheme="minorEastAsia" w:hAnsiTheme="minorHAnsi" w:cstheme="minorBidi"/>
      <w:i/>
      <w:iCs/>
    </w:rPr>
  </w:style>
  <w:style w:type="paragraph" w:customStyle="1" w:styleId="BodyTextital">
    <w:name w:val="Body Text ital"/>
    <w:uiPriority w:val="99"/>
    <w:rsid w:val="00847BCE"/>
    <w:pPr>
      <w:autoSpaceDE w:val="0"/>
      <w:autoSpaceDN w:val="0"/>
      <w:adjustRightInd w:val="0"/>
      <w:spacing w:after="240" w:line="276" w:lineRule="auto"/>
      <w:ind w:firstLine="720"/>
      <w:jc w:val="both"/>
    </w:pPr>
    <w:rPr>
      <w:rFonts w:asciiTheme="minorHAnsi" w:eastAsiaTheme="minorEastAsia" w:hAnsiTheme="minorHAnsi" w:cstheme="minorBidi"/>
      <w:i/>
      <w:iCs/>
    </w:rPr>
  </w:style>
  <w:style w:type="paragraph" w:customStyle="1" w:styleId="BodyTextboldital">
    <w:name w:val="Body Text bold ital"/>
    <w:uiPriority w:val="99"/>
    <w:rsid w:val="00847BCE"/>
    <w:pPr>
      <w:spacing w:after="240" w:line="276" w:lineRule="auto"/>
      <w:ind w:firstLine="720"/>
      <w:jc w:val="both"/>
    </w:pPr>
    <w:rPr>
      <w:rFonts w:asciiTheme="minorHAnsi" w:eastAsiaTheme="minorEastAsia" w:hAnsiTheme="minorHAnsi" w:cstheme="minorBidi"/>
      <w:b/>
      <w:bCs/>
      <w:i/>
      <w:iCs/>
    </w:rPr>
  </w:style>
  <w:style w:type="paragraph" w:customStyle="1" w:styleId="Boldcenter">
    <w:name w:val="Bold + center"/>
    <w:basedOn w:val="Normal"/>
    <w:uiPriority w:val="99"/>
    <w:rsid w:val="00847BCE"/>
    <w:pPr>
      <w:autoSpaceDE w:val="0"/>
      <w:autoSpaceDN w:val="0"/>
      <w:adjustRightInd w:val="0"/>
      <w:spacing w:after="240" w:line="240" w:lineRule="auto"/>
      <w:jc w:val="center"/>
    </w:pPr>
    <w:rPr>
      <w:rFonts w:ascii="Times New Roman" w:eastAsiaTheme="minorEastAsia" w:hAnsi="Times New Roman" w:cstheme="minorBidi"/>
      <w:b/>
      <w:bCs/>
      <w:sz w:val="20"/>
      <w:szCs w:val="20"/>
      <w:lang w:bidi="en-US"/>
    </w:rPr>
  </w:style>
  <w:style w:type="paragraph" w:customStyle="1" w:styleId="Table6pt">
    <w:name w:val="Table + 6 pt"/>
    <w:aliases w:val="Bold + 7 pt"/>
    <w:basedOn w:val="table0"/>
    <w:uiPriority w:val="99"/>
    <w:rsid w:val="00847BCE"/>
    <w:pPr>
      <w:keepNext/>
      <w:spacing w:before="0" w:after="0"/>
    </w:pPr>
    <w:rPr>
      <w:rFonts w:ascii="Times New Roman" w:hAnsi="Times New Roman" w:cs="Times New Roman"/>
      <w:b/>
      <w:sz w:val="14"/>
      <w:szCs w:val="14"/>
      <w:lang w:val="en-US"/>
    </w:rPr>
  </w:style>
  <w:style w:type="paragraph" w:customStyle="1" w:styleId="SigBlock">
    <w:name w:val="SigBlock"/>
    <w:basedOn w:val="Footnote"/>
    <w:uiPriority w:val="99"/>
    <w:rsid w:val="00847BCE"/>
    <w:pPr>
      <w:keepNext w:val="0"/>
      <w:keepLines/>
      <w:tabs>
        <w:tab w:val="left" w:pos="5400"/>
        <w:tab w:val="left" w:pos="5760"/>
        <w:tab w:val="center" w:pos="8280"/>
        <w:tab w:val="right" w:pos="10800"/>
      </w:tabs>
      <w:autoSpaceDE/>
      <w:autoSpaceDN/>
      <w:adjustRightInd/>
      <w:spacing w:after="0" w:line="240" w:lineRule="atLeast"/>
      <w:ind w:left="0" w:firstLine="0"/>
      <w:contextualSpacing w:val="0"/>
    </w:pPr>
    <w:rPr>
      <w:sz w:val="20"/>
    </w:rPr>
  </w:style>
  <w:style w:type="paragraph" w:customStyle="1" w:styleId="ItalHead">
    <w:name w:val="ItalHead"/>
    <w:basedOn w:val="SigBlock"/>
    <w:uiPriority w:val="99"/>
    <w:rsid w:val="00847BCE"/>
    <w:pPr>
      <w:keepLines w:val="0"/>
      <w:tabs>
        <w:tab w:val="clear" w:pos="5400"/>
        <w:tab w:val="clear" w:pos="5760"/>
        <w:tab w:val="clear" w:pos="10800"/>
      </w:tabs>
      <w:ind w:left="187"/>
    </w:pPr>
    <w:rPr>
      <w:i/>
    </w:rPr>
  </w:style>
  <w:style w:type="paragraph" w:customStyle="1" w:styleId="Ind1">
    <w:name w:val="Ind1"/>
    <w:basedOn w:val="Normal"/>
    <w:uiPriority w:val="99"/>
    <w:rsid w:val="00847BCE"/>
    <w:pPr>
      <w:spacing w:after="0" w:line="240" w:lineRule="auto"/>
      <w:ind w:firstLine="576"/>
      <w:jc w:val="both"/>
    </w:pPr>
    <w:rPr>
      <w:rFonts w:ascii="Times New Roman" w:eastAsiaTheme="minorEastAsia" w:hAnsi="Times New Roman" w:cstheme="minorBidi"/>
      <w:sz w:val="20"/>
      <w:szCs w:val="20"/>
      <w:lang w:bidi="en-US"/>
    </w:rPr>
  </w:style>
  <w:style w:type="paragraph" w:customStyle="1" w:styleId="Ind2">
    <w:name w:val="Ind2"/>
    <w:basedOn w:val="Normal"/>
    <w:uiPriority w:val="99"/>
    <w:rsid w:val="00847BCE"/>
    <w:pPr>
      <w:spacing w:after="0" w:line="240" w:lineRule="auto"/>
      <w:ind w:firstLine="864"/>
      <w:jc w:val="both"/>
    </w:pPr>
    <w:rPr>
      <w:rFonts w:ascii="Times New Roman" w:eastAsiaTheme="minorEastAsia" w:hAnsi="Times New Roman" w:cstheme="minorBidi"/>
      <w:sz w:val="20"/>
      <w:szCs w:val="20"/>
      <w:lang w:bidi="en-US"/>
    </w:rPr>
  </w:style>
  <w:style w:type="paragraph" w:customStyle="1" w:styleId="Ind3">
    <w:name w:val="Ind3"/>
    <w:basedOn w:val="Normal"/>
    <w:uiPriority w:val="99"/>
    <w:rsid w:val="00847BCE"/>
    <w:pPr>
      <w:spacing w:after="0" w:line="240" w:lineRule="auto"/>
      <w:ind w:firstLine="1152"/>
      <w:jc w:val="both"/>
    </w:pPr>
    <w:rPr>
      <w:rFonts w:ascii="Times New Roman" w:eastAsiaTheme="minorEastAsia" w:hAnsi="Times New Roman" w:cstheme="minorBidi"/>
      <w:sz w:val="20"/>
      <w:szCs w:val="20"/>
      <w:lang w:bidi="en-US"/>
    </w:rPr>
  </w:style>
  <w:style w:type="paragraph" w:customStyle="1" w:styleId="Ind4">
    <w:name w:val="Ind4"/>
    <w:basedOn w:val="Normal"/>
    <w:uiPriority w:val="99"/>
    <w:rsid w:val="00847BCE"/>
    <w:pPr>
      <w:spacing w:after="0" w:line="240" w:lineRule="auto"/>
      <w:ind w:firstLine="1440"/>
      <w:jc w:val="both"/>
    </w:pPr>
    <w:rPr>
      <w:rFonts w:ascii="Times New Roman" w:eastAsiaTheme="minorEastAsia" w:hAnsi="Times New Roman" w:cstheme="minorBidi"/>
      <w:sz w:val="20"/>
      <w:szCs w:val="20"/>
      <w:lang w:bidi="en-US"/>
    </w:rPr>
  </w:style>
  <w:style w:type="paragraph" w:customStyle="1" w:styleId="NewFootnote">
    <w:name w:val="New Footnote"/>
    <w:basedOn w:val="Normal"/>
    <w:uiPriority w:val="99"/>
    <w:rsid w:val="00847BCE"/>
    <w:pPr>
      <w:snapToGrid w:val="0"/>
      <w:spacing w:before="60" w:after="0" w:line="240" w:lineRule="auto"/>
      <w:ind w:left="360" w:hanging="360"/>
      <w:jc w:val="both"/>
    </w:pPr>
    <w:rPr>
      <w:rFonts w:ascii="Times New Roman" w:eastAsiaTheme="minorEastAsia" w:hAnsi="Times New Roman" w:cstheme="minorBidi"/>
      <w:sz w:val="16"/>
      <w:szCs w:val="20"/>
      <w:lang w:bidi="en-US"/>
    </w:rPr>
  </w:style>
  <w:style w:type="paragraph" w:customStyle="1" w:styleId="42Parapraph">
    <w:name w:val="4/2 Parapraph"/>
    <w:basedOn w:val="Normal"/>
    <w:uiPriority w:val="99"/>
    <w:rsid w:val="00847BCE"/>
    <w:pPr>
      <w:snapToGrid w:val="0"/>
      <w:spacing w:after="0" w:line="240" w:lineRule="auto"/>
      <w:ind w:left="288" w:firstLine="288"/>
      <w:jc w:val="both"/>
    </w:pPr>
    <w:rPr>
      <w:rFonts w:ascii="Times New Roman" w:eastAsiaTheme="minorEastAsia" w:hAnsi="Times New Roman" w:cstheme="minorBidi"/>
      <w:sz w:val="20"/>
      <w:szCs w:val="20"/>
      <w:lang w:bidi="en-US"/>
    </w:rPr>
  </w:style>
  <w:style w:type="paragraph" w:customStyle="1" w:styleId="64Paragraph">
    <w:name w:val="6/4 Paragraph"/>
    <w:basedOn w:val="Normal"/>
    <w:uiPriority w:val="99"/>
    <w:rsid w:val="00847BCE"/>
    <w:pPr>
      <w:snapToGrid w:val="0"/>
      <w:spacing w:after="0" w:line="240" w:lineRule="auto"/>
      <w:ind w:left="576" w:firstLine="288"/>
      <w:jc w:val="both"/>
    </w:pPr>
    <w:rPr>
      <w:rFonts w:ascii="Times New Roman" w:eastAsiaTheme="minorEastAsia" w:hAnsi="Times New Roman" w:cstheme="minorBidi"/>
      <w:sz w:val="20"/>
      <w:szCs w:val="20"/>
      <w:lang w:bidi="en-US"/>
    </w:rPr>
  </w:style>
  <w:style w:type="paragraph" w:customStyle="1" w:styleId="Bullet-1">
    <w:name w:val="Bullet-1"/>
    <w:basedOn w:val="Normal"/>
    <w:rsid w:val="00847BCE"/>
    <w:pPr>
      <w:spacing w:after="0" w:line="240" w:lineRule="auto"/>
      <w:ind w:left="576" w:hanging="288"/>
      <w:jc w:val="both"/>
    </w:pPr>
    <w:rPr>
      <w:rFonts w:ascii="Times New Roman" w:eastAsiaTheme="minorEastAsia" w:hAnsi="Times New Roman" w:cstheme="minorBidi"/>
      <w:sz w:val="20"/>
      <w:szCs w:val="20"/>
      <w:lang w:bidi="en-US"/>
    </w:rPr>
  </w:style>
  <w:style w:type="paragraph" w:customStyle="1" w:styleId="Centered">
    <w:name w:val="Centered"/>
    <w:basedOn w:val="Normal"/>
    <w:next w:val="BodyText"/>
    <w:uiPriority w:val="99"/>
    <w:rsid w:val="00847BCE"/>
    <w:pPr>
      <w:keepNext/>
      <w:snapToGrid w:val="0"/>
      <w:spacing w:after="240" w:line="240" w:lineRule="auto"/>
      <w:jc w:val="center"/>
    </w:pPr>
    <w:rPr>
      <w:rFonts w:ascii="Times New Roman" w:eastAsiaTheme="minorEastAsia" w:hAnsi="Times New Roman" w:cstheme="minorBidi"/>
      <w:b/>
      <w:sz w:val="20"/>
      <w:szCs w:val="20"/>
      <w:lang w:bidi="en-US"/>
    </w:rPr>
  </w:style>
  <w:style w:type="paragraph" w:customStyle="1" w:styleId="Italicparagraph">
    <w:name w:val="Italic paragraph"/>
    <w:basedOn w:val="BlockText"/>
    <w:uiPriority w:val="99"/>
    <w:rsid w:val="00847BCE"/>
    <w:pPr>
      <w:spacing w:after="240"/>
      <w:ind w:firstLine="540"/>
    </w:pPr>
    <w:rPr>
      <w:rFonts w:ascii="Times New Roman" w:hAnsi="Times New Roman"/>
      <w:i/>
      <w:iCs/>
      <w:color w:val="auto"/>
      <w:szCs w:val="24"/>
      <w:lang w:val="en-GB"/>
    </w:rPr>
  </w:style>
  <w:style w:type="character" w:customStyle="1" w:styleId="BulletCharChar">
    <w:name w:val="Bullet Char Char"/>
    <w:basedOn w:val="DefaultParagraphFont"/>
    <w:link w:val="Bullet"/>
    <w:locked/>
    <w:rsid w:val="00847BCE"/>
  </w:style>
  <w:style w:type="paragraph" w:customStyle="1" w:styleId="Bullet">
    <w:name w:val="Bullet"/>
    <w:link w:val="BulletCharChar"/>
    <w:rsid w:val="00847BCE"/>
    <w:pPr>
      <w:tabs>
        <w:tab w:val="num" w:pos="360"/>
      </w:tabs>
      <w:spacing w:after="120" w:line="276" w:lineRule="auto"/>
      <w:ind w:left="360" w:hanging="360"/>
      <w:jc w:val="both"/>
    </w:pPr>
  </w:style>
  <w:style w:type="paragraph" w:customStyle="1" w:styleId="BoldTitle">
    <w:name w:val="Bold Title"/>
    <w:uiPriority w:val="99"/>
    <w:rsid w:val="00847BCE"/>
    <w:pPr>
      <w:keepNext/>
      <w:spacing w:before="240" w:after="240" w:line="276" w:lineRule="auto"/>
      <w:jc w:val="both"/>
    </w:pPr>
    <w:rPr>
      <w:rFonts w:asciiTheme="minorHAnsi" w:eastAsiaTheme="minorEastAsia" w:hAnsiTheme="minorHAnsi" w:cs="Arial"/>
      <w:b/>
      <w:bCs/>
      <w:lang w:val="en-GB"/>
    </w:rPr>
  </w:style>
  <w:style w:type="paragraph" w:customStyle="1" w:styleId="BoldTitleItalic">
    <w:name w:val="Bold Title Italic"/>
    <w:basedOn w:val="BoldTitle"/>
    <w:rsid w:val="00847BCE"/>
    <w:rPr>
      <w:i/>
      <w:iCs/>
    </w:rPr>
  </w:style>
  <w:style w:type="paragraph" w:customStyle="1" w:styleId="Indent05">
    <w:name w:val="Indent 0.5&quot;"/>
    <w:basedOn w:val="BlockTextIndent"/>
    <w:uiPriority w:val="99"/>
    <w:rsid w:val="00847BCE"/>
    <w:pPr>
      <w:ind w:left="720" w:firstLine="0"/>
    </w:pPr>
  </w:style>
  <w:style w:type="paragraph" w:customStyle="1" w:styleId="Italic">
    <w:name w:val="Italic"/>
    <w:basedOn w:val="Normal"/>
    <w:uiPriority w:val="99"/>
    <w:rsid w:val="00847BCE"/>
    <w:pPr>
      <w:keepNext/>
      <w:spacing w:after="240" w:line="240" w:lineRule="auto"/>
      <w:jc w:val="both"/>
    </w:pPr>
    <w:rPr>
      <w:rFonts w:ascii="Times New Roman" w:eastAsiaTheme="minorEastAsia" w:hAnsi="Times New Roman" w:cstheme="minorBidi"/>
      <w:i/>
      <w:sz w:val="20"/>
      <w:szCs w:val="20"/>
      <w:lang w:val="fr-FR" w:bidi="en-US"/>
    </w:rPr>
  </w:style>
  <w:style w:type="paragraph" w:customStyle="1" w:styleId="Italicheading">
    <w:name w:val="Italic heading"/>
    <w:uiPriority w:val="99"/>
    <w:rsid w:val="00847BCE"/>
    <w:pPr>
      <w:keepNext/>
      <w:spacing w:after="240" w:line="276" w:lineRule="auto"/>
      <w:ind w:left="547"/>
      <w:jc w:val="both"/>
    </w:pPr>
    <w:rPr>
      <w:rFonts w:asciiTheme="minorHAnsi" w:eastAsiaTheme="minorEastAsia" w:hAnsiTheme="minorHAnsi" w:cstheme="minorBidi"/>
      <w:i/>
      <w:szCs w:val="24"/>
    </w:rPr>
  </w:style>
  <w:style w:type="paragraph" w:customStyle="1" w:styleId="Char1CharCharCharCharCharCharCharCharCharCharCharCharCharCharCharCharCharCharCharCharCharCharCharCharCharChar1CharCharCharCharCharCharCharCharCharCharCharCharChar">
    <w:name w:val="Char1 Char Char Char Char Char Char Char Char Char Char Char Char Char Char Char Char Char Char Char Char Char Char Char Char Char Char1 Char Char Char Char Char Char Char Char Char Char Char Char Char"/>
    <w:basedOn w:val="Normal"/>
    <w:uiPriority w:val="99"/>
    <w:rsid w:val="00847BCE"/>
    <w:pPr>
      <w:spacing w:line="240" w:lineRule="exact"/>
      <w:jc w:val="both"/>
    </w:pPr>
    <w:rPr>
      <w:rFonts w:ascii="Times New Roman" w:eastAsiaTheme="minorEastAsia" w:hAnsi="Times New Roman" w:cstheme="minorBidi"/>
      <w:sz w:val="20"/>
      <w:szCs w:val="20"/>
      <w:lang w:val="fr-FR" w:bidi="en-US"/>
    </w:rPr>
  </w:style>
  <w:style w:type="paragraph" w:customStyle="1" w:styleId="BodySingle">
    <w:name w:val="Body Single"/>
    <w:basedOn w:val="Normal"/>
    <w:uiPriority w:val="99"/>
    <w:rsid w:val="00847BCE"/>
    <w:pPr>
      <w:snapToGrid w:val="0"/>
      <w:spacing w:after="0" w:line="240" w:lineRule="auto"/>
      <w:jc w:val="both"/>
    </w:pPr>
    <w:rPr>
      <w:rFonts w:ascii="Times New Roman" w:eastAsiaTheme="minorEastAsia" w:hAnsi="Times New Roman" w:cstheme="minorBidi"/>
      <w:sz w:val="24"/>
      <w:szCs w:val="20"/>
      <w:lang w:bidi="en-US"/>
    </w:rPr>
  </w:style>
  <w:style w:type="paragraph" w:customStyle="1" w:styleId="Char1CharCharCharCharCharCharCharCharCharCharCharCharCharCharCharCharCharCharCharCharCharCharCharCharCharChar1CharCharCharCharCharCharCharCharCharCharCharCharCharCharCharChar4">
    <w:name w:val="Char1 Char Char Char Char Char Char Char Char Char Char Char Char Char Char Char Char Char Char Char Char Char Char Char Char Char Char1 Char Char Char Char Char Char Char Char Char Char Char Char Char Char Char Char4"/>
    <w:basedOn w:val="Normal"/>
    <w:uiPriority w:val="99"/>
    <w:rsid w:val="00847BCE"/>
    <w:pPr>
      <w:spacing w:line="240" w:lineRule="exact"/>
      <w:jc w:val="both"/>
    </w:pPr>
    <w:rPr>
      <w:rFonts w:ascii="Times New Roman" w:eastAsiaTheme="minorEastAsia" w:hAnsi="Times New Roman" w:cstheme="minorBidi"/>
      <w:sz w:val="20"/>
      <w:szCs w:val="20"/>
      <w:lang w:val="fr-FR" w:bidi="en-US"/>
    </w:rPr>
  </w:style>
  <w:style w:type="paragraph" w:customStyle="1" w:styleId="CharCharCharChar">
    <w:name w:val="Char Char Char Char"/>
    <w:basedOn w:val="Normal"/>
    <w:uiPriority w:val="99"/>
    <w:rsid w:val="00847BCE"/>
    <w:pPr>
      <w:spacing w:line="240" w:lineRule="exact"/>
      <w:jc w:val="both"/>
    </w:pPr>
    <w:rPr>
      <w:rFonts w:ascii="Verdana" w:eastAsiaTheme="minorEastAsia" w:hAnsi="Verdana" w:cstheme="minorBidi"/>
      <w:sz w:val="20"/>
      <w:szCs w:val="20"/>
      <w:lang w:bidi="en-US"/>
    </w:rPr>
  </w:style>
  <w:style w:type="paragraph" w:customStyle="1" w:styleId="Body11">
    <w:name w:val="Body 11"/>
    <w:basedOn w:val="BodyText"/>
    <w:uiPriority w:val="99"/>
    <w:rsid w:val="00847BCE"/>
    <w:pPr>
      <w:spacing w:after="240"/>
    </w:pPr>
    <w:rPr>
      <w:rFonts w:ascii="Times New Roman" w:hAnsi="Times New Roman"/>
      <w:color w:val="auto"/>
      <w:lang w:val="en-US"/>
    </w:rPr>
  </w:style>
  <w:style w:type="paragraph" w:customStyle="1" w:styleId="BodyTes">
    <w:name w:val="Body Tes"/>
    <w:basedOn w:val="NoteTable"/>
    <w:uiPriority w:val="99"/>
    <w:rsid w:val="00847BCE"/>
    <w:pPr>
      <w:ind w:left="567" w:firstLine="0"/>
    </w:pPr>
  </w:style>
  <w:style w:type="paragraph" w:customStyle="1" w:styleId="CarCharChar">
    <w:name w:val="Car Char Char"/>
    <w:basedOn w:val="Normal"/>
    <w:uiPriority w:val="99"/>
    <w:rsid w:val="00847BCE"/>
    <w:pPr>
      <w:spacing w:line="240" w:lineRule="exact"/>
      <w:jc w:val="both"/>
    </w:pPr>
    <w:rPr>
      <w:rFonts w:ascii="Times New Roman" w:eastAsiaTheme="minorEastAsia" w:hAnsi="Times New Roman" w:cstheme="minorBidi"/>
      <w:sz w:val="20"/>
      <w:szCs w:val="20"/>
      <w:lang w:val="fr-FR" w:bidi="en-US"/>
    </w:rPr>
  </w:style>
  <w:style w:type="paragraph" w:customStyle="1" w:styleId="BodyTextNumberedBold">
    <w:name w:val="Body Text Numbered Bold"/>
    <w:basedOn w:val="Normal"/>
    <w:next w:val="BodyText"/>
    <w:uiPriority w:val="99"/>
    <w:rsid w:val="00847BCE"/>
    <w:pPr>
      <w:spacing w:after="240" w:line="240" w:lineRule="auto"/>
      <w:jc w:val="both"/>
    </w:pPr>
    <w:rPr>
      <w:rFonts w:ascii="Times New Roman Bold" w:eastAsiaTheme="minorEastAsia" w:hAnsi="Times New Roman Bold" w:cstheme="minorBidi"/>
      <w:b/>
      <w:sz w:val="20"/>
      <w:szCs w:val="24"/>
      <w:lang w:val="en-GB" w:bidi="en-US"/>
    </w:rPr>
  </w:style>
  <w:style w:type="paragraph" w:customStyle="1" w:styleId="Opmaakprofiel1">
    <w:name w:val="Opmaakprofiel1"/>
    <w:basedOn w:val="Heading1"/>
    <w:autoRedefine/>
    <w:uiPriority w:val="99"/>
    <w:rsid w:val="00847BCE"/>
    <w:pPr>
      <w:spacing w:after="594" w:line="240" w:lineRule="auto"/>
    </w:pPr>
    <w:rPr>
      <w:rFonts w:ascii="Times New Roman" w:eastAsiaTheme="minorEastAsia" w:hAnsi="Times New Roman" w:cs="Times New Roman"/>
      <w:noProof/>
      <w:color w:val="FFFFFF"/>
      <w:kern w:val="28"/>
      <w:sz w:val="24"/>
      <w:szCs w:val="20"/>
    </w:rPr>
  </w:style>
  <w:style w:type="paragraph" w:customStyle="1" w:styleId="Opmaakprofiel2">
    <w:name w:val="Opmaakprofiel2"/>
    <w:basedOn w:val="Heading1"/>
    <w:uiPriority w:val="99"/>
    <w:rsid w:val="00847BCE"/>
    <w:pPr>
      <w:spacing w:after="594" w:line="240" w:lineRule="auto"/>
    </w:pPr>
    <w:rPr>
      <w:rFonts w:ascii="Times New Roman" w:eastAsiaTheme="minorEastAsia" w:hAnsi="Times New Roman" w:cs="Times New Roman"/>
      <w:noProof/>
      <w:kern w:val="28"/>
      <w:sz w:val="24"/>
      <w:szCs w:val="20"/>
    </w:rPr>
  </w:style>
  <w:style w:type="paragraph" w:customStyle="1" w:styleId="Opmaakprofiel3">
    <w:name w:val="Opmaakprofiel3"/>
    <w:basedOn w:val="Heading1"/>
    <w:uiPriority w:val="99"/>
    <w:rsid w:val="00847BCE"/>
    <w:pPr>
      <w:spacing w:after="594" w:line="240" w:lineRule="auto"/>
    </w:pPr>
    <w:rPr>
      <w:rFonts w:ascii="Times New Roman" w:eastAsiaTheme="minorEastAsia" w:hAnsi="Times New Roman" w:cs="Times New Roman"/>
      <w:noProof/>
      <w:color w:val="FFFFFF"/>
      <w:kern w:val="28"/>
      <w:sz w:val="24"/>
      <w:szCs w:val="20"/>
    </w:rPr>
  </w:style>
  <w:style w:type="paragraph" w:customStyle="1" w:styleId="Opmaakprofiel4">
    <w:name w:val="Opmaakprofiel4"/>
    <w:basedOn w:val="Heading1"/>
    <w:uiPriority w:val="99"/>
    <w:rsid w:val="00847BCE"/>
    <w:pPr>
      <w:spacing w:after="594" w:line="240" w:lineRule="auto"/>
    </w:pPr>
    <w:rPr>
      <w:rFonts w:ascii="CitigateFrutigerBold" w:eastAsiaTheme="minorEastAsia" w:hAnsi="CitigateFrutigerBold" w:cs="Times New Roman"/>
      <w:noProof/>
      <w:kern w:val="28"/>
      <w:szCs w:val="20"/>
    </w:rPr>
  </w:style>
  <w:style w:type="paragraph" w:customStyle="1" w:styleId="Opmaakprofiel5">
    <w:name w:val="Opmaakprofiel5"/>
    <w:basedOn w:val="Heading1"/>
    <w:autoRedefine/>
    <w:uiPriority w:val="99"/>
    <w:rsid w:val="00847BCE"/>
    <w:pPr>
      <w:spacing w:after="594" w:line="240" w:lineRule="auto"/>
    </w:pPr>
    <w:rPr>
      <w:rFonts w:ascii="Times New Roman" w:eastAsiaTheme="minorEastAsia" w:hAnsi="Times New Roman" w:cs="Times New Roman"/>
      <w:noProof/>
      <w:kern w:val="28"/>
      <w:sz w:val="24"/>
      <w:szCs w:val="20"/>
    </w:rPr>
  </w:style>
  <w:style w:type="paragraph" w:customStyle="1" w:styleId="stelectronics">
    <w:name w:val="st electronics"/>
    <w:basedOn w:val="Heading1"/>
    <w:autoRedefine/>
    <w:uiPriority w:val="99"/>
    <w:rsid w:val="00847BCE"/>
    <w:pPr>
      <w:spacing w:after="594" w:line="240" w:lineRule="auto"/>
    </w:pPr>
    <w:rPr>
      <w:rFonts w:ascii="Times New Roman" w:eastAsiaTheme="minorEastAsia" w:hAnsi="Times New Roman" w:cs="Times New Roman"/>
      <w:noProof/>
      <w:kern w:val="28"/>
      <w:sz w:val="24"/>
      <w:szCs w:val="24"/>
    </w:rPr>
  </w:style>
  <w:style w:type="paragraph" w:customStyle="1" w:styleId="Style2">
    <w:name w:val="Style2"/>
    <w:basedOn w:val="Normal"/>
    <w:uiPriority w:val="99"/>
    <w:rsid w:val="00847BCE"/>
    <w:pPr>
      <w:numPr>
        <w:numId w:val="9"/>
      </w:numPr>
      <w:tabs>
        <w:tab w:val="left" w:pos="709"/>
      </w:tabs>
      <w:spacing w:after="240" w:line="240" w:lineRule="auto"/>
      <w:jc w:val="both"/>
    </w:pPr>
    <w:rPr>
      <w:rFonts w:ascii="Times New Roman Bold" w:eastAsiaTheme="minorEastAsia" w:hAnsi="Times New Roman Bold" w:cstheme="minorBidi"/>
      <w:b/>
      <w:caps/>
      <w:sz w:val="24"/>
      <w:szCs w:val="24"/>
      <w:lang w:val="en-GB" w:bidi="en-US"/>
    </w:rPr>
  </w:style>
  <w:style w:type="paragraph" w:customStyle="1" w:styleId="aNumberinglist">
    <w:name w:val="a. Numbering list"/>
    <w:basedOn w:val="Normal"/>
    <w:uiPriority w:val="99"/>
    <w:rsid w:val="00847BCE"/>
    <w:pPr>
      <w:widowControl w:val="0"/>
      <w:numPr>
        <w:numId w:val="10"/>
      </w:numPr>
      <w:tabs>
        <w:tab w:val="left" w:pos="1134"/>
      </w:tabs>
      <w:autoSpaceDE w:val="0"/>
      <w:autoSpaceDN w:val="0"/>
      <w:adjustRightInd w:val="0"/>
      <w:spacing w:after="240" w:line="240" w:lineRule="auto"/>
      <w:jc w:val="both"/>
    </w:pPr>
    <w:rPr>
      <w:rFonts w:ascii="Times New Roman" w:eastAsiaTheme="minorEastAsia" w:hAnsi="Times New Roman" w:cstheme="minorBidi"/>
      <w:sz w:val="20"/>
      <w:szCs w:val="20"/>
      <w:lang w:val="en-GB" w:bidi="en-US"/>
    </w:rPr>
  </w:style>
  <w:style w:type="paragraph" w:customStyle="1" w:styleId="Footnotetable">
    <w:name w:val="Footnote table"/>
    <w:basedOn w:val="Normal"/>
    <w:uiPriority w:val="99"/>
    <w:rsid w:val="00847BCE"/>
    <w:pPr>
      <w:autoSpaceDE w:val="0"/>
      <w:autoSpaceDN w:val="0"/>
      <w:adjustRightInd w:val="0"/>
      <w:spacing w:after="0" w:line="240" w:lineRule="auto"/>
      <w:ind w:left="426" w:hanging="426"/>
      <w:jc w:val="both"/>
    </w:pPr>
    <w:rPr>
      <w:rFonts w:ascii="Tms Rmn" w:eastAsia="SimSun" w:hAnsi="Tms Rmn" w:cs="Tms Rmn"/>
      <w:sz w:val="18"/>
      <w:szCs w:val="18"/>
      <w:lang w:eastAsia="zh-CN" w:bidi="en-US"/>
    </w:rPr>
  </w:style>
  <w:style w:type="paragraph" w:customStyle="1" w:styleId="Bold">
    <w:name w:val="Bold"/>
    <w:basedOn w:val="Normal"/>
    <w:uiPriority w:val="99"/>
    <w:rsid w:val="00847BCE"/>
    <w:pPr>
      <w:keepNext/>
      <w:keepLines/>
      <w:numPr>
        <w:numId w:val="11"/>
      </w:numPr>
      <w:autoSpaceDE w:val="0"/>
      <w:autoSpaceDN w:val="0"/>
      <w:adjustRightInd w:val="0"/>
      <w:spacing w:after="240" w:line="240" w:lineRule="auto"/>
      <w:ind w:left="0" w:firstLine="0"/>
      <w:jc w:val="both"/>
    </w:pPr>
    <w:rPr>
      <w:rFonts w:ascii="Times New Roman" w:eastAsiaTheme="minorEastAsia" w:hAnsi="Times New Roman" w:cstheme="minorBidi"/>
      <w:b/>
      <w:bCs/>
      <w:sz w:val="20"/>
      <w:szCs w:val="20"/>
      <w:lang w:bidi="en-US"/>
    </w:rPr>
  </w:style>
  <w:style w:type="paragraph" w:customStyle="1" w:styleId="Bolditalic">
    <w:name w:val="Bold + italic"/>
    <w:basedOn w:val="Normal"/>
    <w:uiPriority w:val="99"/>
    <w:rsid w:val="00847BCE"/>
    <w:pPr>
      <w:keepNext/>
      <w:keepLines/>
      <w:autoSpaceDE w:val="0"/>
      <w:autoSpaceDN w:val="0"/>
      <w:adjustRightInd w:val="0"/>
      <w:spacing w:after="240" w:line="240" w:lineRule="auto"/>
      <w:jc w:val="both"/>
    </w:pPr>
    <w:rPr>
      <w:rFonts w:ascii="Times New Roman" w:eastAsia="SimSun" w:hAnsi="Times New Roman" w:cstheme="minorBidi"/>
      <w:b/>
      <w:i/>
      <w:sz w:val="20"/>
      <w:szCs w:val="20"/>
      <w:lang w:eastAsia="zh-CN" w:bidi="en-US"/>
    </w:rPr>
  </w:style>
  <w:style w:type="paragraph" w:customStyle="1" w:styleId="BoldItals">
    <w:name w:val="BoldItals"/>
    <w:basedOn w:val="Normal"/>
    <w:next w:val="BodyText"/>
    <w:uiPriority w:val="99"/>
    <w:rsid w:val="00847BCE"/>
    <w:pPr>
      <w:spacing w:after="240" w:line="240" w:lineRule="auto"/>
      <w:jc w:val="both"/>
    </w:pPr>
    <w:rPr>
      <w:rFonts w:ascii="Times New Roman Bold" w:eastAsiaTheme="minorEastAsia" w:hAnsi="Times New Roman Bold" w:cstheme="minorBidi"/>
      <w:b/>
      <w:i/>
      <w:sz w:val="24"/>
      <w:szCs w:val="24"/>
      <w:lang w:bidi="en-US"/>
    </w:rPr>
  </w:style>
  <w:style w:type="paragraph" w:customStyle="1" w:styleId="Italics">
    <w:name w:val="Italics"/>
    <w:basedOn w:val="BoldItals"/>
    <w:autoRedefine/>
    <w:uiPriority w:val="99"/>
    <w:rsid w:val="00847BCE"/>
    <w:pPr>
      <w:spacing w:line="280" w:lineRule="exact"/>
      <w:outlineLvl w:val="0"/>
    </w:pPr>
    <w:rPr>
      <w:rFonts w:ascii="Times New Roman"/>
      <w:i w:val="0"/>
      <w:sz w:val="22"/>
      <w:szCs w:val="22"/>
    </w:rPr>
  </w:style>
  <w:style w:type="paragraph" w:customStyle="1" w:styleId="BulletedList2">
    <w:name w:val="Bulleted List 2"/>
    <w:basedOn w:val="BulletedList"/>
    <w:rsid w:val="00847BCE"/>
    <w:pPr>
      <w:numPr>
        <w:numId w:val="12"/>
      </w:numPr>
      <w:tabs>
        <w:tab w:val="clear" w:pos="709"/>
        <w:tab w:val="num" w:pos="360"/>
        <w:tab w:val="num" w:pos="567"/>
        <w:tab w:val="left" w:pos="1418"/>
      </w:tabs>
      <w:ind w:left="-1440" w:hanging="720"/>
      <w:contextualSpacing w:val="0"/>
    </w:pPr>
    <w:rPr>
      <w:rFonts w:ascii="Times New Roman" w:hAnsi="Times New Roman"/>
      <w:sz w:val="22"/>
      <w:lang w:val="en-US"/>
    </w:rPr>
  </w:style>
  <w:style w:type="paragraph" w:customStyle="1" w:styleId="BulletedListChar">
    <w:name w:val="Bulleted List Char"/>
    <w:basedOn w:val="Normal"/>
    <w:uiPriority w:val="99"/>
    <w:rsid w:val="00847BCE"/>
    <w:pPr>
      <w:spacing w:after="240" w:line="240" w:lineRule="auto"/>
      <w:contextualSpacing/>
      <w:jc w:val="both"/>
    </w:pPr>
    <w:rPr>
      <w:rFonts w:ascii="Times New Roman" w:eastAsiaTheme="minorEastAsia" w:hAnsi="Times New Roman" w:cstheme="minorBidi"/>
      <w:sz w:val="24"/>
      <w:szCs w:val="24"/>
      <w:lang w:val="en-GB" w:bidi="en-US"/>
    </w:rPr>
  </w:style>
  <w:style w:type="paragraph" w:customStyle="1" w:styleId="DefaultParagraphFontChar">
    <w:name w:val="Default Paragraph Font Char"/>
    <w:aliases w:val="Char2 Char"/>
    <w:basedOn w:val="Normal"/>
    <w:uiPriority w:val="99"/>
    <w:rsid w:val="00847BCE"/>
    <w:pPr>
      <w:spacing w:line="240" w:lineRule="exact"/>
      <w:jc w:val="both"/>
    </w:pPr>
    <w:rPr>
      <w:rFonts w:ascii="Times New Roman" w:eastAsiaTheme="minorEastAsia" w:hAnsi="Times New Roman" w:cstheme="minorBidi"/>
      <w:sz w:val="20"/>
      <w:szCs w:val="20"/>
      <w:lang w:val="fr-FR" w:bidi="en-US"/>
    </w:rPr>
  </w:style>
  <w:style w:type="paragraph" w:customStyle="1" w:styleId="ItalicTitle">
    <w:name w:val="Italic Title"/>
    <w:basedOn w:val="BodyText"/>
    <w:uiPriority w:val="99"/>
    <w:rsid w:val="00847BCE"/>
    <w:pPr>
      <w:spacing w:after="240"/>
      <w:ind w:firstLine="0"/>
    </w:pPr>
    <w:rPr>
      <w:rFonts w:ascii="Times New Roman" w:hAnsi="Times New Roman"/>
      <w:b/>
      <w:i/>
      <w:lang w:val="en-US"/>
    </w:rPr>
  </w:style>
  <w:style w:type="paragraph" w:customStyle="1" w:styleId="NumberTitle">
    <w:name w:val="Number Title"/>
    <w:basedOn w:val="Normal"/>
    <w:uiPriority w:val="99"/>
    <w:rsid w:val="00847BCE"/>
    <w:pPr>
      <w:spacing w:before="120" w:after="240" w:line="240" w:lineRule="auto"/>
      <w:jc w:val="both"/>
    </w:pPr>
    <w:rPr>
      <w:rFonts w:ascii="Times New Roman" w:eastAsiaTheme="minorEastAsia" w:hAnsi="Times New Roman" w:cstheme="minorBidi"/>
      <w:b/>
      <w:sz w:val="24"/>
      <w:szCs w:val="24"/>
      <w:lang w:bidi="en-US"/>
    </w:rPr>
  </w:style>
  <w:style w:type="paragraph" w:customStyle="1" w:styleId="texteretrait">
    <w:name w:val="texte retrait"/>
    <w:basedOn w:val="Normal"/>
    <w:uiPriority w:val="99"/>
    <w:rsid w:val="00847BCE"/>
    <w:pPr>
      <w:spacing w:after="0" w:line="240" w:lineRule="auto"/>
      <w:ind w:left="560" w:right="-160" w:hanging="560"/>
      <w:jc w:val="both"/>
    </w:pPr>
    <w:rPr>
      <w:rFonts w:ascii="Times" w:eastAsiaTheme="minorEastAsia" w:hAnsi="Times" w:cstheme="minorBidi"/>
      <w:sz w:val="24"/>
      <w:szCs w:val="20"/>
      <w:lang w:eastAsia="fr-FR" w:bidi="en-US"/>
    </w:rPr>
  </w:style>
  <w:style w:type="paragraph" w:customStyle="1" w:styleId="Titlenumbered">
    <w:name w:val="Title numbered"/>
    <w:basedOn w:val="Normal"/>
    <w:next w:val="BodyText"/>
    <w:autoRedefine/>
    <w:uiPriority w:val="99"/>
    <w:rsid w:val="00847BCE"/>
    <w:pPr>
      <w:keepNext/>
      <w:keepLines/>
      <w:numPr>
        <w:numId w:val="13"/>
      </w:numPr>
      <w:spacing w:after="240" w:line="240" w:lineRule="auto"/>
      <w:jc w:val="both"/>
    </w:pPr>
    <w:rPr>
      <w:rFonts w:ascii="Times New Roman Bold" w:eastAsiaTheme="minorEastAsia" w:hAnsi="Times New Roman Bold" w:cstheme="minorBidi"/>
      <w:b/>
      <w:sz w:val="20"/>
      <w:szCs w:val="24"/>
      <w:lang w:bidi="en-US"/>
    </w:rPr>
  </w:style>
  <w:style w:type="paragraph" w:customStyle="1" w:styleId="Numberinglist">
    <w:name w:val="Numbering list"/>
    <w:basedOn w:val="Normal"/>
    <w:uiPriority w:val="99"/>
    <w:rsid w:val="00847BCE"/>
    <w:pPr>
      <w:numPr>
        <w:numId w:val="14"/>
      </w:numPr>
      <w:spacing w:after="240" w:line="240" w:lineRule="auto"/>
      <w:jc w:val="both"/>
    </w:pPr>
    <w:rPr>
      <w:rFonts w:ascii="Times New Roman" w:eastAsiaTheme="minorEastAsia" w:hAnsi="Times New Roman" w:cstheme="minorBidi"/>
      <w:sz w:val="20"/>
      <w:szCs w:val="24"/>
      <w:lang w:val="en-GB" w:bidi="en-US"/>
    </w:rPr>
  </w:style>
  <w:style w:type="paragraph" w:customStyle="1" w:styleId="Hyphenlist">
    <w:name w:val="Hyphenlist"/>
    <w:basedOn w:val="Normal"/>
    <w:autoRedefine/>
    <w:uiPriority w:val="99"/>
    <w:rsid w:val="00847BCE"/>
    <w:pPr>
      <w:numPr>
        <w:numId w:val="15"/>
      </w:numPr>
      <w:spacing w:after="240" w:line="240" w:lineRule="auto"/>
      <w:jc w:val="both"/>
    </w:pPr>
    <w:rPr>
      <w:rFonts w:ascii="Times New Roman" w:eastAsiaTheme="minorEastAsia" w:hAnsi="Times New Roman" w:cstheme="minorBidi"/>
      <w:sz w:val="24"/>
      <w:szCs w:val="24"/>
      <w:lang w:val="en-GB" w:bidi="en-US"/>
    </w:rPr>
  </w:style>
  <w:style w:type="paragraph" w:customStyle="1" w:styleId="bulletlist2">
    <w:name w:val="bullet list 2"/>
    <w:basedOn w:val="BulletedList"/>
    <w:uiPriority w:val="99"/>
    <w:rsid w:val="00847BCE"/>
    <w:pPr>
      <w:tabs>
        <w:tab w:val="clear" w:pos="-1440"/>
        <w:tab w:val="num" w:pos="1080"/>
        <w:tab w:val="left" w:pos="1276"/>
      </w:tabs>
      <w:ind w:left="1276" w:hanging="567"/>
      <w:contextualSpacing w:val="0"/>
    </w:pPr>
    <w:rPr>
      <w:rFonts w:ascii="Times New Roman" w:hAnsi="Times New Roman"/>
      <w:sz w:val="22"/>
      <w:lang w:val="en-US"/>
    </w:rPr>
  </w:style>
  <w:style w:type="paragraph" w:customStyle="1" w:styleId="Block">
    <w:name w:val="Block"/>
    <w:uiPriority w:val="99"/>
    <w:rsid w:val="00847BCE"/>
    <w:pPr>
      <w:spacing w:after="240" w:line="276" w:lineRule="auto"/>
      <w:jc w:val="both"/>
    </w:pPr>
    <w:rPr>
      <w:rFonts w:asciiTheme="minorHAnsi" w:eastAsiaTheme="minorEastAsia" w:hAnsiTheme="minorHAnsi" w:cstheme="minorBidi"/>
      <w:sz w:val="24"/>
      <w:szCs w:val="24"/>
      <w:lang w:val="en-GB"/>
    </w:rPr>
  </w:style>
  <w:style w:type="paragraph" w:customStyle="1" w:styleId="Car">
    <w:name w:val="Car"/>
    <w:basedOn w:val="Normal"/>
    <w:uiPriority w:val="99"/>
    <w:rsid w:val="00847BCE"/>
    <w:pPr>
      <w:spacing w:line="240" w:lineRule="exact"/>
      <w:jc w:val="both"/>
    </w:pPr>
    <w:rPr>
      <w:rFonts w:ascii="Times New Roman" w:eastAsiaTheme="minorEastAsia" w:hAnsi="Times New Roman" w:cstheme="minorBidi"/>
      <w:sz w:val="20"/>
      <w:szCs w:val="20"/>
      <w:lang w:val="fr-FR" w:bidi="en-US"/>
    </w:rPr>
  </w:style>
  <w:style w:type="paragraph" w:customStyle="1" w:styleId="DeltaViewTableHeading">
    <w:name w:val="DeltaView Table Heading"/>
    <w:basedOn w:val="Normal"/>
    <w:uiPriority w:val="99"/>
    <w:rsid w:val="00847BCE"/>
    <w:pPr>
      <w:autoSpaceDE w:val="0"/>
      <w:autoSpaceDN w:val="0"/>
      <w:adjustRightInd w:val="0"/>
      <w:spacing w:after="120" w:line="240" w:lineRule="auto"/>
      <w:jc w:val="both"/>
    </w:pPr>
    <w:rPr>
      <w:rFonts w:asciiTheme="minorHAnsi" w:eastAsia="SimSun" w:hAnsiTheme="minorHAnsi" w:cstheme="minorBidi"/>
      <w:b/>
      <w:sz w:val="24"/>
      <w:szCs w:val="24"/>
      <w:lang w:eastAsia="zh-CN" w:bidi="en-US"/>
    </w:rPr>
  </w:style>
  <w:style w:type="paragraph" w:customStyle="1" w:styleId="DeltaViewTableBody">
    <w:name w:val="DeltaView Table Body"/>
    <w:basedOn w:val="Normal"/>
    <w:uiPriority w:val="99"/>
    <w:rsid w:val="00847BCE"/>
    <w:pPr>
      <w:autoSpaceDE w:val="0"/>
      <w:autoSpaceDN w:val="0"/>
      <w:adjustRightInd w:val="0"/>
      <w:spacing w:after="0" w:line="240" w:lineRule="auto"/>
      <w:jc w:val="both"/>
    </w:pPr>
    <w:rPr>
      <w:rFonts w:asciiTheme="minorHAnsi" w:eastAsia="SimSun" w:hAnsiTheme="minorHAnsi" w:cstheme="minorBidi"/>
      <w:sz w:val="24"/>
      <w:szCs w:val="24"/>
      <w:lang w:eastAsia="zh-CN" w:bidi="en-US"/>
    </w:rPr>
  </w:style>
  <w:style w:type="paragraph" w:customStyle="1" w:styleId="DeltaViewAnnounce">
    <w:name w:val="DeltaView Announce"/>
    <w:uiPriority w:val="99"/>
    <w:rsid w:val="00847BCE"/>
    <w:pPr>
      <w:autoSpaceDE w:val="0"/>
      <w:autoSpaceDN w:val="0"/>
      <w:adjustRightInd w:val="0"/>
      <w:spacing w:before="100" w:beforeAutospacing="1" w:line="276" w:lineRule="auto"/>
      <w:jc w:val="both"/>
    </w:pPr>
    <w:rPr>
      <w:rFonts w:ascii="Arial" w:eastAsia="SimSun" w:hAnsi="Arial" w:cstheme="minorBidi"/>
      <w:sz w:val="24"/>
      <w:szCs w:val="24"/>
      <w:lang w:val="en-GB" w:eastAsia="zh-CN"/>
    </w:rPr>
  </w:style>
  <w:style w:type="paragraph" w:customStyle="1" w:styleId="Headline2">
    <w:name w:val="Headline 2"/>
    <w:basedOn w:val="BodyText"/>
    <w:uiPriority w:val="99"/>
    <w:rsid w:val="00847BCE"/>
    <w:pPr>
      <w:spacing w:after="290" w:line="290" w:lineRule="atLeast"/>
      <w:ind w:firstLine="0"/>
      <w:jc w:val="left"/>
    </w:pPr>
    <w:rPr>
      <w:rFonts w:cs="Arial"/>
      <w:b/>
      <w:color w:val="auto"/>
      <w:sz w:val="24"/>
      <w:szCs w:val="24"/>
      <w:lang w:val="nl-NL" w:eastAsia="nl-NL"/>
    </w:rPr>
  </w:style>
  <w:style w:type="paragraph" w:customStyle="1" w:styleId="Headline1">
    <w:name w:val="Headline 1"/>
    <w:basedOn w:val="BodyText"/>
    <w:uiPriority w:val="99"/>
    <w:rsid w:val="00847BCE"/>
    <w:pPr>
      <w:keepNext/>
      <w:spacing w:after="720" w:line="290" w:lineRule="atLeast"/>
      <w:ind w:firstLine="0"/>
      <w:jc w:val="left"/>
    </w:pPr>
    <w:rPr>
      <w:rFonts w:cs="Arial"/>
      <w:color w:val="auto"/>
      <w:sz w:val="28"/>
      <w:szCs w:val="28"/>
      <w:lang w:val="nl-NL" w:eastAsia="nl-NL"/>
    </w:rPr>
  </w:style>
  <w:style w:type="paragraph" w:customStyle="1" w:styleId="Headline3">
    <w:name w:val="Headline 3"/>
    <w:basedOn w:val="Normal"/>
    <w:uiPriority w:val="99"/>
    <w:rsid w:val="00847BCE"/>
    <w:pPr>
      <w:keepNext/>
      <w:spacing w:after="0" w:line="290" w:lineRule="atLeast"/>
      <w:jc w:val="both"/>
    </w:pPr>
    <w:rPr>
      <w:rFonts w:asciiTheme="minorHAnsi" w:eastAsiaTheme="minorEastAsia" w:hAnsiTheme="minorHAnsi" w:cstheme="minorBidi"/>
      <w:b/>
      <w:sz w:val="20"/>
      <w:szCs w:val="20"/>
      <w:lang w:val="nl-NL" w:eastAsia="nl-NL" w:bidi="en-US"/>
    </w:rPr>
  </w:style>
  <w:style w:type="paragraph" w:customStyle="1" w:styleId="PlaceDate">
    <w:name w:val="PlaceDate"/>
    <w:basedOn w:val="BodyText"/>
    <w:uiPriority w:val="99"/>
    <w:rsid w:val="00847BCE"/>
    <w:pPr>
      <w:keepNext/>
      <w:spacing w:before="580" w:after="0" w:line="290" w:lineRule="atLeast"/>
      <w:ind w:firstLine="0"/>
      <w:jc w:val="left"/>
    </w:pPr>
    <w:rPr>
      <w:rFonts w:cs="Arial"/>
      <w:color w:val="auto"/>
      <w:lang w:val="nl-NL" w:eastAsia="nl-NL"/>
    </w:rPr>
  </w:style>
  <w:style w:type="paragraph" w:customStyle="1" w:styleId="AuditFirm">
    <w:name w:val="AuditFirm"/>
    <w:basedOn w:val="PlaceDate"/>
    <w:uiPriority w:val="99"/>
    <w:rsid w:val="00847BCE"/>
    <w:pPr>
      <w:spacing w:before="0" w:after="1160"/>
    </w:pPr>
  </w:style>
  <w:style w:type="paragraph" w:customStyle="1" w:styleId="Style35001908">
    <w:name w:val="Style35001908"/>
    <w:basedOn w:val="Normal"/>
    <w:uiPriority w:val="99"/>
    <w:rsid w:val="00847BCE"/>
    <w:pPr>
      <w:snapToGrid w:val="0"/>
      <w:spacing w:after="0" w:line="240" w:lineRule="auto"/>
      <w:jc w:val="both"/>
    </w:pPr>
    <w:rPr>
      <w:rFonts w:ascii="Times New Roman" w:eastAsiaTheme="minorEastAsia" w:hAnsi="Times New Roman" w:cstheme="minorBidi"/>
      <w:sz w:val="24"/>
      <w:szCs w:val="20"/>
      <w:lang w:bidi="en-US"/>
    </w:rPr>
  </w:style>
  <w:style w:type="character" w:styleId="FootnoteReference">
    <w:name w:val="footnote reference"/>
    <w:basedOn w:val="DefaultParagraphFont"/>
    <w:semiHidden/>
    <w:unhideWhenUsed/>
    <w:rsid w:val="00847BCE"/>
    <w:rPr>
      <w:rFonts w:ascii="Times New Roman" w:hAnsi="Times New Roman" w:cs="Times New Roman" w:hint="default"/>
      <w:vertAlign w:val="superscript"/>
    </w:rPr>
  </w:style>
  <w:style w:type="character" w:styleId="CommentReference">
    <w:name w:val="annotation reference"/>
    <w:basedOn w:val="DefaultParagraphFont"/>
    <w:semiHidden/>
    <w:unhideWhenUsed/>
    <w:rsid w:val="00847BCE"/>
    <w:rPr>
      <w:rFonts w:ascii="Times New Roman" w:hAnsi="Times New Roman" w:cs="Times New Roman" w:hint="default"/>
      <w:sz w:val="16"/>
      <w:szCs w:val="16"/>
    </w:rPr>
  </w:style>
  <w:style w:type="character" w:styleId="PageNumber">
    <w:name w:val="page number"/>
    <w:basedOn w:val="DefaultParagraphFont"/>
    <w:unhideWhenUsed/>
    <w:rsid w:val="00847BCE"/>
    <w:rPr>
      <w:rFonts w:ascii="Times New Roman" w:hAnsi="Times New Roman" w:cs="Times New Roman" w:hint="default"/>
    </w:rPr>
  </w:style>
  <w:style w:type="character" w:styleId="EndnoteReference">
    <w:name w:val="endnote reference"/>
    <w:basedOn w:val="DefaultParagraphFont"/>
    <w:semiHidden/>
    <w:unhideWhenUsed/>
    <w:rsid w:val="00847BCE"/>
    <w:rPr>
      <w:vertAlign w:val="superscript"/>
    </w:rPr>
  </w:style>
  <w:style w:type="character" w:styleId="SubtleEmphasis">
    <w:name w:val="Subtle Emphasis"/>
    <w:uiPriority w:val="19"/>
    <w:qFormat/>
    <w:rsid w:val="00847BCE"/>
    <w:rPr>
      <w:i/>
      <w:iCs w:val="0"/>
    </w:rPr>
  </w:style>
  <w:style w:type="character" w:styleId="IntenseEmphasis">
    <w:name w:val="Intense Emphasis"/>
    <w:uiPriority w:val="21"/>
    <w:qFormat/>
    <w:rsid w:val="00847BCE"/>
    <w:rPr>
      <w:b/>
      <w:bCs w:val="0"/>
      <w:i/>
      <w:iCs w:val="0"/>
      <w:color w:val="C0504D" w:themeColor="accent2"/>
      <w:spacing w:val="10"/>
    </w:rPr>
  </w:style>
  <w:style w:type="character" w:styleId="SubtleReference">
    <w:name w:val="Subtle Reference"/>
    <w:uiPriority w:val="31"/>
    <w:qFormat/>
    <w:rsid w:val="00847BCE"/>
    <w:rPr>
      <w:b/>
      <w:bCs w:val="0"/>
    </w:rPr>
  </w:style>
  <w:style w:type="character" w:styleId="IntenseReference">
    <w:name w:val="Intense Reference"/>
    <w:uiPriority w:val="32"/>
    <w:qFormat/>
    <w:rsid w:val="00847BCE"/>
    <w:rPr>
      <w:b/>
      <w:bCs/>
      <w:smallCaps/>
      <w:spacing w:val="5"/>
      <w:sz w:val="22"/>
      <w:szCs w:val="22"/>
      <w:u w:val="single"/>
    </w:rPr>
  </w:style>
  <w:style w:type="character" w:styleId="BookTitle">
    <w:name w:val="Book Title"/>
    <w:uiPriority w:val="33"/>
    <w:qFormat/>
    <w:rsid w:val="00847BCE"/>
    <w:rPr>
      <w:rFonts w:asciiTheme="majorHAnsi" w:eastAsiaTheme="majorEastAsia" w:hAnsiTheme="majorHAnsi" w:cstheme="majorBidi" w:hint="default"/>
      <w:i/>
      <w:iCs/>
      <w:sz w:val="20"/>
      <w:szCs w:val="20"/>
    </w:rPr>
  </w:style>
  <w:style w:type="character" w:customStyle="1" w:styleId="DeltaViewInsertion">
    <w:name w:val="DeltaView Insertion"/>
    <w:rsid w:val="00847BCE"/>
    <w:rPr>
      <w:b/>
      <w:bCs w:val="0"/>
      <w:color w:val="0000FF"/>
      <w:spacing w:val="0"/>
      <w:u w:val="double"/>
    </w:rPr>
  </w:style>
  <w:style w:type="character" w:customStyle="1" w:styleId="DeltaViewDeletion">
    <w:name w:val="DeltaView Deletion"/>
    <w:rsid w:val="00847BCE"/>
    <w:rPr>
      <w:strike/>
      <w:color w:val="FF0000"/>
      <w:spacing w:val="0"/>
    </w:rPr>
  </w:style>
  <w:style w:type="character" w:customStyle="1" w:styleId="searchtermhit">
    <w:name w:val="searchtermhit"/>
    <w:basedOn w:val="DefaultParagraphFont"/>
    <w:uiPriority w:val="99"/>
    <w:rsid w:val="00847BCE"/>
    <w:rPr>
      <w:rFonts w:ascii="Times New Roman" w:hAnsi="Times New Roman" w:cs="Times New Roman" w:hint="default"/>
    </w:rPr>
  </w:style>
  <w:style w:type="character" w:customStyle="1" w:styleId="printatt">
    <w:name w:val="printatt"/>
    <w:basedOn w:val="DefaultParagraphFont"/>
    <w:uiPriority w:val="99"/>
    <w:rsid w:val="00847BCE"/>
    <w:rPr>
      <w:rFonts w:ascii="Times New Roman" w:hAnsi="Times New Roman" w:cs="Times New Roman" w:hint="default"/>
    </w:rPr>
  </w:style>
  <w:style w:type="character" w:customStyle="1" w:styleId="printouter">
    <w:name w:val="printouter"/>
    <w:basedOn w:val="DefaultParagraphFont"/>
    <w:uiPriority w:val="99"/>
    <w:rsid w:val="00847BCE"/>
    <w:rPr>
      <w:rFonts w:ascii="Times New Roman" w:hAnsi="Times New Roman" w:cs="Times New Roman" w:hint="default"/>
    </w:rPr>
  </w:style>
  <w:style w:type="character" w:customStyle="1" w:styleId="DocID">
    <w:name w:val="DocID"/>
    <w:basedOn w:val="DefaultParagraphFont"/>
    <w:rsid w:val="00847BCE"/>
    <w:rPr>
      <w:rFonts w:ascii="Times New Roman" w:hAnsi="Times New Roman" w:cs="Times New Roman" w:hint="default"/>
      <w:sz w:val="16"/>
    </w:rPr>
  </w:style>
  <w:style w:type="character" w:customStyle="1" w:styleId="ListBulletChar">
    <w:name w:val="List Bullet Char"/>
    <w:basedOn w:val="DefaultParagraphFont"/>
    <w:rsid w:val="00847BCE"/>
    <w:rPr>
      <w:lang w:val="en-US" w:eastAsia="en-US" w:bidi="ar-SA"/>
    </w:rPr>
  </w:style>
  <w:style w:type="character" w:customStyle="1" w:styleId="ccbntxt">
    <w:name w:val="ccbntxt"/>
    <w:basedOn w:val="DefaultParagraphFont"/>
    <w:rsid w:val="00847BCE"/>
  </w:style>
  <w:style w:type="character" w:customStyle="1" w:styleId="BulletedListChar1">
    <w:name w:val="Bulleted List Char1"/>
    <w:basedOn w:val="DefaultParagraphFont"/>
    <w:rsid w:val="00847BCE"/>
    <w:rPr>
      <w:sz w:val="24"/>
      <w:szCs w:val="24"/>
      <w:lang w:val="en-US" w:eastAsia="en-US" w:bidi="ar-SA"/>
    </w:rPr>
  </w:style>
  <w:style w:type="character" w:customStyle="1" w:styleId="ccbntbltxt1">
    <w:name w:val="ccbntbltxt1"/>
    <w:basedOn w:val="DefaultParagraphFont"/>
    <w:rsid w:val="00847BCE"/>
    <w:rPr>
      <w:rFonts w:ascii="Verdana" w:hAnsi="Verdana" w:hint="default"/>
      <w:b w:val="0"/>
      <w:bCs w:val="0"/>
      <w:color w:val="000000"/>
      <w:sz w:val="17"/>
      <w:szCs w:val="17"/>
    </w:rPr>
  </w:style>
  <w:style w:type="character" w:customStyle="1" w:styleId="ccbntbltxtbold">
    <w:name w:val="ccbntbltxtbold"/>
    <w:basedOn w:val="DefaultParagraphFont"/>
    <w:rsid w:val="00847BCE"/>
  </w:style>
  <w:style w:type="character" w:customStyle="1" w:styleId="ccbntblodd1">
    <w:name w:val="ccbntblodd1"/>
    <w:basedOn w:val="DefaultParagraphFont"/>
    <w:rsid w:val="00847BCE"/>
    <w:rPr>
      <w:rFonts w:ascii="Verdana" w:hAnsi="Verdana" w:hint="default"/>
      <w:b w:val="0"/>
      <w:bCs w:val="0"/>
      <w:color w:val="000000"/>
      <w:sz w:val="17"/>
      <w:szCs w:val="17"/>
    </w:rPr>
  </w:style>
  <w:style w:type="character" w:customStyle="1" w:styleId="ccbntbleven1">
    <w:name w:val="ccbntbleven1"/>
    <w:basedOn w:val="DefaultParagraphFont"/>
    <w:rsid w:val="00847BCE"/>
    <w:rPr>
      <w:rFonts w:ascii="Verdana" w:hAnsi="Verdana" w:hint="default"/>
      <w:b w:val="0"/>
      <w:bCs w:val="0"/>
      <w:color w:val="000000"/>
      <w:sz w:val="17"/>
      <w:szCs w:val="17"/>
    </w:rPr>
  </w:style>
  <w:style w:type="character" w:customStyle="1" w:styleId="HoofdstukkopCharChar">
    <w:name w:val="Hoofdstukkop Char Char"/>
    <w:basedOn w:val="DefaultParagraphFont"/>
    <w:rsid w:val="00847BCE"/>
    <w:rPr>
      <w:rFonts w:ascii="CitigateFrutigerBold" w:hAnsi="CitigateFrutigerBold" w:hint="default"/>
      <w:noProof/>
      <w:color w:val="FFFFFF"/>
      <w:kern w:val="28"/>
      <w:sz w:val="28"/>
      <w:lang w:val="en-US" w:eastAsia="en-US" w:bidi="ar-SA"/>
    </w:rPr>
  </w:style>
  <w:style w:type="character" w:customStyle="1" w:styleId="CharChar2">
    <w:name w:val="Char Char2"/>
    <w:basedOn w:val="DefaultParagraphFont"/>
    <w:rsid w:val="00847BCE"/>
    <w:rPr>
      <w:b/>
      <w:bCs/>
      <w:kern w:val="28"/>
      <w:szCs w:val="32"/>
      <w:lang w:val="en-US" w:eastAsia="en-US" w:bidi="ar-SA"/>
    </w:rPr>
  </w:style>
  <w:style w:type="character" w:customStyle="1" w:styleId="DeltaViewMoveDestination">
    <w:name w:val="DeltaView Move Destination"/>
    <w:rsid w:val="00847BCE"/>
    <w:rPr>
      <w:color w:val="00C000"/>
      <w:spacing w:val="0"/>
      <w:u w:val="double"/>
    </w:rPr>
  </w:style>
  <w:style w:type="character" w:customStyle="1" w:styleId="DeltaViewMoveSource">
    <w:name w:val="DeltaView Move Source"/>
    <w:rsid w:val="00847BCE"/>
    <w:rPr>
      <w:strike/>
      <w:color w:val="00C000"/>
      <w:spacing w:val="0"/>
    </w:rPr>
  </w:style>
  <w:style w:type="character" w:customStyle="1" w:styleId="CharChar">
    <w:name w:val="Char Char"/>
    <w:basedOn w:val="DefaultParagraphFont"/>
    <w:rsid w:val="00847BCE"/>
    <w:rPr>
      <w:rFonts w:ascii="Times New Roman" w:hAnsi="Times New Roman" w:cs="Times New Roman" w:hint="default"/>
      <w:spacing w:val="0"/>
      <w:lang w:val="en-US" w:bidi="ar-SA"/>
    </w:rPr>
  </w:style>
  <w:style w:type="character" w:customStyle="1" w:styleId="CharChar1">
    <w:name w:val="Char Char1"/>
    <w:basedOn w:val="DefaultParagraphFont"/>
    <w:rsid w:val="00847BCE"/>
    <w:rPr>
      <w:rFonts w:ascii="CitigateFrutigerBold" w:hAnsi="CitigateFrutigerBold" w:cs="Times New Roman" w:hint="default"/>
      <w:noProof/>
      <w:color w:val="800000"/>
      <w:spacing w:val="0"/>
      <w:sz w:val="24"/>
      <w:lang w:bidi="ar-SA"/>
    </w:rPr>
  </w:style>
  <w:style w:type="character" w:customStyle="1" w:styleId="CharChar3">
    <w:name w:val="Char Char3"/>
    <w:basedOn w:val="DefaultParagraphFont"/>
    <w:rsid w:val="00847BCE"/>
    <w:rPr>
      <w:rFonts w:ascii="CitigateFrutigerBold" w:hAnsi="CitigateFrutigerBold" w:cs="Times New Roman" w:hint="default"/>
      <w:noProof/>
      <w:color w:val="FFFFFF"/>
      <w:spacing w:val="0"/>
      <w:kern w:val="28"/>
      <w:sz w:val="28"/>
      <w:lang w:bidi="ar-SA"/>
    </w:rPr>
  </w:style>
  <w:style w:type="character" w:customStyle="1" w:styleId="DeltaViewChangeNumber">
    <w:name w:val="DeltaView Change Number"/>
    <w:rsid w:val="00847BCE"/>
    <w:rPr>
      <w:color w:val="000000"/>
      <w:spacing w:val="0"/>
      <w:vertAlign w:val="superscript"/>
    </w:rPr>
  </w:style>
  <w:style w:type="character" w:customStyle="1" w:styleId="DeltaViewDelimiter">
    <w:name w:val="DeltaView Delimiter"/>
    <w:rsid w:val="00847BCE"/>
    <w:rPr>
      <w:spacing w:val="0"/>
    </w:rPr>
  </w:style>
  <w:style w:type="character" w:customStyle="1" w:styleId="DeltaViewFormatChange">
    <w:name w:val="DeltaView Format Change"/>
    <w:rsid w:val="00847BCE"/>
    <w:rPr>
      <w:color w:val="000000"/>
      <w:spacing w:val="0"/>
    </w:rPr>
  </w:style>
  <w:style w:type="character" w:customStyle="1" w:styleId="DeltaViewMovedDeletion">
    <w:name w:val="DeltaView Moved Deletion"/>
    <w:rsid w:val="00847BCE"/>
    <w:rPr>
      <w:strike/>
      <w:color w:val="C08080"/>
      <w:spacing w:val="0"/>
    </w:rPr>
  </w:style>
  <w:style w:type="character" w:customStyle="1" w:styleId="DeltaViewEditorComment">
    <w:name w:val="DeltaView Editor Comment"/>
    <w:basedOn w:val="DefaultParagraphFont"/>
    <w:rsid w:val="00847BCE"/>
    <w:rPr>
      <w:color w:val="0000FF"/>
      <w:spacing w:val="0"/>
      <w:u w:val="double"/>
    </w:rPr>
  </w:style>
  <w:style w:type="character" w:customStyle="1" w:styleId="DeltaViewStyleChangeText">
    <w:name w:val="DeltaView Style Change Text"/>
    <w:rsid w:val="00847BCE"/>
    <w:rPr>
      <w:color w:val="000000"/>
      <w:spacing w:val="0"/>
      <w:u w:val="double"/>
    </w:rPr>
  </w:style>
  <w:style w:type="character" w:customStyle="1" w:styleId="DeltaViewStyleChangeLabel">
    <w:name w:val="DeltaView Style Change Label"/>
    <w:rsid w:val="00847BCE"/>
    <w:rPr>
      <w:color w:val="000000"/>
      <w:spacing w:val="0"/>
    </w:rPr>
  </w:style>
  <w:style w:type="table" w:styleId="Table3Deffects3">
    <w:name w:val="Table 3D effects 3"/>
    <w:basedOn w:val="TableNormal"/>
    <w:semiHidden/>
    <w:unhideWhenUsed/>
    <w:rsid w:val="00847BCE"/>
    <w:pPr>
      <w:spacing w:after="200" w:line="276" w:lineRule="auto"/>
      <w:jc w:val="both"/>
    </w:pPr>
    <w:rPr>
      <w:lang w:val="nl-NL" w:eastAsia="nl-N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847BCE"/>
    <w:pPr>
      <w:spacing w:after="200" w:line="276" w:lineRule="auto"/>
      <w:jc w:val="both"/>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HQ-Bullet">
    <w:name w:val="THQ - Bullet"/>
    <w:rsid w:val="00847BCE"/>
    <w:pPr>
      <w:numPr>
        <w:numId w:val="16"/>
      </w:numPr>
    </w:pPr>
  </w:style>
  <w:style w:type="numbering" w:styleId="111111">
    <w:name w:val="Outline List 2"/>
    <w:basedOn w:val="NoList"/>
    <w:semiHidden/>
    <w:unhideWhenUsed/>
    <w:rsid w:val="00847BCE"/>
    <w:pPr>
      <w:numPr>
        <w:numId w:val="17"/>
      </w:numPr>
    </w:pPr>
  </w:style>
  <w:style w:type="paragraph" w:customStyle="1" w:styleId="Title1">
    <w:name w:val="Title 1"/>
    <w:basedOn w:val="Heading1"/>
    <w:link w:val="Title1Char"/>
    <w:qFormat/>
    <w:rsid w:val="00F012BF"/>
    <w:rPr>
      <w:rFonts w:ascii="Arial" w:hAnsi="Arial" w:cs="Arial"/>
      <w:b/>
      <w:color w:val="009CDD"/>
      <w:sz w:val="22"/>
      <w:szCs w:val="22"/>
    </w:rPr>
  </w:style>
  <w:style w:type="paragraph" w:customStyle="1" w:styleId="Title2">
    <w:name w:val="Title 2"/>
    <w:basedOn w:val="Heading2"/>
    <w:link w:val="Title2Char"/>
    <w:qFormat/>
    <w:rsid w:val="00F012BF"/>
    <w:rPr>
      <w:rFonts w:ascii="Arial" w:hAnsi="Arial" w:cs="Arial"/>
      <w:b/>
      <w:color w:val="009CDD"/>
      <w:sz w:val="22"/>
      <w:szCs w:val="22"/>
    </w:rPr>
  </w:style>
  <w:style w:type="character" w:customStyle="1" w:styleId="Title1Char">
    <w:name w:val="Title 1 Char"/>
    <w:basedOn w:val="Heading1Char"/>
    <w:link w:val="Title1"/>
    <w:rsid w:val="00F012BF"/>
    <w:rPr>
      <w:rFonts w:ascii="Arial" w:hAnsi="Arial" w:cs="Arial"/>
      <w:b/>
      <w:color w:val="009CDD"/>
      <w:sz w:val="22"/>
      <w:szCs w:val="22"/>
    </w:rPr>
  </w:style>
  <w:style w:type="paragraph" w:customStyle="1" w:styleId="Title3">
    <w:name w:val="Title 3"/>
    <w:basedOn w:val="Heading3"/>
    <w:link w:val="Title3Char"/>
    <w:qFormat/>
    <w:rsid w:val="00F012BF"/>
    <w:rPr>
      <w:rFonts w:ascii="Arial" w:hAnsi="Arial" w:cs="Arial"/>
      <w:b/>
      <w:color w:val="009CDD"/>
      <w:sz w:val="22"/>
      <w:szCs w:val="22"/>
    </w:rPr>
  </w:style>
  <w:style w:type="character" w:customStyle="1" w:styleId="Title2Char">
    <w:name w:val="Title 2 Char"/>
    <w:basedOn w:val="Heading2Char"/>
    <w:link w:val="Title2"/>
    <w:rsid w:val="00F012BF"/>
    <w:rPr>
      <w:rFonts w:ascii="Arial" w:hAnsi="Arial" w:cs="Arial"/>
      <w:b/>
      <w:smallCaps/>
      <w:color w:val="009CDD"/>
      <w:sz w:val="22"/>
      <w:szCs w:val="22"/>
    </w:rPr>
  </w:style>
  <w:style w:type="paragraph" w:customStyle="1" w:styleId="Title4">
    <w:name w:val="Title 4"/>
    <w:basedOn w:val="Heading4"/>
    <w:link w:val="Title4Char"/>
    <w:qFormat/>
    <w:rsid w:val="00F012BF"/>
    <w:rPr>
      <w:rFonts w:ascii="Arial" w:hAnsi="Arial" w:cs="Arial"/>
      <w:b/>
      <w:color w:val="009CDD"/>
    </w:rPr>
  </w:style>
  <w:style w:type="character" w:customStyle="1" w:styleId="Title3Char">
    <w:name w:val="Title 3 Char"/>
    <w:basedOn w:val="Heading3Char"/>
    <w:link w:val="Title3"/>
    <w:rsid w:val="00F012BF"/>
    <w:rPr>
      <w:rFonts w:ascii="Arial" w:hAnsi="Arial" w:cs="Arial"/>
      <w:b/>
      <w:color w:val="009CDD"/>
      <w:sz w:val="22"/>
      <w:szCs w:val="22"/>
    </w:rPr>
  </w:style>
  <w:style w:type="character" w:customStyle="1" w:styleId="Title4Char">
    <w:name w:val="Title 4 Char"/>
    <w:basedOn w:val="Heading4Char"/>
    <w:link w:val="Title4"/>
    <w:rsid w:val="00F012BF"/>
    <w:rPr>
      <w:rFonts w:ascii="Arial" w:hAnsi="Arial" w:cs="Arial"/>
      <w:b/>
      <w:color w:val="009CDD"/>
    </w:rPr>
  </w:style>
  <w:style w:type="paragraph" w:customStyle="1" w:styleId="Bullet05">
    <w:name w:val="Bullet 0.5"/>
    <w:basedOn w:val="Normal"/>
    <w:rsid w:val="00141D3A"/>
    <w:pPr>
      <w:numPr>
        <w:numId w:val="42"/>
      </w:numPr>
      <w:spacing w:after="0" w:afterAutospacing="0" w:line="240" w:lineRule="auto"/>
      <w:jc w:val="both"/>
    </w:pPr>
    <w:rPr>
      <w:rFonts w:ascii="Times New Roman" w:eastAsia="Times New Roman" w:hAnsi="Times New Roman"/>
      <w:sz w:val="20"/>
      <w:szCs w:val="20"/>
    </w:rPr>
  </w:style>
  <w:style w:type="character" w:customStyle="1" w:styleId="apple-converted-space">
    <w:name w:val="apple-converted-space"/>
    <w:basedOn w:val="DefaultParagraphFont"/>
    <w:rsid w:val="002E71AB"/>
  </w:style>
  <w:style w:type="character" w:customStyle="1" w:styleId="xn-money">
    <w:name w:val="xn-money"/>
    <w:basedOn w:val="DefaultParagraphFont"/>
    <w:rsid w:val="002E71AB"/>
  </w:style>
</w:styles>
</file>

<file path=word/webSettings.xml><?xml version="1.0" encoding="utf-8"?>
<w:webSettings xmlns:r="http://schemas.openxmlformats.org/officeDocument/2006/relationships" xmlns:w="http://schemas.openxmlformats.org/wordprocessingml/2006/main">
  <w:divs>
    <w:div w:id="108159399">
      <w:bodyDiv w:val="1"/>
      <w:marLeft w:val="0"/>
      <w:marRight w:val="0"/>
      <w:marTop w:val="0"/>
      <w:marBottom w:val="0"/>
      <w:divBdr>
        <w:top w:val="none" w:sz="0" w:space="0" w:color="auto"/>
        <w:left w:val="none" w:sz="0" w:space="0" w:color="auto"/>
        <w:bottom w:val="none" w:sz="0" w:space="0" w:color="auto"/>
        <w:right w:val="none" w:sz="0" w:space="0" w:color="auto"/>
      </w:divBdr>
    </w:div>
    <w:div w:id="315228240">
      <w:bodyDiv w:val="1"/>
      <w:marLeft w:val="0"/>
      <w:marRight w:val="0"/>
      <w:marTop w:val="0"/>
      <w:marBottom w:val="0"/>
      <w:divBdr>
        <w:top w:val="none" w:sz="0" w:space="0" w:color="auto"/>
        <w:left w:val="none" w:sz="0" w:space="0" w:color="auto"/>
        <w:bottom w:val="none" w:sz="0" w:space="0" w:color="auto"/>
        <w:right w:val="none" w:sz="0" w:space="0" w:color="auto"/>
      </w:divBdr>
    </w:div>
    <w:div w:id="604384808">
      <w:bodyDiv w:val="1"/>
      <w:marLeft w:val="0"/>
      <w:marRight w:val="0"/>
      <w:marTop w:val="0"/>
      <w:marBottom w:val="0"/>
      <w:divBdr>
        <w:top w:val="none" w:sz="0" w:space="0" w:color="auto"/>
        <w:left w:val="none" w:sz="0" w:space="0" w:color="auto"/>
        <w:bottom w:val="none" w:sz="0" w:space="0" w:color="auto"/>
        <w:right w:val="none" w:sz="0" w:space="0" w:color="auto"/>
      </w:divBdr>
    </w:div>
    <w:div w:id="1298292851">
      <w:bodyDiv w:val="1"/>
      <w:marLeft w:val="0"/>
      <w:marRight w:val="0"/>
      <w:marTop w:val="0"/>
      <w:marBottom w:val="0"/>
      <w:divBdr>
        <w:top w:val="none" w:sz="0" w:space="0" w:color="auto"/>
        <w:left w:val="none" w:sz="0" w:space="0" w:color="auto"/>
        <w:bottom w:val="none" w:sz="0" w:space="0" w:color="auto"/>
        <w:right w:val="none" w:sz="0" w:space="0" w:color="auto"/>
      </w:divBdr>
    </w:div>
    <w:div w:id="214619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com/internet/com/press/st_press_releases.js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s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mariagrazia.prestini@st.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tait.sorensen@st.com" TargetMode="Externa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www.stericsson.com/press/press_releases.jsp"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11688-A1EC-406B-B345-B591579B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17454</Words>
  <Characters>95998</Characters>
  <Application>Microsoft Office Word</Application>
  <DocSecurity>0</DocSecurity>
  <Lines>799</Lines>
  <Paragraphs>226</Paragraphs>
  <ScaleCrop>false</ScaleCrop>
  <HeadingPairs>
    <vt:vector size="2" baseType="variant">
      <vt:variant>
        <vt:lpstr>Title</vt:lpstr>
      </vt:variant>
      <vt:variant>
        <vt:i4>1</vt:i4>
      </vt:variant>
    </vt:vector>
  </HeadingPairs>
  <TitlesOfParts>
    <vt:vector size="1" baseType="lpstr">
      <vt:lpstr/>
    </vt:vector>
  </TitlesOfParts>
  <Company>STMicroelectronics</Company>
  <LinksUpToDate>false</LinksUpToDate>
  <CharactersWithSpaces>113226</CharactersWithSpaces>
  <SharedDoc>false</SharedDoc>
  <HLinks>
    <vt:vector size="6" baseType="variant">
      <vt:variant>
        <vt:i4>4587600</vt:i4>
      </vt:variant>
      <vt:variant>
        <vt:i4>0</vt:i4>
      </vt:variant>
      <vt:variant>
        <vt:i4>0</vt:i4>
      </vt:variant>
      <vt:variant>
        <vt:i4>5</vt:i4>
      </vt:variant>
      <vt:variant>
        <vt:lpwstr>http://investors.st.com/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noels</dc:creator>
  <cp:keywords/>
  <dc:description/>
  <cp:lastModifiedBy>lurvink</cp:lastModifiedBy>
  <cp:revision>2</cp:revision>
  <cp:lastPrinted>2011-08-16T16:42:00Z</cp:lastPrinted>
  <dcterms:created xsi:type="dcterms:W3CDTF">2011-08-24T08:27:00Z</dcterms:created>
  <dcterms:modified xsi:type="dcterms:W3CDTF">2011-08-24T08:27:00Z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207024918</vt:i4>
  </property>
  <property fmtid="{D5CDD505-2E9C-101B-9397-08002B2CF9AE}" pid="3" name="_NewReviewCycle">
    <vt:lpwstr/>
  </property>
  <property fmtid="{D5CDD505-2E9C-101B-9397-08002B2CF9AE}" pid="4" name="_EmailSubject">
    <vt:lpwstr>Word Template</vt:lpwstr>
  </property>
  <property fmtid="{D5CDD505-2E9C-101B-9397-08002B2CF9AE}" pid="5" name="_AuthorEmail">
    <vt:lpwstr>robin.noels@st.com</vt:lpwstr>
  </property>
  <property fmtid="{D5CDD505-2E9C-101B-9397-08002B2CF9AE}" pid="6" name="_AuthorEmailDisplayName">
    <vt:lpwstr>robin noels</vt:lpwstr>
  </property>
  <property fmtid="{D5CDD505-2E9C-101B-9397-08002B2CF9AE}" pid="7" name="_PreviousAdHocReviewCycleID">
    <vt:i4>-1996018779</vt:i4>
  </property>
  <property fmtid="{D5CDD505-2E9C-101B-9397-08002B2CF9AE}" pid="8" name="_ReviewingToolsShownOnce">
    <vt:lpwstr/>
  </property>
</Properties>
</file>